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Gibson John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MANPOWERGROUP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MANPOWER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ManpowerGroup Inc.</w:t>
              </w:r>
            </w:hyperlink>
            <w:r>
              <w:rPr/>
              <w:t xml:space="preserve"> [ </w:t>
            </w:r>
            <w:r>
              <w:rPr>
                <w:rFonts w:ascii="Times;serif" w:hAnsi="Times;serif"/>
                <w:color w:val="0000FF"/>
                <w:sz w:val="24"/>
                <w:shd w:fill="FFFFFF" w:val="clear"/>
              </w:rPr>
              <w:t>MAN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956</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62.95</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235 shares of deferred stock will vest on September 30, 2026 and 721 shares will vest on December 31, 2026, and all such deferred stock will be settled in shares of ManpowerGroup common stock on a 1 for 1 basis on the earlier of September 1, 2029 or within 30 days after the reporting person's termination of service as a director, except as otherwise provided in the Terms and Conditions (as defined below).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Prorated annual grant of deferred stock under the Equity Incentive Plan of ManpowerGroup Inc. and the Terms and Conditions Regarding the Grant of Awards to Non-Employee Directors under the Plan (the "Terms and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ManpowerGroup Inc. common stock on the New York Stock Exchange on August 31,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Dale Johnson (pursuant to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0794" TargetMode="External"/><Relationship Id="rId5" Type="http://schemas.openxmlformats.org/officeDocument/2006/relationships/hyperlink" Target="http://www.sec.gov/cgi-bin/browse-edgar?action=getcompany&amp;CIK=00008717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3737</Characters>
  <CharactersWithSpaces>4364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