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24" w:lineRule="exact"/>
        <w:rPr>
          <w:sz w:val="24"/>
          <w:szCs w:val="24"/>
          <w:color w:val="auto"/>
        </w:rPr>
      </w:pPr>
    </w:p>
    <w:p>
      <w:pPr>
        <w:jc w:val="center"/>
        <w:ind w:right="-940"/>
        <w:spacing w:after="0"/>
        <w:rPr>
          <w:sz w:val="20"/>
          <w:szCs w:val="20"/>
          <w:color w:val="auto"/>
        </w:rPr>
      </w:pPr>
      <w:r>
        <w:rPr>
          <w:rFonts w:ascii="Arial" w:cs="Arial" w:eastAsia="Arial" w:hAnsi="Arial"/>
          <w:sz w:val="32"/>
          <w:szCs w:val="32"/>
          <w:b w:val="1"/>
          <w:bCs w:val="1"/>
          <w:color w:val="auto"/>
        </w:rPr>
        <w:t>SECURITIES AND EXCHANGE COMMISSION</w:t>
      </w:r>
    </w:p>
    <w:p>
      <w:pPr>
        <w:ind w:left="43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3040"/>
        <w:spacing w:after="0"/>
        <w:rPr>
          <w:sz w:val="20"/>
          <w:szCs w:val="20"/>
          <w:color w:val="auto"/>
        </w:rPr>
      </w:pPr>
      <w:r>
        <w:rPr>
          <w:rFonts w:ascii="Arial" w:cs="Arial" w:eastAsia="Arial" w:hAnsi="Arial"/>
          <w:sz w:val="32"/>
          <w:szCs w:val="32"/>
          <w:b w:val="1"/>
          <w:bCs w:val="1"/>
          <w:color w:val="auto"/>
        </w:rPr>
        <w:t>SCHEDULE 14A INFORMATION</w:t>
      </w:r>
    </w:p>
    <w:p>
      <w:pPr>
        <w:spacing w:after="0" w:line="328" w:lineRule="exact"/>
        <w:rPr>
          <w:sz w:val="24"/>
          <w:szCs w:val="24"/>
          <w:color w:val="auto"/>
        </w:rPr>
      </w:pPr>
    </w:p>
    <w:p>
      <w:pPr>
        <w:jc w:val="center"/>
        <w:ind w:right="-94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940"/>
        <w:spacing w:after="0"/>
        <w:rPr>
          <w:sz w:val="20"/>
          <w:szCs w:val="20"/>
          <w:color w:val="auto"/>
        </w:rPr>
      </w:pPr>
      <w:r>
        <w:rPr>
          <w:rFonts w:ascii="Arial" w:cs="Arial" w:eastAsia="Arial" w:hAnsi="Arial"/>
          <w:sz w:val="21"/>
          <w:szCs w:val="21"/>
          <w:b w:val="1"/>
          <w:bCs w:val="1"/>
          <w:color w:val="auto"/>
        </w:rPr>
        <w:t>Securities Exchange Act of 1934</w:t>
      </w:r>
    </w:p>
    <w:p>
      <w:pPr>
        <w:jc w:val="center"/>
        <w:ind w:right="-960"/>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231140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48"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9"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8"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4"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940"/>
        <w:spacing w:after="0"/>
        <w:rPr>
          <w:sz w:val="20"/>
          <w:szCs w:val="20"/>
          <w:color w:val="auto"/>
        </w:rPr>
      </w:pPr>
      <w:r>
        <w:rPr>
          <w:rFonts w:ascii="Arial" w:cs="Arial" w:eastAsia="Arial" w:hAnsi="Arial"/>
          <w:sz w:val="39"/>
          <w:szCs w:val="39"/>
          <w:b w:val="1"/>
          <w:bCs w:val="1"/>
          <w:color w:val="auto"/>
        </w:rPr>
        <w:t>MANPOWERGROUP INC.</w:t>
      </w:r>
    </w:p>
    <w:p>
      <w:pPr>
        <w:spacing w:after="0" w:line="4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3"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48" w:lineRule="exact"/>
        <w:rPr>
          <w:sz w:val="24"/>
          <w:szCs w:val="24"/>
          <w:color w:val="auto"/>
        </w:rPr>
      </w:pPr>
    </w:p>
    <w:p>
      <w:pPr>
        <w:ind w:left="440" w:hanging="433"/>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48" w:lineRule="exact"/>
        <w:rPr>
          <w:sz w:val="24"/>
          <w:szCs w:val="24"/>
          <w:color w:val="auto"/>
        </w:rPr>
      </w:pPr>
    </w:p>
    <w:p>
      <w:pPr>
        <w:ind w:left="440" w:hanging="433"/>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47" w:lineRule="exact"/>
        <w:rPr>
          <w:rFonts w:ascii="MS PGothic" w:cs="MS PGothic" w:eastAsia="MS PGothic" w:hAnsi="MS PGothic"/>
          <w:sz w:val="18"/>
          <w:szCs w:val="18"/>
          <w:color w:val="auto"/>
        </w:rPr>
      </w:pPr>
    </w:p>
    <w:p>
      <w:pPr>
        <w:ind w:left="440" w:hanging="433"/>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217170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979"/>
          </w:cols>
          <w:pgMar w:left="480" w:top="51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65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915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SUSTAINABILITY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2975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25"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In 2021 we were proud to publish our Working to Change the World Plan and 2021 ESG Progress Report, centered around the themes of: Planet, People &amp; Prosperity and Principles of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6929755" cy="7337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7337425"/>
                    </a:xfrm>
                    <a:prstGeom prst="rect">
                      <a:avLst/>
                    </a:prstGeom>
                    <a:noFill/>
                  </pic:spPr>
                </pic:pic>
              </a:graphicData>
            </a:graphic>
          </wp:anchor>
        </w:drawing>
      </w:r>
    </w:p>
    <w:p>
      <w:pPr>
        <w:sectPr>
          <w:pgSz w:w="11900" w:h="16838" w:orient="portrait"/>
          <w:cols w:equalWidth="0" w:num="1">
            <w:col w:w="10420"/>
          </w:cols>
          <w:pgMar w:left="480" w:top="233" w:right="999" w:bottom="1440" w:gutter="0" w:footer="0" w:header="0"/>
        </w:sectPr>
      </w:pPr>
    </w:p>
    <w:bookmarkStart w:id="3" w:name="page4"/>
    <w:bookmarkEnd w:id="3"/>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2975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220980</wp:posOffset>
            </wp:positionV>
            <wp:extent cx="1469390" cy="263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9390" cy="2635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080"/>
        <w:spacing w:after="0"/>
        <w:tabs>
          <w:tab w:leader="none" w:pos="5200" w:val="left"/>
        </w:tabs>
        <w:rPr>
          <w:sz w:val="20"/>
          <w:szCs w:val="20"/>
          <w:color w:val="auto"/>
        </w:rPr>
      </w:pPr>
      <w:r>
        <w:rPr>
          <w:rFonts w:ascii="Arial" w:cs="Arial" w:eastAsia="Arial" w:hAnsi="Arial"/>
          <w:sz w:val="20"/>
          <w:szCs w:val="20"/>
          <w:color w:val="5D89B4"/>
        </w:rPr>
        <w:t>ManpowerGroup Inc. |</w:t>
        <w:tab/>
        <w:t>100 Manpower Place | Milwaukee, Wisconsin 53212</w:t>
      </w:r>
    </w:p>
    <w:p>
      <w:pPr>
        <w:spacing w:after="0" w:line="38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2022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276860</wp:posOffset>
            </wp:positionV>
            <wp:extent cx="331470" cy="314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1470" cy="31432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268605</wp:posOffset>
            </wp:positionV>
            <wp:extent cx="322580" cy="322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2580" cy="32258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276860</wp:posOffset>
            </wp:positionV>
            <wp:extent cx="195580" cy="314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80" cy="314325"/>
                    </a:xfrm>
                    <a:prstGeom prst="rect">
                      <a:avLst/>
                    </a:prstGeom>
                    <a:noFill/>
                  </pic:spPr>
                </pic:pic>
              </a:graphicData>
            </a:graphic>
          </wp:anchor>
        </w:drawing>
        <w:drawing>
          <wp:anchor simplePos="0" relativeHeight="251657728" behindDoc="1" locked="0" layoutInCell="0" allowOverlap="1">
            <wp:simplePos x="0" y="0"/>
            <wp:positionH relativeFrom="column">
              <wp:posOffset>5983605</wp:posOffset>
            </wp:positionH>
            <wp:positionV relativeFrom="paragraph">
              <wp:posOffset>251460</wp:posOffset>
            </wp:positionV>
            <wp:extent cx="246380" cy="339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38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820" w:type="dxa"/>
        <w:tblCellMar>
          <w:top w:w="0" w:type="dxa"/>
          <w:left w:w="0" w:type="dxa"/>
          <w:bottom w:w="0" w:type="dxa"/>
          <w:right w:w="0" w:type="dxa"/>
        </w:tblCellMar>
      </w:tblPr>
      <w:tr>
        <w:trPr>
          <w:trHeight w:val="284"/>
        </w:trPr>
        <w:tc>
          <w:tcPr>
            <w:tcW w:w="1780" w:type="dxa"/>
            <w:vAlign w:val="bottom"/>
          </w:tcPr>
          <w:p>
            <w:pPr>
              <w:jc w:val="center"/>
              <w:ind w:right="791"/>
              <w:spacing w:after="0"/>
              <w:rPr>
                <w:sz w:val="20"/>
                <w:szCs w:val="20"/>
                <w:color w:val="auto"/>
              </w:rPr>
            </w:pPr>
            <w:r>
              <w:rPr>
                <w:rFonts w:ascii="Arial" w:cs="Arial" w:eastAsia="Arial" w:hAnsi="Arial"/>
                <w:sz w:val="21"/>
                <w:szCs w:val="21"/>
                <w:b w:val="1"/>
                <w:bCs w:val="1"/>
                <w:color w:val="auto"/>
              </w:rPr>
              <w:t>Date</w:t>
            </w:r>
          </w:p>
        </w:tc>
        <w:tc>
          <w:tcPr>
            <w:tcW w:w="2540" w:type="dxa"/>
            <w:vAlign w:val="bottom"/>
          </w:tcPr>
          <w:p>
            <w:pPr>
              <w:jc w:val="center"/>
              <w:ind w:left="186"/>
              <w:spacing w:after="0"/>
              <w:rPr>
                <w:sz w:val="20"/>
                <w:szCs w:val="20"/>
                <w:color w:val="auto"/>
              </w:rPr>
            </w:pPr>
            <w:r>
              <w:rPr>
                <w:rFonts w:ascii="Arial" w:cs="Arial" w:eastAsia="Arial" w:hAnsi="Arial"/>
                <w:sz w:val="21"/>
                <w:szCs w:val="21"/>
                <w:b w:val="1"/>
                <w:bCs w:val="1"/>
                <w:color w:val="auto"/>
              </w:rPr>
              <w:t>Time</w:t>
            </w:r>
          </w:p>
        </w:tc>
        <w:tc>
          <w:tcPr>
            <w:tcW w:w="3240" w:type="dxa"/>
            <w:vAlign w:val="bottom"/>
          </w:tcPr>
          <w:p>
            <w:pPr>
              <w:jc w:val="center"/>
              <w:ind w:left="73"/>
              <w:spacing w:after="0"/>
              <w:rPr>
                <w:sz w:val="20"/>
                <w:szCs w:val="20"/>
                <w:color w:val="auto"/>
              </w:rPr>
            </w:pPr>
            <w:r>
              <w:rPr>
                <w:rFonts w:ascii="Arial" w:cs="Arial" w:eastAsia="Arial" w:hAnsi="Arial"/>
                <w:sz w:val="21"/>
                <w:szCs w:val="21"/>
                <w:b w:val="1"/>
                <w:bCs w:val="1"/>
                <w:color w:val="auto"/>
              </w:rPr>
              <w:t>Virtual Meeting</w:t>
            </w:r>
          </w:p>
        </w:tc>
        <w:tc>
          <w:tcPr>
            <w:tcW w:w="2020" w:type="dxa"/>
            <w:vAlign w:val="bottom"/>
          </w:tcPr>
          <w:p>
            <w:pPr>
              <w:jc w:val="center"/>
              <w:ind w:left="351"/>
              <w:spacing w:after="0"/>
              <w:rPr>
                <w:sz w:val="20"/>
                <w:szCs w:val="20"/>
                <w:color w:val="auto"/>
              </w:rPr>
            </w:pPr>
            <w:r>
              <w:rPr>
                <w:rFonts w:ascii="Arial" w:cs="Arial" w:eastAsia="Arial" w:hAnsi="Arial"/>
                <w:sz w:val="21"/>
                <w:szCs w:val="21"/>
                <w:b w:val="1"/>
                <w:bCs w:val="1"/>
                <w:color w:val="auto"/>
              </w:rPr>
              <w:t>Record Date</w:t>
            </w:r>
          </w:p>
        </w:tc>
      </w:tr>
      <w:tr>
        <w:trPr>
          <w:trHeight w:val="259"/>
        </w:trPr>
        <w:tc>
          <w:tcPr>
            <w:tcW w:w="1780" w:type="dxa"/>
            <w:vAlign w:val="bottom"/>
          </w:tcPr>
          <w:p>
            <w:pPr>
              <w:jc w:val="center"/>
              <w:ind w:right="811"/>
              <w:spacing w:after="0"/>
              <w:rPr>
                <w:sz w:val="20"/>
                <w:szCs w:val="20"/>
                <w:color w:val="auto"/>
              </w:rPr>
            </w:pPr>
            <w:r>
              <w:rPr>
                <w:rFonts w:ascii="Arial" w:cs="Arial" w:eastAsia="Arial" w:hAnsi="Arial"/>
                <w:sz w:val="16"/>
                <w:szCs w:val="16"/>
                <w:color w:val="auto"/>
                <w:w w:val="98"/>
              </w:rPr>
              <w:t>Friday</w:t>
            </w:r>
          </w:p>
        </w:tc>
        <w:tc>
          <w:tcPr>
            <w:tcW w:w="2540" w:type="dxa"/>
            <w:vAlign w:val="bottom"/>
          </w:tcPr>
          <w:p>
            <w:pPr>
              <w:jc w:val="center"/>
              <w:ind w:left="166"/>
              <w:spacing w:after="0"/>
              <w:rPr>
                <w:sz w:val="20"/>
                <w:szCs w:val="20"/>
                <w:color w:val="auto"/>
              </w:rPr>
            </w:pPr>
            <w:r>
              <w:rPr>
                <w:rFonts w:ascii="Arial" w:cs="Arial" w:eastAsia="Arial" w:hAnsi="Arial"/>
                <w:sz w:val="16"/>
                <w:szCs w:val="16"/>
                <w:color w:val="auto"/>
                <w:w w:val="99"/>
              </w:rPr>
              <w:t>9:00 a.m. CDT</w:t>
            </w:r>
          </w:p>
        </w:tc>
        <w:tc>
          <w:tcPr>
            <w:tcW w:w="3240" w:type="dxa"/>
            <w:vAlign w:val="bottom"/>
          </w:tcPr>
          <w:p>
            <w:pPr>
              <w:jc w:val="center"/>
              <w:ind w:left="73"/>
              <w:spacing w:after="0"/>
              <w:rPr>
                <w:sz w:val="20"/>
                <w:szCs w:val="20"/>
                <w:color w:val="auto"/>
              </w:rPr>
            </w:pPr>
            <w:r>
              <w:rPr>
                <w:rFonts w:ascii="Arial" w:cs="Arial" w:eastAsia="Arial" w:hAnsi="Arial"/>
                <w:sz w:val="16"/>
                <w:szCs w:val="16"/>
                <w:color w:val="auto"/>
              </w:rPr>
              <w:t>This year’s meeting is a virtual</w:t>
            </w:r>
          </w:p>
        </w:tc>
        <w:tc>
          <w:tcPr>
            <w:tcW w:w="2020" w:type="dxa"/>
            <w:vAlign w:val="bottom"/>
          </w:tcPr>
          <w:p>
            <w:pPr>
              <w:jc w:val="center"/>
              <w:ind w:left="371"/>
              <w:spacing w:after="0"/>
              <w:rPr>
                <w:sz w:val="20"/>
                <w:szCs w:val="20"/>
                <w:color w:val="auto"/>
              </w:rPr>
            </w:pPr>
            <w:r>
              <w:rPr>
                <w:rFonts w:ascii="Arial" w:cs="Arial" w:eastAsia="Arial" w:hAnsi="Arial"/>
                <w:sz w:val="16"/>
                <w:szCs w:val="16"/>
                <w:color w:val="auto"/>
              </w:rPr>
              <w:t>The close of business</w:t>
            </w:r>
          </w:p>
        </w:tc>
      </w:tr>
      <w:tr>
        <w:trPr>
          <w:trHeight w:val="187"/>
        </w:trPr>
        <w:tc>
          <w:tcPr>
            <w:tcW w:w="1780" w:type="dxa"/>
            <w:vAlign w:val="bottom"/>
          </w:tcPr>
          <w:p>
            <w:pPr>
              <w:jc w:val="center"/>
              <w:ind w:right="811"/>
              <w:spacing w:after="0"/>
              <w:rPr>
                <w:sz w:val="20"/>
                <w:szCs w:val="20"/>
                <w:color w:val="auto"/>
              </w:rPr>
            </w:pPr>
            <w:r>
              <w:rPr>
                <w:rFonts w:ascii="Arial" w:cs="Arial" w:eastAsia="Arial" w:hAnsi="Arial"/>
                <w:sz w:val="16"/>
                <w:szCs w:val="16"/>
                <w:color w:val="auto"/>
                <w:w w:val="99"/>
              </w:rPr>
              <w:t>May 6, 2022</w:t>
            </w:r>
          </w:p>
        </w:tc>
        <w:tc>
          <w:tcPr>
            <w:tcW w:w="2540" w:type="dxa"/>
            <w:vAlign w:val="bottom"/>
          </w:tcPr>
          <w:p>
            <w:pPr>
              <w:spacing w:after="0"/>
              <w:rPr>
                <w:sz w:val="16"/>
                <w:szCs w:val="16"/>
                <w:color w:val="auto"/>
              </w:rPr>
            </w:pPr>
          </w:p>
        </w:tc>
        <w:tc>
          <w:tcPr>
            <w:tcW w:w="3240" w:type="dxa"/>
            <w:vAlign w:val="bottom"/>
          </w:tcPr>
          <w:p>
            <w:pPr>
              <w:jc w:val="center"/>
              <w:ind w:left="73"/>
              <w:spacing w:after="0"/>
              <w:rPr>
                <w:sz w:val="20"/>
                <w:szCs w:val="20"/>
                <w:color w:val="auto"/>
              </w:rPr>
            </w:pPr>
            <w:r>
              <w:rPr>
                <w:rFonts w:ascii="Arial" w:cs="Arial" w:eastAsia="Arial" w:hAnsi="Arial"/>
                <w:sz w:val="16"/>
                <w:szCs w:val="16"/>
                <w:color w:val="auto"/>
              </w:rPr>
              <w:t>shareholders meeting at</w:t>
            </w:r>
          </w:p>
        </w:tc>
        <w:tc>
          <w:tcPr>
            <w:tcW w:w="2020" w:type="dxa"/>
            <w:vAlign w:val="bottom"/>
          </w:tcPr>
          <w:p>
            <w:pPr>
              <w:jc w:val="center"/>
              <w:ind w:left="371"/>
              <w:spacing w:after="0"/>
              <w:rPr>
                <w:sz w:val="20"/>
                <w:szCs w:val="20"/>
                <w:color w:val="auto"/>
              </w:rPr>
            </w:pPr>
            <w:r>
              <w:rPr>
                <w:rFonts w:ascii="Arial" w:cs="Arial" w:eastAsia="Arial" w:hAnsi="Arial"/>
                <w:sz w:val="16"/>
                <w:szCs w:val="16"/>
                <w:color w:val="auto"/>
              </w:rPr>
              <w:t>February 25, 2022</w:t>
            </w:r>
          </w:p>
        </w:tc>
      </w:tr>
      <w:tr>
        <w:trPr>
          <w:trHeight w:val="193"/>
        </w:trPr>
        <w:tc>
          <w:tcPr>
            <w:tcW w:w="1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240" w:type="dxa"/>
            <w:vAlign w:val="bottom"/>
          </w:tcPr>
          <w:p>
            <w:pPr>
              <w:jc w:val="center"/>
              <w:ind w:left="73"/>
              <w:spacing w:after="0"/>
              <w:rPr>
                <w:sz w:val="20"/>
                <w:szCs w:val="20"/>
                <w:color w:val="auto"/>
              </w:rPr>
            </w:pPr>
            <w:r>
              <w:rPr>
                <w:rFonts w:ascii="Arial" w:cs="Arial" w:eastAsia="Arial" w:hAnsi="Arial"/>
                <w:sz w:val="16"/>
                <w:szCs w:val="16"/>
                <w:color w:val="auto"/>
                <w:w w:val="98"/>
              </w:rPr>
              <w:t>meetnow.global/MXN79FA</w:t>
            </w:r>
          </w:p>
        </w:tc>
        <w:tc>
          <w:tcPr>
            <w:tcW w:w="2020" w:type="dxa"/>
            <w:vAlign w:val="bottom"/>
          </w:tcPr>
          <w:p>
            <w:pPr>
              <w:spacing w:after="0"/>
              <w:rPr>
                <w:sz w:val="16"/>
                <w:szCs w:val="16"/>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-70485</wp:posOffset>
            </wp:positionV>
            <wp:extent cx="423799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37990" cy="50800"/>
                    </a:xfrm>
                    <a:prstGeom prst="rect">
                      <a:avLst/>
                    </a:prstGeom>
                    <a:noFill/>
                  </pic:spPr>
                </pic:pic>
              </a:graphicData>
            </a:graphic>
          </wp:anchor>
        </w:drawing>
      </w:r>
    </w:p>
    <w:p>
      <w:pPr>
        <w:spacing w:after="0" w:line="119" w:lineRule="exact"/>
        <w:rPr>
          <w:sz w:val="20"/>
          <w:szCs w:val="20"/>
          <w:color w:val="auto"/>
        </w:rPr>
      </w:pPr>
    </w:p>
    <w:p>
      <w:pPr>
        <w:ind w:right="440"/>
        <w:spacing w:after="0" w:line="237" w:lineRule="auto"/>
        <w:rPr>
          <w:sz w:val="20"/>
          <w:szCs w:val="20"/>
          <w:color w:val="auto"/>
        </w:rPr>
      </w:pPr>
      <w:r>
        <w:rPr>
          <w:rFonts w:ascii="Arial" w:cs="Arial" w:eastAsia="Arial" w:hAnsi="Arial"/>
          <w:sz w:val="15"/>
          <w:szCs w:val="15"/>
          <w:color w:val="auto"/>
        </w:rPr>
        <w:t>Whether or not you plan to attend the meeting, it is important that your shares are represented and voted. If you are a shareholder of record (“registered shareholder”), we urge you to vote in advance of the meeting using one of the advance voting methods below. You can vote by any of the following methods: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2580" w:type="dxa"/>
            <w:vAlign w:val="bottom"/>
          </w:tcPr>
          <w:p>
            <w:pPr>
              <w:jc w:val="center"/>
              <w:ind w:right="98"/>
              <w:spacing w:after="0"/>
              <w:rPr>
                <w:sz w:val="20"/>
                <w:szCs w:val="20"/>
                <w:color w:val="auto"/>
              </w:rPr>
            </w:pPr>
            <w:r>
              <w:rPr>
                <w:rFonts w:ascii="Arial" w:cs="Arial" w:eastAsia="Arial" w:hAnsi="Arial"/>
                <w:sz w:val="18"/>
                <w:szCs w:val="18"/>
                <w:b w:val="1"/>
                <w:bCs w:val="1"/>
                <w:color w:val="5D89B4"/>
                <w:w w:val="99"/>
              </w:rPr>
              <w:t>By Internet:</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5D89B4"/>
                <w:w w:val="98"/>
              </w:rPr>
              <w:t>By Phone:</w:t>
            </w:r>
          </w:p>
        </w:tc>
        <w:tc>
          <w:tcPr>
            <w:tcW w:w="3200" w:type="dxa"/>
            <w:vAlign w:val="bottom"/>
          </w:tcPr>
          <w:p>
            <w:pPr>
              <w:jc w:val="center"/>
              <w:ind w:right="158"/>
              <w:spacing w:after="0"/>
              <w:rPr>
                <w:sz w:val="20"/>
                <w:szCs w:val="20"/>
                <w:color w:val="auto"/>
              </w:rPr>
            </w:pPr>
            <w:r>
              <w:rPr>
                <w:rFonts w:ascii="Arial" w:cs="Arial" w:eastAsia="Arial" w:hAnsi="Arial"/>
                <w:sz w:val="18"/>
                <w:szCs w:val="18"/>
                <w:b w:val="1"/>
                <w:bCs w:val="1"/>
                <w:color w:val="5D89B4"/>
                <w:w w:val="98"/>
              </w:rPr>
              <w:t>By Mail:</w:t>
            </w:r>
          </w:p>
        </w:tc>
        <w:tc>
          <w:tcPr>
            <w:tcW w:w="1720" w:type="dxa"/>
            <w:vAlign w:val="bottom"/>
          </w:tcPr>
          <w:p>
            <w:pPr>
              <w:jc w:val="center"/>
              <w:ind w:left="298"/>
              <w:spacing w:after="0"/>
              <w:rPr>
                <w:sz w:val="20"/>
                <w:szCs w:val="20"/>
                <w:color w:val="auto"/>
              </w:rPr>
            </w:pPr>
            <w:r>
              <w:rPr>
                <w:rFonts w:ascii="Arial" w:cs="Arial" w:eastAsia="Arial" w:hAnsi="Arial"/>
                <w:sz w:val="18"/>
                <w:szCs w:val="18"/>
                <w:b w:val="1"/>
                <w:bCs w:val="1"/>
                <w:color w:val="5D89B4"/>
                <w:w w:val="99"/>
              </w:rPr>
              <w:t>By QR Code:</w:t>
            </w:r>
          </w:p>
        </w:tc>
      </w:tr>
      <w:tr>
        <w:trPr>
          <w:trHeight w:val="187"/>
        </w:trPr>
        <w:tc>
          <w:tcPr>
            <w:tcW w:w="2580" w:type="dxa"/>
            <w:vAlign w:val="bottom"/>
          </w:tcPr>
          <w:p>
            <w:pPr>
              <w:jc w:val="center"/>
              <w:ind w:right="98"/>
              <w:spacing w:after="0"/>
              <w:rPr>
                <w:sz w:val="20"/>
                <w:szCs w:val="20"/>
                <w:color w:val="auto"/>
              </w:rPr>
            </w:pPr>
            <w:r>
              <w:rPr>
                <w:rFonts w:ascii="Arial" w:cs="Arial" w:eastAsia="Arial" w:hAnsi="Arial"/>
                <w:sz w:val="16"/>
                <w:szCs w:val="16"/>
                <w:color w:val="auto"/>
              </w:rPr>
              <w:t>Prior to the 2022 Annual Meeting,</w:t>
            </w:r>
          </w:p>
        </w:tc>
        <w:tc>
          <w:tcPr>
            <w:tcW w:w="2720" w:type="dxa"/>
            <w:vAlign w:val="bottom"/>
          </w:tcPr>
          <w:p>
            <w:pPr>
              <w:jc w:val="center"/>
              <w:spacing w:after="0"/>
              <w:rPr>
                <w:sz w:val="20"/>
                <w:szCs w:val="20"/>
                <w:color w:val="auto"/>
              </w:rPr>
            </w:pPr>
            <w:r>
              <w:rPr>
                <w:rFonts w:ascii="Arial" w:cs="Arial" w:eastAsia="Arial" w:hAnsi="Arial"/>
                <w:sz w:val="16"/>
                <w:szCs w:val="16"/>
                <w:color w:val="auto"/>
              </w:rPr>
              <w:t>1-800-652-VOTE (8683)</w:t>
            </w:r>
          </w:p>
        </w:tc>
        <w:tc>
          <w:tcPr>
            <w:tcW w:w="3200" w:type="dxa"/>
            <w:vAlign w:val="bottom"/>
          </w:tcPr>
          <w:p>
            <w:pPr>
              <w:jc w:val="center"/>
              <w:ind w:right="138"/>
              <w:spacing w:after="0"/>
              <w:rPr>
                <w:sz w:val="20"/>
                <w:szCs w:val="20"/>
                <w:color w:val="auto"/>
              </w:rPr>
            </w:pPr>
            <w:r>
              <w:rPr>
                <w:rFonts w:ascii="Arial" w:cs="Arial" w:eastAsia="Arial" w:hAnsi="Arial"/>
                <w:sz w:val="16"/>
                <w:szCs w:val="16"/>
                <w:color w:val="auto"/>
              </w:rPr>
              <w:t>Complete, sign and</w:t>
            </w:r>
          </w:p>
        </w:tc>
        <w:tc>
          <w:tcPr>
            <w:tcW w:w="1720" w:type="dxa"/>
            <w:vAlign w:val="bottom"/>
          </w:tcPr>
          <w:p>
            <w:pPr>
              <w:jc w:val="center"/>
              <w:ind w:left="298"/>
              <w:spacing w:after="0"/>
              <w:rPr>
                <w:sz w:val="20"/>
                <w:szCs w:val="20"/>
                <w:color w:val="auto"/>
              </w:rPr>
            </w:pPr>
            <w:r>
              <w:rPr>
                <w:rFonts w:ascii="Arial" w:cs="Arial" w:eastAsia="Arial" w:hAnsi="Arial"/>
                <w:sz w:val="16"/>
                <w:szCs w:val="16"/>
                <w:color w:val="auto"/>
              </w:rPr>
              <w:t>Scan this QR code</w:t>
            </w:r>
          </w:p>
        </w:tc>
      </w:tr>
      <w:tr>
        <w:trPr>
          <w:trHeight w:val="187"/>
        </w:trPr>
        <w:tc>
          <w:tcPr>
            <w:tcW w:w="2580" w:type="dxa"/>
            <w:vAlign w:val="bottom"/>
          </w:tcPr>
          <w:p>
            <w:pPr>
              <w:jc w:val="center"/>
              <w:ind w:right="98"/>
              <w:spacing w:after="0"/>
              <w:rPr>
                <w:sz w:val="20"/>
                <w:szCs w:val="20"/>
                <w:color w:val="auto"/>
              </w:rPr>
            </w:pPr>
            <w:r>
              <w:rPr>
                <w:rFonts w:ascii="Arial" w:cs="Arial" w:eastAsia="Arial" w:hAnsi="Arial"/>
                <w:sz w:val="16"/>
                <w:szCs w:val="16"/>
                <w:color w:val="auto"/>
              </w:rPr>
              <w:t>vote your shares online at</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within the USA, US territories and</w:t>
            </w:r>
          </w:p>
        </w:tc>
        <w:tc>
          <w:tcPr>
            <w:tcW w:w="3200" w:type="dxa"/>
            <w:vAlign w:val="bottom"/>
          </w:tcPr>
          <w:p>
            <w:pPr>
              <w:jc w:val="center"/>
              <w:ind w:right="138"/>
              <w:spacing w:after="0"/>
              <w:rPr>
                <w:sz w:val="20"/>
                <w:szCs w:val="20"/>
                <w:color w:val="auto"/>
              </w:rPr>
            </w:pPr>
            <w:r>
              <w:rPr>
                <w:rFonts w:ascii="Arial" w:cs="Arial" w:eastAsia="Arial" w:hAnsi="Arial"/>
                <w:sz w:val="16"/>
                <w:szCs w:val="16"/>
                <w:color w:val="auto"/>
              </w:rPr>
              <w:t>return proxy card in the postage-paid</w:t>
            </w:r>
          </w:p>
        </w:tc>
        <w:tc>
          <w:tcPr>
            <w:tcW w:w="1720" w:type="dxa"/>
            <w:vAlign w:val="bottom"/>
          </w:tcPr>
          <w:p>
            <w:pPr>
              <w:jc w:val="center"/>
              <w:ind w:left="318"/>
              <w:spacing w:after="0"/>
              <w:rPr>
                <w:sz w:val="20"/>
                <w:szCs w:val="20"/>
                <w:color w:val="auto"/>
              </w:rPr>
            </w:pPr>
            <w:r>
              <w:rPr>
                <w:rFonts w:ascii="Arial" w:cs="Arial" w:eastAsia="Arial" w:hAnsi="Arial"/>
                <w:sz w:val="16"/>
                <w:szCs w:val="16"/>
                <w:color w:val="auto"/>
                <w:w w:val="99"/>
              </w:rPr>
              <w:t>24/7 to vote with</w:t>
            </w:r>
          </w:p>
        </w:tc>
      </w:tr>
      <w:tr>
        <w:trPr>
          <w:trHeight w:val="193"/>
        </w:trPr>
        <w:tc>
          <w:tcPr>
            <w:tcW w:w="2580" w:type="dxa"/>
            <w:vAlign w:val="bottom"/>
          </w:tcPr>
          <w:p>
            <w:pPr>
              <w:jc w:val="center"/>
              <w:ind w:right="78"/>
              <w:spacing w:after="0"/>
              <w:rPr>
                <w:sz w:val="20"/>
                <w:szCs w:val="20"/>
                <w:color w:val="auto"/>
              </w:rPr>
            </w:pPr>
            <w:r>
              <w:rPr>
                <w:rFonts w:ascii="Arial" w:cs="Arial" w:eastAsia="Arial" w:hAnsi="Arial"/>
                <w:sz w:val="16"/>
                <w:szCs w:val="16"/>
                <w:color w:val="auto"/>
                <w:w w:val="99"/>
              </w:rPr>
              <w:t>www.envisionreports.com/MAN</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Canada</w:t>
            </w:r>
          </w:p>
        </w:tc>
        <w:tc>
          <w:tcPr>
            <w:tcW w:w="3200" w:type="dxa"/>
            <w:vAlign w:val="bottom"/>
          </w:tcPr>
          <w:p>
            <w:pPr>
              <w:jc w:val="center"/>
              <w:ind w:right="158"/>
              <w:spacing w:after="0"/>
              <w:rPr>
                <w:sz w:val="20"/>
                <w:szCs w:val="20"/>
                <w:color w:val="auto"/>
              </w:rPr>
            </w:pPr>
            <w:r>
              <w:rPr>
                <w:rFonts w:ascii="Arial" w:cs="Arial" w:eastAsia="Arial" w:hAnsi="Arial"/>
                <w:sz w:val="16"/>
                <w:szCs w:val="16"/>
                <w:color w:val="auto"/>
              </w:rPr>
              <w:t>envelope provided</w:t>
            </w:r>
          </w:p>
        </w:tc>
        <w:tc>
          <w:tcPr>
            <w:tcW w:w="1720" w:type="dxa"/>
            <w:vAlign w:val="bottom"/>
          </w:tcPr>
          <w:p>
            <w:pPr>
              <w:jc w:val="center"/>
              <w:ind w:left="298"/>
              <w:spacing w:after="0"/>
              <w:rPr>
                <w:sz w:val="20"/>
                <w:szCs w:val="20"/>
                <w:color w:val="auto"/>
              </w:rPr>
            </w:pPr>
            <w:r>
              <w:rPr>
                <w:rFonts w:ascii="Arial" w:cs="Arial" w:eastAsia="Arial" w:hAnsi="Arial"/>
                <w:sz w:val="16"/>
                <w:szCs w:val="16"/>
                <w:color w:val="auto"/>
              </w:rPr>
              <w:t>your mobile device</w:t>
            </w:r>
          </w:p>
        </w:tc>
      </w:tr>
      <w:tr>
        <w:trPr>
          <w:trHeight w:val="302"/>
        </w:trPr>
        <w:tc>
          <w:tcPr>
            <w:tcW w:w="2580" w:type="dxa"/>
            <w:vAlign w:val="bottom"/>
          </w:tcPr>
          <w:p>
            <w:pPr>
              <w:jc w:val="center"/>
              <w:ind w:right="78"/>
              <w:spacing w:after="0"/>
              <w:rPr>
                <w:sz w:val="20"/>
                <w:szCs w:val="20"/>
                <w:color w:val="auto"/>
              </w:rPr>
            </w:pPr>
            <w:r>
              <w:rPr>
                <w:rFonts w:ascii="Arial" w:cs="Arial" w:eastAsia="Arial" w:hAnsi="Arial"/>
                <w:sz w:val="16"/>
                <w:szCs w:val="16"/>
                <w:color w:val="auto"/>
              </w:rPr>
              <w:t>During the 2022 Annual Meeting,</w:t>
            </w:r>
          </w:p>
        </w:tc>
        <w:tc>
          <w:tcPr>
            <w:tcW w:w="2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7"/>
        </w:trPr>
        <w:tc>
          <w:tcPr>
            <w:tcW w:w="2580" w:type="dxa"/>
            <w:vAlign w:val="bottom"/>
          </w:tcPr>
          <w:p>
            <w:pPr>
              <w:jc w:val="center"/>
              <w:ind w:right="98"/>
              <w:spacing w:after="0"/>
              <w:rPr>
                <w:sz w:val="20"/>
                <w:szCs w:val="20"/>
                <w:color w:val="auto"/>
              </w:rPr>
            </w:pPr>
            <w:r>
              <w:rPr>
                <w:rFonts w:ascii="Arial" w:cs="Arial" w:eastAsia="Arial" w:hAnsi="Arial"/>
                <w:sz w:val="16"/>
                <w:szCs w:val="16"/>
                <w:color w:val="auto"/>
              </w:rPr>
              <w:t>vote your shares online at</w:t>
            </w:r>
          </w:p>
        </w:tc>
        <w:tc>
          <w:tcPr>
            <w:tcW w:w="2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3"/>
        </w:trPr>
        <w:tc>
          <w:tcPr>
            <w:tcW w:w="2580" w:type="dxa"/>
            <w:vAlign w:val="bottom"/>
          </w:tcPr>
          <w:p>
            <w:pPr>
              <w:jc w:val="center"/>
              <w:ind w:right="78"/>
              <w:spacing w:after="0"/>
              <w:rPr>
                <w:sz w:val="20"/>
                <w:szCs w:val="20"/>
                <w:color w:val="auto"/>
              </w:rPr>
            </w:pPr>
            <w:r>
              <w:rPr>
                <w:rFonts w:ascii="Arial" w:cs="Arial" w:eastAsia="Arial" w:hAnsi="Arial"/>
                <w:sz w:val="16"/>
                <w:szCs w:val="16"/>
                <w:color w:val="auto"/>
                <w:w w:val="99"/>
              </w:rPr>
              <w:t>meetnow.global/MXN79FA</w:t>
            </w:r>
          </w:p>
        </w:tc>
        <w:tc>
          <w:tcPr>
            <w:tcW w:w="2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-284480</wp:posOffset>
            </wp:positionV>
            <wp:extent cx="373380" cy="373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380" cy="373380"/>
                    </a:xfrm>
                    <a:prstGeom prst="rect">
                      <a:avLst/>
                    </a:prstGeom>
                    <a:noFill/>
                  </pic:spPr>
                </pic:pic>
              </a:graphicData>
            </a:graphic>
          </wp:anchor>
        </w:drawing>
      </w:r>
    </w:p>
    <w:p>
      <w:pPr>
        <w:spacing w:after="0" w:line="343" w:lineRule="exact"/>
        <w:rPr>
          <w:sz w:val="20"/>
          <w:szCs w:val="20"/>
          <w:color w:val="auto"/>
        </w:rPr>
      </w:pPr>
    </w:p>
    <w:p>
      <w:pPr>
        <w:ind w:right="100"/>
        <w:spacing w:after="0" w:line="232" w:lineRule="auto"/>
        <w:rPr>
          <w:sz w:val="20"/>
          <w:szCs w:val="20"/>
          <w:color w:val="auto"/>
        </w:rPr>
      </w:pPr>
      <w:r>
        <w:rPr>
          <w:rFonts w:ascii="Arial" w:cs="Arial" w:eastAsia="Arial" w:hAnsi="Arial"/>
          <w:sz w:val="15"/>
          <w:szCs w:val="15"/>
          <w:color w:val="auto"/>
        </w:rPr>
        <w:t>If your shares are held in street name through a bank, broker or other holder of record (“beneficial holder”), you will receive instructions from the holder of record that you must follow in order for your shares to be voted. All shareholders will still be able to vote online during the meeting, even if they previously submitted their proxy.</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Items of Business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6929755" cy="297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297180"/>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80"/>
        <w:spacing w:after="0"/>
        <w:tabs>
          <w:tab w:leader="none" w:pos="1740" w:val="left"/>
        </w:tabs>
        <w:rPr>
          <w:sz w:val="20"/>
          <w:szCs w:val="20"/>
          <w:color w:val="auto"/>
        </w:rPr>
      </w:pPr>
      <w:r>
        <w:rPr>
          <w:rFonts w:ascii="Arial" w:cs="Arial" w:eastAsia="Arial" w:hAnsi="Arial"/>
          <w:sz w:val="14"/>
          <w:szCs w:val="14"/>
          <w:b w:val="1"/>
          <w:bCs w:val="1"/>
          <w:color w:val="5D89B4"/>
        </w:rPr>
        <w:t>PROPOSAL</w:t>
      </w:r>
      <w:r>
        <w:rPr>
          <w:sz w:val="20"/>
          <w:szCs w:val="20"/>
          <w:color w:val="auto"/>
        </w:rPr>
        <w:tab/>
      </w:r>
      <w:r>
        <w:rPr>
          <w:rFonts w:ascii="Arial" w:cs="Arial" w:eastAsia="Arial" w:hAnsi="Arial"/>
          <w:sz w:val="14"/>
          <w:szCs w:val="14"/>
          <w:b w:val="1"/>
          <w:bCs w:val="1"/>
          <w:color w:val="5D89B4"/>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-203835</wp:posOffset>
            </wp:positionV>
            <wp:extent cx="6191250" cy="254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91250" cy="254635"/>
                    </a:xfrm>
                    <a:prstGeom prst="rect">
                      <a:avLst/>
                    </a:prstGeom>
                    <a:noFill/>
                  </pic:spPr>
                </pic:pic>
              </a:graphicData>
            </a:graphic>
          </wp:anchor>
        </w:drawing>
      </w:r>
    </w:p>
    <w:p>
      <w:pPr>
        <w:spacing w:after="0" w:line="169" w:lineRule="exact"/>
        <w:rPr>
          <w:sz w:val="20"/>
          <w:szCs w:val="20"/>
          <w:color w:val="auto"/>
        </w:rPr>
      </w:pPr>
    </w:p>
    <w:p>
      <w:pPr>
        <w:ind w:left="1760" w:right="300" w:hanging="1225"/>
        <w:spacing w:after="0" w:line="180" w:lineRule="auto"/>
        <w:tabs>
          <w:tab w:leader="none" w:pos="1760" w:val="left"/>
        </w:tabs>
        <w:numPr>
          <w:ilvl w:val="0"/>
          <w:numId w:val="6"/>
        </w:numPr>
        <w:rPr>
          <w:rFonts w:ascii="Arial" w:cs="Arial" w:eastAsia="Arial" w:hAnsi="Arial"/>
          <w:sz w:val="30"/>
          <w:szCs w:val="30"/>
          <w:b w:val="1"/>
          <w:bCs w:val="1"/>
          <w:color w:val="5D89B4"/>
          <w:vertAlign w:val="subscript"/>
        </w:rPr>
      </w:pPr>
      <w:r>
        <w:rPr>
          <w:rFonts w:ascii="Arial" w:cs="Arial" w:eastAsia="Arial" w:hAnsi="Arial"/>
          <w:sz w:val="14"/>
          <w:szCs w:val="14"/>
          <w:color w:val="auto"/>
        </w:rPr>
        <w:t>To elect twelve individuals nominated by the Board of Directors of ManpowerGroup to serve until 2023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6929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jc w:val="center"/>
              <w:ind w:right="246"/>
              <w:spacing w:after="0"/>
              <w:rPr>
                <w:sz w:val="20"/>
                <w:szCs w:val="20"/>
                <w:color w:val="auto"/>
              </w:rPr>
            </w:pPr>
            <w:r>
              <w:rPr>
                <w:rFonts w:ascii="Arial" w:cs="Arial" w:eastAsia="Arial" w:hAnsi="Arial"/>
                <w:sz w:val="14"/>
                <w:szCs w:val="14"/>
                <w:b w:val="1"/>
                <w:bCs w:val="1"/>
                <w:color w:val="5D89B4"/>
              </w:rPr>
              <w:t>BOARD VOTE</w:t>
            </w:r>
          </w:p>
        </w:tc>
        <w:tc>
          <w:tcPr>
            <w:tcW w:w="1720" w:type="dxa"/>
            <w:vAlign w:val="bottom"/>
          </w:tcPr>
          <w:p>
            <w:pPr>
              <w:jc w:val="center"/>
              <w:ind w:left="227"/>
              <w:spacing w:after="0"/>
              <w:rPr>
                <w:sz w:val="20"/>
                <w:szCs w:val="20"/>
                <w:color w:val="auto"/>
              </w:rPr>
            </w:pPr>
            <w:r>
              <w:rPr>
                <w:rFonts w:ascii="Arial" w:cs="Arial" w:eastAsia="Arial" w:hAnsi="Arial"/>
                <w:sz w:val="14"/>
                <w:szCs w:val="14"/>
                <w:b w:val="1"/>
                <w:bCs w:val="1"/>
                <w:color w:val="5D89B4"/>
              </w:rPr>
              <w:t>PAGE REFERENCE</w:t>
            </w:r>
          </w:p>
        </w:tc>
      </w:tr>
      <w:tr>
        <w:trPr>
          <w:trHeight w:val="202"/>
        </w:trPr>
        <w:tc>
          <w:tcPr>
            <w:tcW w:w="1780" w:type="dxa"/>
            <w:vAlign w:val="bottom"/>
          </w:tcPr>
          <w:p>
            <w:pPr>
              <w:jc w:val="center"/>
              <w:ind w:right="246"/>
              <w:spacing w:after="0"/>
              <w:rPr>
                <w:sz w:val="20"/>
                <w:szCs w:val="20"/>
                <w:color w:val="auto"/>
              </w:rPr>
            </w:pPr>
            <w:r>
              <w:rPr>
                <w:rFonts w:ascii="Arial" w:cs="Arial" w:eastAsia="Arial" w:hAnsi="Arial"/>
                <w:sz w:val="14"/>
                <w:szCs w:val="14"/>
                <w:b w:val="1"/>
                <w:bCs w:val="1"/>
                <w:color w:val="5D89B4"/>
              </w:rPr>
              <w:t>RECOMMENDATION</w:t>
            </w:r>
          </w:p>
        </w:tc>
        <w:tc>
          <w:tcPr>
            <w:tcW w:w="1720" w:type="dxa"/>
            <w:vAlign w:val="bottom"/>
          </w:tcPr>
          <w:p>
            <w:pPr>
              <w:jc w:val="center"/>
              <w:ind w:left="227"/>
              <w:spacing w:after="0"/>
              <w:rPr>
                <w:sz w:val="20"/>
                <w:szCs w:val="20"/>
                <w:color w:val="auto"/>
              </w:rPr>
            </w:pPr>
            <w:r>
              <w:rPr>
                <w:rFonts w:ascii="Arial" w:cs="Arial" w:eastAsia="Arial" w:hAnsi="Arial"/>
                <w:sz w:val="14"/>
                <w:szCs w:val="14"/>
                <w:b w:val="1"/>
                <w:bCs w:val="1"/>
                <w:color w:val="5D89B4"/>
              </w:rPr>
              <w:t>(FOR MORE DETAIL)</w:t>
            </w:r>
          </w:p>
        </w:tc>
      </w:tr>
      <w:tr>
        <w:trPr>
          <w:trHeight w:val="369"/>
        </w:trPr>
        <w:tc>
          <w:tcPr>
            <w:tcW w:w="1780" w:type="dxa"/>
            <w:vAlign w:val="bottom"/>
          </w:tcPr>
          <w:p>
            <w:pPr>
              <w:jc w:val="center"/>
              <w:ind w:right="246"/>
              <w:spacing w:after="0"/>
              <w:rPr>
                <w:sz w:val="20"/>
                <w:szCs w:val="20"/>
                <w:color w:val="auto"/>
              </w:rPr>
            </w:pPr>
            <w:r>
              <w:rPr>
                <w:rFonts w:ascii="Arial" w:cs="Arial" w:eastAsia="Arial" w:hAnsi="Arial"/>
                <w:sz w:val="15"/>
                <w:szCs w:val="15"/>
                <w:color w:val="auto"/>
              </w:rPr>
              <w:t>FOR each of</w:t>
            </w:r>
          </w:p>
        </w:tc>
        <w:tc>
          <w:tcPr>
            <w:tcW w:w="1720" w:type="dxa"/>
            <w:vAlign w:val="bottom"/>
          </w:tcPr>
          <w:p>
            <w:pPr>
              <w:jc w:val="center"/>
              <w:ind w:left="227"/>
              <w:spacing w:after="0"/>
              <w:rPr>
                <w:sz w:val="20"/>
                <w:szCs w:val="20"/>
                <w:color w:val="auto"/>
              </w:rPr>
            </w:pPr>
            <w:r>
              <w:rPr>
                <w:rFonts w:ascii="Arial" w:cs="Arial" w:eastAsia="Arial" w:hAnsi="Arial"/>
                <w:sz w:val="15"/>
                <w:szCs w:val="15"/>
                <w:color w:val="auto"/>
              </w:rPr>
              <w:t>73</w:t>
            </w:r>
          </w:p>
        </w:tc>
      </w:tr>
      <w:tr>
        <w:trPr>
          <w:trHeight w:val="181"/>
        </w:trPr>
        <w:tc>
          <w:tcPr>
            <w:tcW w:w="1780" w:type="dxa"/>
            <w:vAlign w:val="bottom"/>
          </w:tcPr>
          <w:p>
            <w:pPr>
              <w:jc w:val="center"/>
              <w:ind w:right="246"/>
              <w:spacing w:after="0"/>
              <w:rPr>
                <w:sz w:val="20"/>
                <w:szCs w:val="20"/>
                <w:color w:val="auto"/>
              </w:rPr>
            </w:pPr>
            <w:r>
              <w:rPr>
                <w:rFonts w:ascii="Arial" w:cs="Arial" w:eastAsia="Arial" w:hAnsi="Arial"/>
                <w:sz w:val="15"/>
                <w:szCs w:val="15"/>
                <w:color w:val="auto"/>
              </w:rPr>
              <w:t>the director nominees</w:t>
            </w:r>
          </w:p>
        </w:tc>
        <w:tc>
          <w:tcPr>
            <w:tcW w:w="1720" w:type="dxa"/>
            <w:vAlign w:val="bottom"/>
          </w:tcPr>
          <w:p>
            <w:pPr>
              <w:spacing w:after="0"/>
              <w:rPr>
                <w:sz w:val="15"/>
                <w:szCs w:val="15"/>
                <w:color w:val="auto"/>
              </w:rPr>
            </w:pPr>
          </w:p>
        </w:tc>
      </w:tr>
    </w:tbl>
    <w:p>
      <w:pPr>
        <w:spacing w:after="0" w:line="199" w:lineRule="exact"/>
        <w:rPr>
          <w:sz w:val="20"/>
          <w:szCs w:val="20"/>
          <w:color w:val="auto"/>
        </w:rPr>
      </w:pPr>
    </w:p>
    <w:p>
      <w:pPr>
        <w:sectPr>
          <w:pgSz w:w="11900" w:h="16838" w:orient="portrait"/>
          <w:cols w:equalWidth="0" w:num="2">
            <w:col w:w="6700" w:space="720"/>
            <w:col w:w="3500"/>
          </w:cols>
          <w:pgMar w:left="480" w:top="233" w:right="49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120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5D89B4"/>
              </w:rPr>
              <w:t>2</w:t>
            </w:r>
          </w:p>
        </w:tc>
        <w:tc>
          <w:tcPr>
            <w:tcW w:w="6220" w:type="dxa"/>
            <w:vAlign w:val="bottom"/>
          </w:tcPr>
          <w:p>
            <w:pPr>
              <w:ind w:left="560"/>
              <w:spacing w:after="0"/>
              <w:rPr>
                <w:sz w:val="20"/>
                <w:szCs w:val="20"/>
                <w:color w:val="auto"/>
              </w:rPr>
            </w:pPr>
            <w:r>
              <w:rPr>
                <w:rFonts w:ascii="Arial" w:cs="Arial" w:eastAsia="Arial" w:hAnsi="Arial"/>
                <w:sz w:val="16"/>
                <w:szCs w:val="16"/>
                <w:color w:val="auto"/>
              </w:rPr>
              <w:t>To ratify the appointment of Deloitte &amp; Touche LLP as our independent</w:t>
            </w:r>
          </w:p>
        </w:tc>
        <w:tc>
          <w:tcPr>
            <w:tcW w:w="1800" w:type="dxa"/>
            <w:vAlign w:val="bottom"/>
            <w:vMerge w:val="restart"/>
          </w:tcPr>
          <w:p>
            <w:pPr>
              <w:ind w:left="560"/>
              <w:spacing w:after="0"/>
              <w:rPr>
                <w:sz w:val="20"/>
                <w:szCs w:val="20"/>
                <w:color w:val="auto"/>
              </w:rPr>
            </w:pPr>
            <w:r>
              <w:rPr>
                <w:rFonts w:ascii="Arial" w:cs="Arial" w:eastAsia="Arial" w:hAnsi="Arial"/>
                <w:sz w:val="15"/>
                <w:szCs w:val="15"/>
                <w:color w:val="auto"/>
              </w:rPr>
              <w:t>FOR</w:t>
            </w:r>
          </w:p>
        </w:tc>
        <w:tc>
          <w:tcPr>
            <w:tcW w:w="1700" w:type="dxa"/>
            <w:vAlign w:val="bottom"/>
            <w:vMerge w:val="restart"/>
          </w:tcPr>
          <w:p>
            <w:pPr>
              <w:jc w:val="right"/>
              <w:ind w:right="544"/>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6220" w:type="dxa"/>
            <w:vAlign w:val="bottom"/>
            <w:vMerge w:val="restart"/>
          </w:tcPr>
          <w:p>
            <w:pPr>
              <w:ind w:left="560"/>
              <w:spacing w:after="0"/>
              <w:rPr>
                <w:sz w:val="20"/>
                <w:szCs w:val="20"/>
                <w:color w:val="auto"/>
              </w:rPr>
            </w:pPr>
            <w:r>
              <w:rPr>
                <w:rFonts w:ascii="Arial" w:cs="Arial" w:eastAsia="Arial" w:hAnsi="Arial"/>
                <w:sz w:val="16"/>
                <w:szCs w:val="16"/>
                <w:color w:val="auto"/>
              </w:rPr>
              <w:t>auditors for 2022;</w:t>
            </w:r>
          </w:p>
        </w:tc>
        <w:tc>
          <w:tcPr>
            <w:tcW w:w="180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00" w:type="dxa"/>
            <w:vAlign w:val="bottom"/>
            <w:tcBorders>
              <w:bottom w:val="single" w:sz="8" w:color="5D89B4"/>
            </w:tcBorders>
          </w:tcPr>
          <w:p>
            <w:pPr>
              <w:spacing w:after="0"/>
              <w:rPr>
                <w:sz w:val="8"/>
                <w:szCs w:val="8"/>
                <w:color w:val="auto"/>
              </w:rPr>
            </w:pPr>
          </w:p>
        </w:tc>
        <w:tc>
          <w:tcPr>
            <w:tcW w:w="6220" w:type="dxa"/>
            <w:vAlign w:val="bottom"/>
            <w:tcBorders>
              <w:bottom w:val="single" w:sz="8" w:color="5D89B4"/>
            </w:tcBorders>
          </w:tcPr>
          <w:p>
            <w:pPr>
              <w:spacing w:after="0"/>
              <w:rPr>
                <w:sz w:val="8"/>
                <w:szCs w:val="8"/>
                <w:color w:val="auto"/>
              </w:rPr>
            </w:pPr>
          </w:p>
        </w:tc>
        <w:tc>
          <w:tcPr>
            <w:tcW w:w="1800" w:type="dxa"/>
            <w:vAlign w:val="bottom"/>
            <w:tcBorders>
              <w:bottom w:val="single" w:sz="8" w:color="5D89B4"/>
            </w:tcBorders>
          </w:tcPr>
          <w:p>
            <w:pPr>
              <w:spacing w:after="0"/>
              <w:rPr>
                <w:sz w:val="8"/>
                <w:szCs w:val="8"/>
                <w:color w:val="auto"/>
              </w:rPr>
            </w:pPr>
          </w:p>
        </w:tc>
        <w:tc>
          <w:tcPr>
            <w:tcW w:w="1700" w:type="dxa"/>
            <w:vAlign w:val="bottom"/>
            <w:tcBorders>
              <w:bottom w:val="single" w:sz="8" w:color="5D89B4"/>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20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5D89B4"/>
              </w:rPr>
              <w:t>3</w:t>
            </w:r>
          </w:p>
        </w:tc>
        <w:tc>
          <w:tcPr>
            <w:tcW w:w="6220" w:type="dxa"/>
            <w:vAlign w:val="bottom"/>
          </w:tcPr>
          <w:p>
            <w:pPr>
              <w:ind w:left="560"/>
              <w:spacing w:after="0"/>
              <w:rPr>
                <w:sz w:val="20"/>
                <w:szCs w:val="20"/>
                <w:color w:val="auto"/>
              </w:rPr>
            </w:pPr>
            <w:r>
              <w:rPr>
                <w:rFonts w:ascii="Arial" w:cs="Arial" w:eastAsia="Arial" w:hAnsi="Arial"/>
                <w:sz w:val="16"/>
                <w:szCs w:val="16"/>
                <w:color w:val="auto"/>
              </w:rPr>
              <w:t>To hold an advisory vote on approval of the compensation of our named</w:t>
            </w:r>
          </w:p>
        </w:tc>
        <w:tc>
          <w:tcPr>
            <w:tcW w:w="1800" w:type="dxa"/>
            <w:vAlign w:val="bottom"/>
            <w:vMerge w:val="restart"/>
          </w:tcPr>
          <w:p>
            <w:pPr>
              <w:ind w:left="560"/>
              <w:spacing w:after="0"/>
              <w:rPr>
                <w:sz w:val="20"/>
                <w:szCs w:val="20"/>
                <w:color w:val="auto"/>
              </w:rPr>
            </w:pPr>
            <w:r>
              <w:rPr>
                <w:rFonts w:ascii="Arial" w:cs="Arial" w:eastAsia="Arial" w:hAnsi="Arial"/>
                <w:sz w:val="15"/>
                <w:szCs w:val="15"/>
                <w:color w:val="auto"/>
              </w:rPr>
              <w:t>FOR</w:t>
            </w:r>
          </w:p>
        </w:tc>
        <w:tc>
          <w:tcPr>
            <w:tcW w:w="1700" w:type="dxa"/>
            <w:vAlign w:val="bottom"/>
            <w:vMerge w:val="restart"/>
          </w:tcPr>
          <w:p>
            <w:pPr>
              <w:jc w:val="right"/>
              <w:ind w:right="544"/>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6220" w:type="dxa"/>
            <w:vAlign w:val="bottom"/>
            <w:vMerge w:val="restart"/>
          </w:tcPr>
          <w:p>
            <w:pPr>
              <w:ind w:left="560"/>
              <w:spacing w:after="0"/>
              <w:rPr>
                <w:sz w:val="20"/>
                <w:szCs w:val="20"/>
                <w:color w:val="auto"/>
              </w:rPr>
            </w:pPr>
            <w:r>
              <w:rPr>
                <w:rFonts w:ascii="Arial" w:cs="Arial" w:eastAsia="Arial" w:hAnsi="Arial"/>
                <w:sz w:val="16"/>
                <w:szCs w:val="16"/>
                <w:color w:val="auto"/>
              </w:rPr>
              <w:t>executive officers; and</w:t>
            </w:r>
          </w:p>
        </w:tc>
        <w:tc>
          <w:tcPr>
            <w:tcW w:w="180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00" w:type="dxa"/>
            <w:vAlign w:val="bottom"/>
            <w:tcBorders>
              <w:bottom w:val="single" w:sz="8" w:color="5D89B4"/>
            </w:tcBorders>
          </w:tcPr>
          <w:p>
            <w:pPr>
              <w:spacing w:after="0"/>
              <w:rPr>
                <w:sz w:val="8"/>
                <w:szCs w:val="8"/>
                <w:color w:val="auto"/>
              </w:rPr>
            </w:pPr>
          </w:p>
        </w:tc>
        <w:tc>
          <w:tcPr>
            <w:tcW w:w="6220" w:type="dxa"/>
            <w:vAlign w:val="bottom"/>
            <w:tcBorders>
              <w:bottom w:val="single" w:sz="8" w:color="5D89B4"/>
            </w:tcBorders>
          </w:tcPr>
          <w:p>
            <w:pPr>
              <w:spacing w:after="0"/>
              <w:rPr>
                <w:sz w:val="8"/>
                <w:szCs w:val="8"/>
                <w:color w:val="auto"/>
              </w:rPr>
            </w:pPr>
          </w:p>
        </w:tc>
        <w:tc>
          <w:tcPr>
            <w:tcW w:w="1800" w:type="dxa"/>
            <w:vAlign w:val="bottom"/>
            <w:tcBorders>
              <w:bottom w:val="single" w:sz="8" w:color="5D89B4"/>
            </w:tcBorders>
          </w:tcPr>
          <w:p>
            <w:pPr>
              <w:spacing w:after="0"/>
              <w:rPr>
                <w:sz w:val="8"/>
                <w:szCs w:val="8"/>
                <w:color w:val="auto"/>
              </w:rPr>
            </w:pPr>
          </w:p>
        </w:tc>
        <w:tc>
          <w:tcPr>
            <w:tcW w:w="1700" w:type="dxa"/>
            <w:vAlign w:val="bottom"/>
            <w:tcBorders>
              <w:bottom w:val="single" w:sz="8" w:color="5D89B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760" w:hanging="1225"/>
        <w:spacing w:after="0"/>
        <w:tabs>
          <w:tab w:leader="none" w:pos="1760" w:val="left"/>
        </w:tabs>
        <w:numPr>
          <w:ilvl w:val="0"/>
          <w:numId w:val="7"/>
        </w:numPr>
        <w:rPr>
          <w:rFonts w:ascii="Arial" w:cs="Arial" w:eastAsia="Arial" w:hAnsi="Arial"/>
          <w:sz w:val="20"/>
          <w:szCs w:val="20"/>
          <w:b w:val="1"/>
          <w:bCs w:val="1"/>
          <w:color w:val="5D89B4"/>
        </w:rPr>
      </w:pPr>
      <w:r>
        <w:rPr>
          <w:rFonts w:ascii="Arial" w:cs="Arial" w:eastAsia="Arial" w:hAnsi="Arial"/>
          <w:sz w:val="16"/>
          <w:szCs w:val="16"/>
          <w:color w:val="auto"/>
        </w:rPr>
        <w:t>To transact such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6929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03" w:lineRule="exact"/>
        <w:rPr>
          <w:sz w:val="20"/>
          <w:szCs w:val="20"/>
          <w:color w:val="auto"/>
        </w:rPr>
      </w:pPr>
    </w:p>
    <w:p>
      <w:pPr>
        <w:ind w:right="360"/>
        <w:spacing w:after="0" w:line="237" w:lineRule="auto"/>
        <w:rPr>
          <w:sz w:val="20"/>
          <w:szCs w:val="20"/>
          <w:color w:val="auto"/>
        </w:rPr>
      </w:pPr>
      <w:r>
        <w:rPr>
          <w:rFonts w:ascii="Arial" w:cs="Arial" w:eastAsia="Arial" w:hAnsi="Arial"/>
          <w:sz w:val="15"/>
          <w:szCs w:val="15"/>
          <w:color w:val="auto"/>
        </w:rPr>
        <w:t>Holders of a majority of the outstanding shares must be present in person or by proxy in order for the annual meeting to be held. For purposes of our meeting, people who attend virtually will be considered in-person.</w:t>
      </w:r>
    </w:p>
    <w:p>
      <w:pPr>
        <w:spacing w:after="0" w:line="180"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b w:val="1"/>
          <w:bCs w:val="1"/>
          <w:color w:val="5D89B4"/>
        </w:rPr>
        <w:t xml:space="preserve">Important Notice Regarding the Availability of Proxy Materials for the Annual Meeting of Shareholders to be held on May 6, 2022: </w:t>
      </w:r>
      <w:r>
        <w:rPr>
          <w:rFonts w:ascii="Arial" w:cs="Arial" w:eastAsia="Arial" w:hAnsi="Arial"/>
          <w:sz w:val="16"/>
          <w:szCs w:val="16"/>
          <w:color w:val="5D89B4"/>
        </w:rPr>
        <w:t>The annual</w:t>
      </w:r>
      <w:r>
        <w:rPr>
          <w:rFonts w:ascii="Arial" w:cs="Arial" w:eastAsia="Arial" w:hAnsi="Arial"/>
          <w:sz w:val="16"/>
          <w:szCs w:val="16"/>
          <w:b w:val="1"/>
          <w:bCs w:val="1"/>
          <w:color w:val="5D89B4"/>
        </w:rPr>
        <w:t xml:space="preserve"> </w:t>
      </w:r>
      <w:r>
        <w:rPr>
          <w:rFonts w:ascii="Arial" w:cs="Arial" w:eastAsia="Arial" w:hAnsi="Arial"/>
          <w:sz w:val="16"/>
          <w:szCs w:val="16"/>
          <w:color w:val="5D89B4"/>
        </w:rPr>
        <w:t>report on Form 10-K and proxy statement of ManpowerGroup are available for review at www.envisionreports.com/MAN.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By Order of the Board of Directors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Richard Buchband, Secretary</w:t>
      </w:r>
    </w:p>
    <w:p>
      <w:pPr>
        <w:spacing w:after="0"/>
        <w:rPr>
          <w:sz w:val="20"/>
          <w:szCs w:val="20"/>
          <w:color w:val="auto"/>
        </w:rPr>
      </w:pPr>
      <w:r>
        <w:rPr>
          <w:rFonts w:ascii="Arial" w:cs="Arial" w:eastAsia="Arial" w:hAnsi="Arial"/>
          <w:sz w:val="14"/>
          <w:szCs w:val="14"/>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6929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2"/>
          <w:szCs w:val="42"/>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6929755" cy="6352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6352540"/>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400"/>
        <w:spacing w:after="0"/>
        <w:rPr>
          <w:sz w:val="20"/>
          <w:szCs w:val="20"/>
          <w:color w:val="auto"/>
        </w:rPr>
      </w:pPr>
      <w:r>
        <w:rPr>
          <w:rFonts w:ascii="Arial" w:cs="Arial" w:eastAsia="Arial" w:hAnsi="Arial"/>
          <w:sz w:val="29"/>
          <w:szCs w:val="29"/>
          <w:color w:val="5D89B4"/>
        </w:rPr>
        <w:t>Proxy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8"/>
          <w:szCs w:val="28"/>
          <w:color w:val="5D89B4"/>
        </w:rPr>
        <w:t>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tabs>
          <w:tab w:leader="none" w:pos="6360" w:val="left"/>
        </w:tabs>
        <w:rPr>
          <w:rFonts w:ascii="Arial" w:cs="Arial" w:eastAsia="Arial" w:hAnsi="Arial"/>
          <w:sz w:val="16"/>
          <w:szCs w:val="16"/>
          <w:color w:val="0000EE"/>
        </w:rPr>
      </w:pPr>
      <w:hyperlink w:anchor="page7">
        <w:r>
          <w:rPr>
            <w:rFonts w:ascii="Arial" w:cs="Arial" w:eastAsia="Arial" w:hAnsi="Arial"/>
            <w:sz w:val="16"/>
            <w:szCs w:val="16"/>
            <w:u w:val="single" w:color="auto"/>
            <w:color w:val="0000EE"/>
          </w:rPr>
          <w:t>2022 Proxy Statement Summary</w:t>
        </w:r>
      </w:hyperlink>
      <w:r>
        <w:rPr>
          <w:rFonts w:ascii="Arial" w:cs="Arial" w:eastAsia="Arial" w:hAnsi="Arial"/>
          <w:sz w:val="16"/>
          <w:szCs w:val="16"/>
          <w:color w:val="0000EE"/>
        </w:rPr>
        <w:tab/>
      </w:r>
      <w:r>
        <w:rPr>
          <w:rFonts w:ascii="Arial" w:cs="Arial" w:eastAsia="Arial" w:hAnsi="Arial"/>
          <w:sz w:val="14"/>
          <w:szCs w:val="14"/>
          <w:b w:val="1"/>
          <w:bCs w:val="1"/>
          <w:color w:val="0000EE"/>
        </w:rPr>
        <w:t>i</w:t>
      </w:r>
    </w:p>
    <w:p>
      <w:pPr>
        <w:spacing w:after="0" w:line="699" w:lineRule="exact"/>
        <w:rPr>
          <w:sz w:val="20"/>
          <w:szCs w:val="20"/>
          <w:color w:val="auto"/>
        </w:rPr>
      </w:pPr>
    </w:p>
    <w:p>
      <w:pPr>
        <w:sectPr>
          <w:pgSz w:w="11900" w:h="16838" w:orient="portrait"/>
          <w:cols w:equalWidth="0" w:num="2">
            <w:col w:w="3720" w:space="720"/>
            <w:col w:w="6480"/>
          </w:cols>
          <w:pgMar w:left="480" w:top="233" w:right="499" w:bottom="1440" w:gutter="0" w:footer="0" w:header="0"/>
          <w:type w:val="continuous"/>
        </w:sectPr>
      </w:pPr>
    </w:p>
    <w:p>
      <w:pPr>
        <w:spacing w:after="0" w:line="254" w:lineRule="exact"/>
        <w:rPr>
          <w:sz w:val="20"/>
          <w:szCs w:val="20"/>
          <w:color w:val="auto"/>
        </w:rPr>
      </w:pPr>
    </w:p>
    <w:p>
      <w:pPr>
        <w:jc w:val="both"/>
        <w:ind w:left="1400" w:right="1180" w:hanging="1085"/>
        <w:spacing w:after="0" w:line="181" w:lineRule="auto"/>
        <w:tabs>
          <w:tab w:leader="none" w:pos="1400" w:val="left"/>
        </w:tabs>
        <w:numPr>
          <w:ilvl w:val="0"/>
          <w:numId w:val="8"/>
        </w:numPr>
        <w:rPr>
          <w:rFonts w:ascii="Arial" w:cs="Arial" w:eastAsia="Arial" w:hAnsi="Arial"/>
          <w:sz w:val="54"/>
          <w:szCs w:val="54"/>
          <w:color w:val="5D89B4"/>
          <w:shd w:val="clear" w:color="auto" w:fill="EAEAEA"/>
        </w:rPr>
      </w:pPr>
      <w:r>
        <w:rPr>
          <w:rFonts w:ascii="Arial" w:cs="Arial" w:eastAsia="Arial" w:hAnsi="Arial"/>
          <w:sz w:val="24"/>
          <w:szCs w:val="24"/>
          <w:color w:val="5D89B4"/>
        </w:rPr>
        <w:t>Board of Directors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740" w:type="dxa"/>
            <w:vAlign w:val="bottom"/>
            <w:gridSpan w:val="5"/>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Director Nominee Biographies</w:t>
              </w:r>
            </w:hyperlink>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0"/>
        </w:trPr>
        <w:tc>
          <w:tcPr>
            <w:tcW w:w="1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line="20" w:lineRule="exact"/>
              <w:rPr>
                <w:sz w:val="1"/>
                <w:szCs w:val="1"/>
                <w:color w:val="auto"/>
              </w:rPr>
            </w:pPr>
          </w:p>
        </w:tc>
      </w:tr>
      <w:tr>
        <w:trPr>
          <w:trHeight w:val="247"/>
        </w:trPr>
        <w:tc>
          <w:tcPr>
            <w:tcW w:w="3740" w:type="dxa"/>
            <w:vAlign w:val="bottom"/>
            <w:gridSpan w:val="5"/>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Composition and Qualifications of Board Members</w:t>
              </w:r>
            </w:hyperlink>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580" w:type="dxa"/>
            <w:vAlign w:val="bottom"/>
            <w:tcBorders>
              <w:top w:val="single" w:sz="8" w:color="0000EE"/>
            </w:tcBorders>
            <w:gridSpan w:val="4"/>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Board Diversity and Tenure</w:t>
              </w:r>
            </w:hyperlink>
          </w:p>
        </w:tc>
        <w:tc>
          <w:tcPr>
            <w:tcW w:w="16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0"/>
        </w:trPr>
        <w:tc>
          <w:tcPr>
            <w:tcW w:w="19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line="20" w:lineRule="exact"/>
              <w:rPr>
                <w:sz w:val="1"/>
                <w:szCs w:val="1"/>
                <w:color w:val="auto"/>
              </w:rPr>
            </w:pPr>
          </w:p>
        </w:tc>
      </w:tr>
      <w:tr>
        <w:trPr>
          <w:trHeight w:val="261"/>
        </w:trPr>
        <w:tc>
          <w:tcPr>
            <w:tcW w:w="3740" w:type="dxa"/>
            <w:vAlign w:val="bottom"/>
            <w:gridSpan w:val="5"/>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Director Compensation for 2021</w:t>
              </w:r>
            </w:hyperlink>
          </w:p>
        </w:tc>
        <w:tc>
          <w:tcPr>
            <w:tcW w:w="2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8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line="20" w:lineRule="exact"/>
              <w:rPr>
                <w:sz w:val="1"/>
                <w:szCs w:val="1"/>
                <w:color w:val="auto"/>
              </w:rPr>
            </w:pPr>
          </w:p>
        </w:tc>
      </w:tr>
      <w:tr>
        <w:trPr>
          <w:trHeight w:val="261"/>
        </w:trPr>
        <w:tc>
          <w:tcPr>
            <w:tcW w:w="3740" w:type="dxa"/>
            <w:vAlign w:val="bottom"/>
            <w:tcBorders>
              <w:bottom w:val="single" w:sz="8" w:color="0000EE"/>
            </w:tcBorders>
            <w:gridSpan w:val="5"/>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Non-Employee Director Stock Ownership Guidelines</w:t>
              </w:r>
            </w:hyperlink>
          </w:p>
        </w:tc>
        <w:tc>
          <w:tcPr>
            <w:tcW w:w="2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2">
            <w:col w:w="3720" w:space="720"/>
            <w:col w:w="6480"/>
          </w:cols>
          <w:pgMar w:left="480" w:top="233" w:right="499" w:bottom="144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40" w:type="dxa"/>
            <w:vAlign w:val="bottom"/>
            <w:shd w:val="clear" w:color="auto" w:fill="EAEAEA"/>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120" w:type="dxa"/>
            <w:vAlign w:val="bottom"/>
            <w:tcBorders>
              <w:bottom w:val="single" w:sz="8" w:color="5D89B4"/>
            </w:tcBorders>
            <w:shd w:val="clear" w:color="auto" w:fill="EAEAEA"/>
          </w:tcPr>
          <w:p>
            <w:pPr>
              <w:spacing w:after="0"/>
              <w:rPr>
                <w:sz w:val="16"/>
                <w:szCs w:val="16"/>
                <w:color w:val="auto"/>
              </w:rPr>
            </w:pPr>
          </w:p>
        </w:tc>
        <w:tc>
          <w:tcPr>
            <w:tcW w:w="980" w:type="dxa"/>
            <w:vAlign w:val="bottom"/>
            <w:tcBorders>
              <w:bottom w:val="single" w:sz="8" w:color="5D89B4"/>
            </w:tcBorders>
            <w:shd w:val="clear" w:color="auto" w:fill="EAEAEA"/>
          </w:tcPr>
          <w:p>
            <w:pPr>
              <w:spacing w:after="0"/>
              <w:rPr>
                <w:sz w:val="16"/>
                <w:szCs w:val="16"/>
                <w:color w:val="auto"/>
              </w:rPr>
            </w:pPr>
          </w:p>
        </w:tc>
        <w:tc>
          <w:tcPr>
            <w:tcW w:w="3040" w:type="dxa"/>
            <w:vAlign w:val="bottom"/>
            <w:tcBorders>
              <w:bottom w:val="single" w:sz="8" w:color="5D89B4"/>
            </w:tcBorders>
            <w:shd w:val="clear" w:color="auto" w:fill="EAEAEA"/>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3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10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0" w:type="dxa"/>
            <w:vAlign w:val="bottom"/>
          </w:tcPr>
          <w:p>
            <w:pPr>
              <w:spacing w:after="0"/>
              <w:rPr>
                <w:sz w:val="24"/>
                <w:szCs w:val="24"/>
                <w:color w:val="auto"/>
              </w:rPr>
            </w:pPr>
          </w:p>
        </w:tc>
        <w:tc>
          <w:tcPr>
            <w:tcW w:w="120" w:type="dxa"/>
            <w:vAlign w:val="bottom"/>
            <w:tcBorders>
              <w:bottom w:val="single" w:sz="8" w:color="EAEAEA"/>
            </w:tcBorders>
            <w:shd w:val="clear" w:color="auto" w:fill="EAEAEA"/>
          </w:tcPr>
          <w:p>
            <w:pPr>
              <w:spacing w:after="0"/>
              <w:rPr>
                <w:sz w:val="24"/>
                <w:szCs w:val="24"/>
                <w:color w:val="auto"/>
              </w:rPr>
            </w:pPr>
          </w:p>
        </w:tc>
        <w:tc>
          <w:tcPr>
            <w:tcW w:w="980" w:type="dxa"/>
            <w:vAlign w:val="bottom"/>
            <w:tcBorders>
              <w:bottom w:val="single" w:sz="8" w:color="EAEAEA"/>
            </w:tcBorders>
            <w:vMerge w:val="restart"/>
            <w:shd w:val="clear" w:color="auto" w:fill="EAEAEA"/>
          </w:tcPr>
          <w:p>
            <w:pPr>
              <w:jc w:val="right"/>
              <w:spacing w:after="0" w:line="1464" w:lineRule="exact"/>
              <w:rPr>
                <w:sz w:val="20"/>
                <w:szCs w:val="20"/>
                <w:color w:val="auto"/>
              </w:rPr>
            </w:pPr>
            <w:r>
              <w:rPr>
                <w:rFonts w:ascii="Arial" w:cs="Arial" w:eastAsia="Arial" w:hAnsi="Arial"/>
                <w:sz w:val="137"/>
                <w:szCs w:val="137"/>
                <w:color w:val="5D89B4"/>
                <w:w w:val="97"/>
                <w:shd w:val="clear" w:color="auto" w:fill="EAEAEA"/>
              </w:rPr>
              <w:t>2</w:t>
            </w:r>
          </w:p>
        </w:tc>
        <w:tc>
          <w:tcPr>
            <w:tcW w:w="30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29"/>
                <w:szCs w:val="29"/>
                <w:color w:val="5D89B4"/>
              </w:rPr>
              <w:t>Governance &amp;</w:t>
            </w:r>
          </w:p>
        </w:tc>
        <w:tc>
          <w:tcPr>
            <w:tcW w:w="100" w:type="dxa"/>
            <w:vAlign w:val="bottom"/>
          </w:tcPr>
          <w:p>
            <w:pPr>
              <w:spacing w:after="0"/>
              <w:rPr>
                <w:sz w:val="24"/>
                <w:szCs w:val="24"/>
                <w:color w:val="auto"/>
              </w:rPr>
            </w:pPr>
          </w:p>
        </w:tc>
        <w:tc>
          <w:tcPr>
            <w:tcW w:w="1980" w:type="dxa"/>
            <w:vAlign w:val="bottom"/>
            <w:tcBorders>
              <w:bottom w:val="single" w:sz="8" w:color="0000EE"/>
            </w:tcBorders>
            <w:gridSpan w:val="5"/>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Board Leadership Structure</w:t>
              </w:r>
            </w:hyperlink>
          </w:p>
        </w:tc>
        <w:tc>
          <w:tcPr>
            <w:tcW w:w="3900" w:type="dxa"/>
            <w:vAlign w:val="bottom"/>
            <w:gridSpan w:val="1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980" w:type="dxa"/>
            <w:vAlign w:val="bottom"/>
            <w:vMerge w:val="continue"/>
            <w:shd w:val="clear" w:color="auto" w:fill="EAEAEA"/>
          </w:tcPr>
          <w:p>
            <w:pPr>
              <w:spacing w:after="0"/>
              <w:rPr>
                <w:sz w:val="21"/>
                <w:szCs w:val="2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Sustainability</w:t>
            </w:r>
          </w:p>
        </w:tc>
        <w:tc>
          <w:tcPr>
            <w:tcW w:w="100" w:type="dxa"/>
            <w:vAlign w:val="bottom"/>
          </w:tcPr>
          <w:p>
            <w:pPr>
              <w:spacing w:after="0"/>
              <w:rPr>
                <w:sz w:val="21"/>
                <w:szCs w:val="21"/>
                <w:color w:val="auto"/>
              </w:rPr>
            </w:pPr>
          </w:p>
        </w:tc>
        <w:tc>
          <w:tcPr>
            <w:tcW w:w="5880" w:type="dxa"/>
            <w:vAlign w:val="bottom"/>
            <w:gridSpan w:val="23"/>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Board Oversight</w:t>
              </w:r>
            </w:hyperlink>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980" w:type="dxa"/>
            <w:vAlign w:val="bottom"/>
            <w:vMerge w:val="continue"/>
            <w:shd w:val="clear" w:color="auto" w:fill="EAEAEA"/>
          </w:tcPr>
          <w:p>
            <w:pPr>
              <w:spacing w:after="0" w:line="20" w:lineRule="exact"/>
              <w:rPr>
                <w:sz w:val="1"/>
                <w:szCs w:val="1"/>
                <w:color w:val="auto"/>
              </w:rPr>
            </w:pPr>
          </w:p>
        </w:tc>
        <w:tc>
          <w:tcPr>
            <w:tcW w:w="3040" w:type="dxa"/>
            <w:vAlign w:val="bottom"/>
            <w:vMerge w:val="continue"/>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980" w:type="dxa"/>
            <w:vAlign w:val="bottom"/>
            <w:vMerge w:val="continue"/>
            <w:shd w:val="clear" w:color="auto" w:fill="EAEAEA"/>
          </w:tcPr>
          <w:p>
            <w:pPr>
              <w:spacing w:after="0"/>
              <w:rPr>
                <w:sz w:val="19"/>
                <w:szCs w:val="19"/>
                <w:color w:val="auto"/>
              </w:rPr>
            </w:pPr>
          </w:p>
        </w:tc>
        <w:tc>
          <w:tcPr>
            <w:tcW w:w="3040" w:type="dxa"/>
            <w:vAlign w:val="bottom"/>
            <w:vMerge w:val="continue"/>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9"/>
            <w:vMerge w:val="restart"/>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Independent Compensation Consultant</w:t>
              </w:r>
            </w:hyperlink>
          </w:p>
        </w:tc>
        <w:tc>
          <w:tcPr>
            <w:tcW w:w="3080" w:type="dxa"/>
            <w:vAlign w:val="bottom"/>
            <w:gridSpan w:val="14"/>
            <w:vMerge w:val="restart"/>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120" w:type="dxa"/>
            <w:vAlign w:val="bottom"/>
            <w:tcBorders>
              <w:bottom w:val="single" w:sz="8" w:color="EAEAEA"/>
            </w:tcBorders>
            <w:shd w:val="clear" w:color="auto" w:fill="EAEAEA"/>
          </w:tcPr>
          <w:p>
            <w:pPr>
              <w:spacing w:after="0"/>
              <w:rPr>
                <w:sz w:val="2"/>
                <w:szCs w:val="2"/>
                <w:color w:val="auto"/>
              </w:rPr>
            </w:pPr>
          </w:p>
        </w:tc>
        <w:tc>
          <w:tcPr>
            <w:tcW w:w="980" w:type="dxa"/>
            <w:vAlign w:val="bottom"/>
            <w:tcBorders>
              <w:bottom w:val="single" w:sz="8" w:color="EAEAEA"/>
            </w:tcBorders>
            <w:vMerge w:val="continue"/>
            <w:shd w:val="clear" w:color="auto" w:fill="EAEAEA"/>
          </w:tcPr>
          <w:p>
            <w:pPr>
              <w:spacing w:after="0"/>
              <w:rPr>
                <w:sz w:val="2"/>
                <w:szCs w:val="2"/>
                <w:color w:val="auto"/>
              </w:rPr>
            </w:pPr>
          </w:p>
        </w:tc>
        <w:tc>
          <w:tcPr>
            <w:tcW w:w="3040" w:type="dxa"/>
            <w:vAlign w:val="bottom"/>
            <w:tcBorders>
              <w:bottom w:val="single" w:sz="8" w:color="EAEAEA"/>
            </w:tcBorders>
            <w:shd w:val="clear" w:color="auto" w:fill="EAEAEA"/>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Borders>
              <w:bottom w:val="single" w:sz="8" w:color="0000EE"/>
            </w:tcBorders>
            <w:gridSpan w:val="9"/>
            <w:vMerge w:val="continue"/>
          </w:tcPr>
          <w:p>
            <w:pPr>
              <w:spacing w:after="0"/>
              <w:rPr>
                <w:sz w:val="2"/>
                <w:szCs w:val="2"/>
                <w:color w:val="auto"/>
              </w:rPr>
            </w:pPr>
          </w:p>
        </w:tc>
        <w:tc>
          <w:tcPr>
            <w:tcW w:w="3080" w:type="dxa"/>
            <w:vAlign w:val="bottom"/>
            <w:gridSpan w:val="14"/>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980" w:type="dxa"/>
            <w:vAlign w:val="bottom"/>
            <w:vMerge w:val="continue"/>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880" w:type="dxa"/>
            <w:vAlign w:val="bottom"/>
            <w:gridSpan w:val="23"/>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Board Independence and Related Party Transactions</w:t>
              </w:r>
            </w:hyperlink>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tcBorders>
              <w:top w:val="single" w:sz="8" w:color="EAEAEA"/>
              <w:bottom w:val="single" w:sz="8" w:color="EAEAEA"/>
            </w:tcBorders>
            <w:shd w:val="clear" w:color="auto" w:fill="EAEAEA"/>
          </w:tcPr>
          <w:p>
            <w:pPr>
              <w:spacing w:after="0"/>
              <w:rPr>
                <w:sz w:val="22"/>
                <w:szCs w:val="22"/>
                <w:color w:val="auto"/>
              </w:rPr>
            </w:pPr>
          </w:p>
        </w:tc>
        <w:tc>
          <w:tcPr>
            <w:tcW w:w="980" w:type="dxa"/>
            <w:vAlign w:val="bottom"/>
            <w:tcBorders>
              <w:top w:val="single" w:sz="8" w:color="EAEAEA"/>
              <w:bottom w:val="single" w:sz="8" w:color="EAEAEA"/>
            </w:tcBorders>
            <w:vMerge w:val="continue"/>
            <w:shd w:val="clear" w:color="auto" w:fill="EAEAEA"/>
          </w:tcPr>
          <w:p>
            <w:pPr>
              <w:spacing w:after="0"/>
              <w:rPr>
                <w:sz w:val="22"/>
                <w:szCs w:val="22"/>
                <w:color w:val="auto"/>
              </w:rPr>
            </w:pPr>
          </w:p>
        </w:tc>
        <w:tc>
          <w:tcPr>
            <w:tcW w:w="3040" w:type="dxa"/>
            <w:vAlign w:val="bottom"/>
            <w:tcBorders>
              <w:top w:val="single" w:sz="8" w:color="EAEAEA"/>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Borders>
              <w:top w:val="single" w:sz="8" w:color="0000EE"/>
              <w:bottom w:val="single" w:sz="8" w:color="0000EE"/>
            </w:tcBorders>
            <w:gridSpan w:val="6"/>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Communicating With Our Board</w:t>
              </w:r>
            </w:hyperlink>
          </w:p>
        </w:tc>
        <w:tc>
          <w:tcPr>
            <w:tcW w:w="1500" w:type="dxa"/>
            <w:vAlign w:val="bottom"/>
            <w:tcBorders>
              <w:top w:val="single" w:sz="8" w:color="0000EE"/>
            </w:tcBorders>
            <w:gridSpan w:val="12"/>
          </w:tcPr>
          <w:p>
            <w:pPr>
              <w:spacing w:after="0"/>
              <w:rPr>
                <w:sz w:val="22"/>
                <w:szCs w:val="22"/>
                <w:color w:val="auto"/>
              </w:rPr>
            </w:pPr>
          </w:p>
        </w:tc>
        <w:tc>
          <w:tcPr>
            <w:tcW w:w="2100" w:type="dxa"/>
            <w:vAlign w:val="bottom"/>
            <w:gridSpan w:val="5"/>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tcBorders>
              <w:bottom w:val="single" w:sz="8" w:color="EAEAEA"/>
            </w:tcBorders>
            <w:shd w:val="clear" w:color="auto" w:fill="EAEAEA"/>
          </w:tcPr>
          <w:p>
            <w:pPr>
              <w:spacing w:after="0"/>
              <w:rPr>
                <w:sz w:val="22"/>
                <w:szCs w:val="22"/>
                <w:color w:val="auto"/>
              </w:rPr>
            </w:pPr>
          </w:p>
        </w:tc>
        <w:tc>
          <w:tcPr>
            <w:tcW w:w="980" w:type="dxa"/>
            <w:vAlign w:val="bottom"/>
            <w:tcBorders>
              <w:bottom w:val="single" w:sz="8" w:color="EAEAEA"/>
            </w:tcBorders>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800" w:type="dxa"/>
            <w:vAlign w:val="bottom"/>
            <w:tcBorders>
              <w:bottom w:val="single" w:sz="8" w:color="0000EE"/>
            </w:tcBorders>
            <w:gridSpan w:val="9"/>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Meetings and Committees of the Board</w:t>
              </w:r>
            </w:hyperlink>
          </w:p>
        </w:tc>
        <w:tc>
          <w:tcPr>
            <w:tcW w:w="3080" w:type="dxa"/>
            <w:vAlign w:val="bottom"/>
            <w:gridSpan w:val="14"/>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980" w:type="dxa"/>
            <w:vAlign w:val="bottom"/>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880" w:type="dxa"/>
            <w:vAlign w:val="bottom"/>
            <w:gridSpan w:val="23"/>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Board Effectiveness and Evaluation</w:t>
              </w:r>
            </w:hyperlink>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20" w:type="dxa"/>
            <w:vAlign w:val="bottom"/>
            <w:tcBorders>
              <w:top w:val="single" w:sz="8" w:color="EAEAEA"/>
              <w:bottom w:val="single" w:sz="8" w:color="5D89B4"/>
            </w:tcBorders>
            <w:shd w:val="clear" w:color="auto" w:fill="EAEAEA"/>
          </w:tcPr>
          <w:p>
            <w:pPr>
              <w:spacing w:after="0"/>
              <w:rPr>
                <w:sz w:val="20"/>
                <w:szCs w:val="20"/>
                <w:color w:val="auto"/>
              </w:rPr>
            </w:pPr>
          </w:p>
        </w:tc>
        <w:tc>
          <w:tcPr>
            <w:tcW w:w="980" w:type="dxa"/>
            <w:vAlign w:val="bottom"/>
            <w:tcBorders>
              <w:top w:val="single" w:sz="8" w:color="EAEAEA"/>
              <w:bottom w:val="single" w:sz="8" w:color="5D89B4"/>
            </w:tcBorders>
            <w:shd w:val="clear" w:color="auto" w:fill="EAEAEA"/>
          </w:tcPr>
          <w:p>
            <w:pPr>
              <w:spacing w:after="0"/>
              <w:rPr>
                <w:sz w:val="20"/>
                <w:szCs w:val="20"/>
                <w:color w:val="auto"/>
              </w:rPr>
            </w:pPr>
          </w:p>
        </w:tc>
        <w:tc>
          <w:tcPr>
            <w:tcW w:w="3040" w:type="dxa"/>
            <w:vAlign w:val="bottom"/>
            <w:tcBorders>
              <w:top w:val="single" w:sz="8" w:color="EAEAEA"/>
              <w:bottom w:val="single" w:sz="8" w:color="5D89B4"/>
            </w:tcBorders>
            <w:shd w:val="clear" w:color="auto" w:fill="EAEAEA"/>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220" w:type="dxa"/>
            <w:vAlign w:val="bottom"/>
            <w:tcBorders>
              <w:top w:val="single" w:sz="8" w:color="0000EE"/>
              <w:bottom w:val="single" w:sz="8" w:color="5D89B4"/>
            </w:tcBorders>
          </w:tcPr>
          <w:p>
            <w:pPr>
              <w:spacing w:after="0"/>
              <w:rPr>
                <w:sz w:val="20"/>
                <w:szCs w:val="20"/>
                <w:color w:val="auto"/>
              </w:rPr>
            </w:pPr>
          </w:p>
        </w:tc>
        <w:tc>
          <w:tcPr>
            <w:tcW w:w="420" w:type="dxa"/>
            <w:vAlign w:val="bottom"/>
            <w:tcBorders>
              <w:top w:val="single" w:sz="8" w:color="0000EE"/>
              <w:bottom w:val="single" w:sz="8" w:color="5D89B4"/>
            </w:tcBorders>
          </w:tcPr>
          <w:p>
            <w:pPr>
              <w:spacing w:after="0"/>
              <w:rPr>
                <w:sz w:val="20"/>
                <w:szCs w:val="20"/>
                <w:color w:val="auto"/>
              </w:rPr>
            </w:pPr>
          </w:p>
        </w:tc>
        <w:tc>
          <w:tcPr>
            <w:tcW w:w="520" w:type="dxa"/>
            <w:vAlign w:val="bottom"/>
            <w:tcBorders>
              <w:top w:val="single" w:sz="8" w:color="0000EE"/>
              <w:bottom w:val="single" w:sz="8" w:color="5D89B4"/>
            </w:tcBorders>
          </w:tcPr>
          <w:p>
            <w:pPr>
              <w:spacing w:after="0"/>
              <w:rPr>
                <w:sz w:val="20"/>
                <w:szCs w:val="20"/>
                <w:color w:val="auto"/>
              </w:rPr>
            </w:pPr>
          </w:p>
        </w:tc>
        <w:tc>
          <w:tcPr>
            <w:tcW w:w="400" w:type="dxa"/>
            <w:vAlign w:val="bottom"/>
            <w:tcBorders>
              <w:top w:val="single" w:sz="8" w:color="0000EE"/>
              <w:bottom w:val="single" w:sz="8" w:color="5D89B4"/>
            </w:tcBorders>
          </w:tcPr>
          <w:p>
            <w:pPr>
              <w:spacing w:after="0"/>
              <w:rPr>
                <w:sz w:val="20"/>
                <w:szCs w:val="20"/>
                <w:color w:val="auto"/>
              </w:rPr>
            </w:pPr>
          </w:p>
        </w:tc>
        <w:tc>
          <w:tcPr>
            <w:tcW w:w="420" w:type="dxa"/>
            <w:vAlign w:val="bottom"/>
            <w:tcBorders>
              <w:top w:val="single" w:sz="8" w:color="0000EE"/>
              <w:bottom w:val="single" w:sz="8" w:color="5D89B4"/>
            </w:tcBorders>
          </w:tcPr>
          <w:p>
            <w:pPr>
              <w:spacing w:after="0"/>
              <w:rPr>
                <w:sz w:val="20"/>
                <w:szCs w:val="20"/>
                <w:color w:val="auto"/>
              </w:rPr>
            </w:pPr>
          </w:p>
        </w:tc>
        <w:tc>
          <w:tcPr>
            <w:tcW w:w="300" w:type="dxa"/>
            <w:vAlign w:val="bottom"/>
            <w:tcBorders>
              <w:top w:val="single" w:sz="8" w:color="0000EE"/>
              <w:bottom w:val="single" w:sz="8" w:color="5D89B4"/>
            </w:tcBorders>
          </w:tcPr>
          <w:p>
            <w:pPr>
              <w:spacing w:after="0"/>
              <w:rPr>
                <w:sz w:val="20"/>
                <w:szCs w:val="20"/>
                <w:color w:val="auto"/>
              </w:rPr>
            </w:pPr>
          </w:p>
        </w:tc>
        <w:tc>
          <w:tcPr>
            <w:tcW w:w="140" w:type="dxa"/>
            <w:vAlign w:val="bottom"/>
            <w:tcBorders>
              <w:top w:val="single" w:sz="8" w:color="0000EE"/>
              <w:bottom w:val="single" w:sz="8" w:color="5D89B4"/>
            </w:tcBorders>
          </w:tcPr>
          <w:p>
            <w:pPr>
              <w:spacing w:after="0"/>
              <w:rPr>
                <w:sz w:val="20"/>
                <w:szCs w:val="20"/>
                <w:color w:val="auto"/>
              </w:rPr>
            </w:pPr>
          </w:p>
        </w:tc>
        <w:tc>
          <w:tcPr>
            <w:tcW w:w="120" w:type="dxa"/>
            <w:vAlign w:val="bottom"/>
            <w:tcBorders>
              <w:top w:val="single" w:sz="8" w:color="0000EE"/>
              <w:bottom w:val="single" w:sz="8" w:color="5D89B4"/>
            </w:tcBorders>
          </w:tcPr>
          <w:p>
            <w:pPr>
              <w:spacing w:after="0"/>
              <w:rPr>
                <w:sz w:val="20"/>
                <w:szCs w:val="20"/>
                <w:color w:val="auto"/>
              </w:rPr>
            </w:pPr>
          </w:p>
        </w:tc>
        <w:tc>
          <w:tcPr>
            <w:tcW w:w="260" w:type="dxa"/>
            <w:vAlign w:val="bottom"/>
            <w:tcBorders>
              <w:bottom w:val="single" w:sz="8" w:color="5D89B4"/>
            </w:tcBorders>
          </w:tcPr>
          <w:p>
            <w:pPr>
              <w:spacing w:after="0"/>
              <w:rPr>
                <w:sz w:val="20"/>
                <w:szCs w:val="20"/>
                <w:color w:val="auto"/>
              </w:rPr>
            </w:pPr>
          </w:p>
        </w:tc>
        <w:tc>
          <w:tcPr>
            <w:tcW w:w="20" w:type="dxa"/>
            <w:vAlign w:val="bottom"/>
            <w:tcBorders>
              <w:bottom w:val="single" w:sz="8" w:color="5D89B4"/>
            </w:tcBorders>
          </w:tcPr>
          <w:p>
            <w:pPr>
              <w:spacing w:after="0"/>
              <w:rPr>
                <w:sz w:val="20"/>
                <w:szCs w:val="20"/>
                <w:color w:val="auto"/>
              </w:rPr>
            </w:pPr>
          </w:p>
        </w:tc>
        <w:tc>
          <w:tcPr>
            <w:tcW w:w="80" w:type="dxa"/>
            <w:vAlign w:val="bottom"/>
            <w:tcBorders>
              <w:bottom w:val="single" w:sz="8" w:color="5D89B4"/>
            </w:tcBorders>
          </w:tcPr>
          <w:p>
            <w:pPr>
              <w:spacing w:after="0"/>
              <w:rPr>
                <w:sz w:val="20"/>
                <w:szCs w:val="20"/>
                <w:color w:val="auto"/>
              </w:rPr>
            </w:pPr>
          </w:p>
        </w:tc>
        <w:tc>
          <w:tcPr>
            <w:tcW w:w="400" w:type="dxa"/>
            <w:vAlign w:val="bottom"/>
            <w:tcBorders>
              <w:bottom w:val="single" w:sz="8" w:color="5D89B4"/>
            </w:tcBorders>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40" w:type="dxa"/>
            <w:vAlign w:val="bottom"/>
            <w:tcBorders>
              <w:bottom w:val="single" w:sz="8" w:color="5D89B4"/>
            </w:tcBorders>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160" w:type="dxa"/>
            <w:vAlign w:val="bottom"/>
            <w:tcBorders>
              <w:bottom w:val="single" w:sz="8" w:color="5D89B4"/>
            </w:tcBorders>
          </w:tcPr>
          <w:p>
            <w:pPr>
              <w:spacing w:after="0"/>
              <w:rPr>
                <w:sz w:val="20"/>
                <w:szCs w:val="20"/>
                <w:color w:val="auto"/>
              </w:rPr>
            </w:pPr>
          </w:p>
        </w:tc>
        <w:tc>
          <w:tcPr>
            <w:tcW w:w="60" w:type="dxa"/>
            <w:vAlign w:val="bottom"/>
            <w:tcBorders>
              <w:bottom w:val="single" w:sz="8" w:color="5D89B4"/>
            </w:tcBorders>
          </w:tcPr>
          <w:p>
            <w:pPr>
              <w:spacing w:after="0"/>
              <w:rPr>
                <w:sz w:val="20"/>
                <w:szCs w:val="20"/>
                <w:color w:val="auto"/>
              </w:rPr>
            </w:pPr>
          </w:p>
        </w:tc>
        <w:tc>
          <w:tcPr>
            <w:tcW w:w="20" w:type="dxa"/>
            <w:vAlign w:val="bottom"/>
            <w:tcBorders>
              <w:bottom w:val="single" w:sz="8" w:color="5D89B4"/>
            </w:tcBorders>
          </w:tcPr>
          <w:p>
            <w:pPr>
              <w:spacing w:after="0"/>
              <w:rPr>
                <w:sz w:val="20"/>
                <w:szCs w:val="20"/>
                <w:color w:val="auto"/>
              </w:rPr>
            </w:pPr>
          </w:p>
        </w:tc>
        <w:tc>
          <w:tcPr>
            <w:tcW w:w="1100" w:type="dxa"/>
            <w:vAlign w:val="bottom"/>
            <w:tcBorders>
              <w:bottom w:val="single" w:sz="8" w:color="5D89B4"/>
            </w:tcBorders>
          </w:tcPr>
          <w:p>
            <w:pPr>
              <w:spacing w:after="0"/>
              <w:rPr>
                <w:sz w:val="20"/>
                <w:szCs w:val="20"/>
                <w:color w:val="auto"/>
              </w:rPr>
            </w:pPr>
          </w:p>
        </w:tc>
        <w:tc>
          <w:tcPr>
            <w:tcW w:w="420" w:type="dxa"/>
            <w:vAlign w:val="bottom"/>
            <w:tcBorders>
              <w:bottom w:val="single" w:sz="8" w:color="5D89B4"/>
            </w:tcBorders>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420" w:type="dxa"/>
            <w:vAlign w:val="bottom"/>
            <w:tcBorders>
              <w:bottom w:val="single" w:sz="8" w:color="5D89B4"/>
            </w:tcBorders>
          </w:tcPr>
          <w:p>
            <w:pPr>
              <w:spacing w:after="0"/>
              <w:rPr>
                <w:sz w:val="20"/>
                <w:szCs w:val="20"/>
                <w:color w:val="auto"/>
              </w:rPr>
            </w:pPr>
          </w:p>
        </w:tc>
        <w:tc>
          <w:tcPr>
            <w:tcW w:w="60" w:type="dxa"/>
            <w:vAlign w:val="bottom"/>
            <w:tcBorders>
              <w:bottom w:val="single" w:sz="8" w:color="5D89B4"/>
            </w:tcBorders>
          </w:tcPr>
          <w:p>
            <w:pPr>
              <w:spacing w:after="0"/>
              <w:rPr>
                <w:sz w:val="20"/>
                <w:szCs w:val="20"/>
                <w:color w:val="auto"/>
              </w:rPr>
            </w:pPr>
          </w:p>
        </w:tc>
        <w:tc>
          <w:tcPr>
            <w:tcW w:w="600" w:type="dxa"/>
            <w:vAlign w:val="bottom"/>
            <w:tcBorders>
              <w:bottom w:val="single" w:sz="8" w:color="5D89B4"/>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Pr>
          <w:p>
            <w:pPr>
              <w:spacing w:after="0"/>
              <w:rPr>
                <w:sz w:val="24"/>
                <w:szCs w:val="24"/>
                <w:color w:val="auto"/>
              </w:rPr>
            </w:pPr>
          </w:p>
        </w:tc>
        <w:tc>
          <w:tcPr>
            <w:tcW w:w="1100" w:type="dxa"/>
            <w:vAlign w:val="bottom"/>
            <w:tcBorders>
              <w:bottom w:val="single" w:sz="8" w:color="EAEAEA"/>
            </w:tcBorders>
            <w:gridSpan w:val="2"/>
            <w:vMerge w:val="restart"/>
            <w:shd w:val="clear" w:color="auto" w:fill="EAEAEA"/>
          </w:tcPr>
          <w:p>
            <w:pPr>
              <w:jc w:val="right"/>
              <w:spacing w:after="0" w:line="1366" w:lineRule="exact"/>
              <w:rPr>
                <w:sz w:val="20"/>
                <w:szCs w:val="20"/>
                <w:color w:val="auto"/>
              </w:rPr>
            </w:pPr>
            <w:r>
              <w:rPr>
                <w:rFonts w:ascii="Arial" w:cs="Arial" w:eastAsia="Arial" w:hAnsi="Arial"/>
                <w:sz w:val="137"/>
                <w:szCs w:val="137"/>
                <w:color w:val="5D89B4"/>
              </w:rPr>
              <w:t>3</w:t>
            </w:r>
          </w:p>
        </w:tc>
        <w:tc>
          <w:tcPr>
            <w:tcW w:w="30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29"/>
                <w:szCs w:val="29"/>
                <w:color w:val="5D89B4"/>
              </w:rPr>
              <w:t>Executive</w:t>
            </w:r>
          </w:p>
        </w:tc>
        <w:tc>
          <w:tcPr>
            <w:tcW w:w="100" w:type="dxa"/>
            <w:vAlign w:val="bottom"/>
          </w:tcPr>
          <w:p>
            <w:pPr>
              <w:spacing w:after="0"/>
              <w:rPr>
                <w:sz w:val="24"/>
                <w:szCs w:val="24"/>
                <w:color w:val="auto"/>
              </w:rPr>
            </w:pPr>
          </w:p>
        </w:tc>
        <w:tc>
          <w:tcPr>
            <w:tcW w:w="2820" w:type="dxa"/>
            <w:vAlign w:val="bottom"/>
            <w:tcBorders>
              <w:bottom w:val="single" w:sz="8" w:color="0000EE"/>
            </w:tcBorders>
            <w:gridSpan w:val="10"/>
          </w:tcPr>
          <w:p>
            <w:pPr>
              <w:spacing w:after="0"/>
              <w:rPr>
                <w:rFonts w:ascii="Arial" w:cs="Arial" w:eastAsia="Arial" w:hAnsi="Arial"/>
                <w:sz w:val="16"/>
                <w:szCs w:val="16"/>
                <w:color w:val="0000EE"/>
                <w:w w:val="99"/>
              </w:rPr>
            </w:pPr>
            <w:hyperlink w:anchor="page34">
              <w:r>
                <w:rPr>
                  <w:rFonts w:ascii="Arial" w:cs="Arial" w:eastAsia="Arial" w:hAnsi="Arial"/>
                  <w:sz w:val="16"/>
                  <w:szCs w:val="16"/>
                  <w:color w:val="0000EE"/>
                  <w:w w:val="99"/>
                </w:rPr>
                <w:t>Compensation Discussion and Analysis</w:t>
              </w:r>
            </w:hyperlink>
          </w:p>
        </w:tc>
        <w:tc>
          <w:tcPr>
            <w:tcW w:w="306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1100" w:type="dxa"/>
            <w:vAlign w:val="bottom"/>
            <w:tcBorders>
              <w:bottom w:val="single" w:sz="8" w:color="EAEAEA"/>
            </w:tcBorders>
            <w:gridSpan w:val="2"/>
            <w:vMerge w:val="continue"/>
            <w:shd w:val="clear" w:color="auto" w:fill="EAEAEA"/>
          </w:tcPr>
          <w:p>
            <w:pPr>
              <w:spacing w:after="0"/>
              <w:rPr>
                <w:sz w:val="21"/>
                <w:szCs w:val="21"/>
                <w:color w:val="auto"/>
              </w:rPr>
            </w:pPr>
          </w:p>
        </w:tc>
        <w:tc>
          <w:tcPr>
            <w:tcW w:w="3040" w:type="dxa"/>
            <w:vAlign w:val="bottom"/>
            <w:tcBorders>
              <w:bottom w:val="single" w:sz="8" w:color="EAEAEA"/>
            </w:tcBorders>
            <w:vMerge w:val="restart"/>
            <w:shd w:val="clear" w:color="auto" w:fill="EAEAEA"/>
          </w:tcPr>
          <w:p>
            <w:pPr>
              <w:ind w:left="100"/>
              <w:spacing w:after="0"/>
              <w:rPr>
                <w:sz w:val="20"/>
                <w:szCs w:val="20"/>
                <w:color w:val="auto"/>
              </w:rPr>
            </w:pPr>
            <w:r>
              <w:rPr>
                <w:rFonts w:ascii="Arial" w:cs="Arial" w:eastAsia="Arial" w:hAnsi="Arial"/>
                <w:sz w:val="29"/>
                <w:szCs w:val="29"/>
                <w:color w:val="5D89B4"/>
              </w:rPr>
              <w:t>Compensation</w:t>
            </w:r>
          </w:p>
        </w:tc>
        <w:tc>
          <w:tcPr>
            <w:tcW w:w="100" w:type="dxa"/>
            <w:vAlign w:val="bottom"/>
          </w:tcPr>
          <w:p>
            <w:pPr>
              <w:spacing w:after="0"/>
              <w:rPr>
                <w:sz w:val="21"/>
                <w:szCs w:val="21"/>
                <w:color w:val="auto"/>
              </w:rPr>
            </w:pPr>
          </w:p>
        </w:tc>
        <w:tc>
          <w:tcPr>
            <w:tcW w:w="5400" w:type="dxa"/>
            <w:vAlign w:val="bottom"/>
            <w:tcBorders>
              <w:bottom w:val="single" w:sz="8" w:color="0000EE"/>
            </w:tcBorders>
            <w:gridSpan w:val="21"/>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Report of the People, Culture and Compensation Committee of the Board of</w:t>
              </w:r>
            </w:hyperlink>
          </w:p>
        </w:tc>
        <w:tc>
          <w:tcPr>
            <w:tcW w:w="480" w:type="dxa"/>
            <w:vAlign w:val="bottom"/>
            <w:gridSpan w:val="2"/>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1100" w:type="dxa"/>
            <w:vAlign w:val="bottom"/>
            <w:gridSpan w:val="2"/>
            <w:vMerge w:val="continue"/>
            <w:shd w:val="clear" w:color="auto" w:fill="EAEAEA"/>
          </w:tcPr>
          <w:p>
            <w:pPr>
              <w:spacing w:after="0"/>
              <w:rPr>
                <w:sz w:val="14"/>
                <w:szCs w:val="14"/>
                <w:color w:val="auto"/>
              </w:rPr>
            </w:pPr>
          </w:p>
        </w:tc>
        <w:tc>
          <w:tcPr>
            <w:tcW w:w="3040" w:type="dxa"/>
            <w:vAlign w:val="bottom"/>
            <w:vMerge w:val="continue"/>
            <w:shd w:val="clear" w:color="auto" w:fill="EAEAEA"/>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gridSpan w:val="23"/>
          </w:tcPr>
          <w:p>
            <w:pPr>
              <w:spacing w:after="0" w:line="168" w:lineRule="exact"/>
              <w:rPr>
                <w:rFonts w:ascii="Arial" w:cs="Arial" w:eastAsia="Arial" w:hAnsi="Arial"/>
                <w:sz w:val="16"/>
                <w:szCs w:val="16"/>
                <w:color w:val="0000EE"/>
              </w:rPr>
            </w:pPr>
            <w:hyperlink w:anchor="page60">
              <w:r>
                <w:rPr>
                  <w:rFonts w:ascii="Arial" w:cs="Arial" w:eastAsia="Arial" w:hAnsi="Arial"/>
                  <w:sz w:val="16"/>
                  <w:szCs w:val="16"/>
                  <w:color w:val="0000EE"/>
                </w:rPr>
                <w:t>Directors</w:t>
              </w:r>
            </w:hyperlink>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gridSpan w:val="2"/>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line="20" w:lineRule="exact"/>
              <w:rPr>
                <w:sz w:val="1"/>
                <w:szCs w:val="1"/>
                <w:color w:val="auto"/>
              </w:rPr>
            </w:pPr>
          </w:p>
        </w:tc>
      </w:tr>
      <w:tr>
        <w:trPr>
          <w:trHeight w:val="261"/>
        </w:trPr>
        <w:tc>
          <w:tcPr>
            <w:tcW w:w="200" w:type="dxa"/>
            <w:vAlign w:val="bottom"/>
          </w:tcPr>
          <w:p>
            <w:pPr>
              <w:spacing w:after="0"/>
              <w:rPr>
                <w:sz w:val="22"/>
                <w:szCs w:val="22"/>
                <w:color w:val="auto"/>
              </w:rPr>
            </w:pPr>
          </w:p>
        </w:tc>
        <w:tc>
          <w:tcPr>
            <w:tcW w:w="1100" w:type="dxa"/>
            <w:vAlign w:val="bottom"/>
            <w:gridSpan w:val="2"/>
            <w:vMerge w:val="continue"/>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880" w:type="dxa"/>
            <w:vAlign w:val="bottom"/>
            <w:gridSpan w:val="23"/>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People, Culture and Compensation Committee Interlocks and Insider Participation</w:t>
              </w:r>
            </w:hyperlink>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100" w:type="dxa"/>
            <w:vAlign w:val="bottom"/>
            <w:tcBorders>
              <w:top w:val="single" w:sz="8" w:color="EAEAEA"/>
              <w:bottom w:val="single" w:sz="8" w:color="EAEAEA"/>
            </w:tcBorders>
            <w:gridSpan w:val="2"/>
            <w:vMerge w:val="continue"/>
            <w:shd w:val="clear" w:color="auto" w:fill="EAEAEA"/>
          </w:tcPr>
          <w:p>
            <w:pPr>
              <w:spacing w:after="0"/>
              <w:rPr>
                <w:sz w:val="22"/>
                <w:szCs w:val="22"/>
                <w:color w:val="auto"/>
              </w:rPr>
            </w:pPr>
          </w:p>
        </w:tc>
        <w:tc>
          <w:tcPr>
            <w:tcW w:w="3040" w:type="dxa"/>
            <w:vAlign w:val="bottom"/>
            <w:tcBorders>
              <w:top w:val="single" w:sz="8" w:color="EAEAEA"/>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8"/>
              </w:rPr>
            </w:pPr>
            <w:hyperlink w:anchor="page61">
              <w:r>
                <w:rPr>
                  <w:rFonts w:ascii="Arial" w:cs="Arial" w:eastAsia="Arial" w:hAnsi="Arial"/>
                  <w:sz w:val="16"/>
                  <w:szCs w:val="16"/>
                  <w:color w:val="0000EE"/>
                  <w:w w:val="98"/>
                </w:rPr>
                <w:t>Compensation Tables</w:t>
              </w:r>
            </w:hyperlink>
          </w:p>
        </w:tc>
        <w:tc>
          <w:tcPr>
            <w:tcW w:w="4260" w:type="dxa"/>
            <w:vAlign w:val="bottom"/>
            <w:tcBorders>
              <w:top w:val="single" w:sz="8" w:color="0000EE"/>
            </w:tcBorders>
            <w:gridSpan w:val="18"/>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Borders>
              <w:bottom w:val="single" w:sz="8" w:color="0000EE"/>
            </w:tcBorders>
            <w:gridSpan w:val="6"/>
          </w:tcPr>
          <w:p>
            <w:pPr>
              <w:spacing w:after="0"/>
              <w:rPr>
                <w:rFonts w:ascii="Arial" w:cs="Arial" w:eastAsia="Arial" w:hAnsi="Arial"/>
                <w:sz w:val="16"/>
                <w:szCs w:val="16"/>
                <w:color w:val="0000EE"/>
                <w:w w:val="98"/>
              </w:rPr>
            </w:pPr>
            <w:hyperlink w:anchor="page61">
              <w:r>
                <w:rPr>
                  <w:rFonts w:ascii="Arial" w:cs="Arial" w:eastAsia="Arial" w:hAnsi="Arial"/>
                  <w:sz w:val="16"/>
                  <w:szCs w:val="16"/>
                  <w:color w:val="0000EE"/>
                  <w:w w:val="98"/>
                </w:rPr>
                <w:t>Summary Compensation Table</w:t>
              </w:r>
            </w:hyperlink>
          </w:p>
        </w:tc>
        <w:tc>
          <w:tcPr>
            <w:tcW w:w="3460" w:type="dxa"/>
            <w:vAlign w:val="bottom"/>
            <w:gridSpan w:val="16"/>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49</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60" w:type="dxa"/>
            <w:vAlign w:val="bottom"/>
            <w:tcBorders>
              <w:bottom w:val="single" w:sz="8" w:color="0000EE"/>
            </w:tcBorders>
            <w:gridSpan w:val="22"/>
          </w:tcPr>
          <w:p>
            <w:pPr>
              <w:spacing w:after="0"/>
              <w:rPr>
                <w:rFonts w:ascii="Arial" w:cs="Arial" w:eastAsia="Arial" w:hAnsi="Arial"/>
                <w:sz w:val="16"/>
                <w:szCs w:val="16"/>
                <w:color w:val="0000EE"/>
                <w:w w:val="99"/>
              </w:rPr>
            </w:pPr>
            <w:hyperlink w:anchor="page62">
              <w:r>
                <w:rPr>
                  <w:rFonts w:ascii="Arial" w:cs="Arial" w:eastAsia="Arial" w:hAnsi="Arial"/>
                  <w:sz w:val="16"/>
                  <w:szCs w:val="16"/>
                  <w:color w:val="0000EE"/>
                  <w:w w:val="99"/>
                </w:rPr>
                <w:t>Supplemental Summary Compensation Table (Year Ended December 31, 2021,</w:t>
              </w:r>
            </w:hyperlink>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50</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120" w:type="dxa"/>
            <w:vAlign w:val="bottom"/>
            <w:tcBorders>
              <w:bottom w:val="single" w:sz="8" w:color="EAEAEA"/>
            </w:tcBorders>
            <w:shd w:val="clear" w:color="auto" w:fill="EAEAEA"/>
          </w:tcPr>
          <w:p>
            <w:pPr>
              <w:spacing w:after="0"/>
              <w:rPr>
                <w:sz w:val="14"/>
                <w:szCs w:val="14"/>
                <w:color w:val="auto"/>
              </w:rPr>
            </w:pPr>
          </w:p>
        </w:tc>
        <w:tc>
          <w:tcPr>
            <w:tcW w:w="980" w:type="dxa"/>
            <w:vAlign w:val="bottom"/>
            <w:tcBorders>
              <w:bottom w:val="single" w:sz="8" w:color="EAEAEA"/>
            </w:tcBorders>
            <w:shd w:val="clear" w:color="auto" w:fill="EAEAEA"/>
          </w:tcPr>
          <w:p>
            <w:pPr>
              <w:spacing w:after="0"/>
              <w:rPr>
                <w:sz w:val="14"/>
                <w:szCs w:val="14"/>
                <w:color w:val="auto"/>
              </w:rPr>
            </w:pPr>
          </w:p>
        </w:tc>
        <w:tc>
          <w:tcPr>
            <w:tcW w:w="3040" w:type="dxa"/>
            <w:vAlign w:val="bottom"/>
            <w:tcBorders>
              <w:bottom w:val="single" w:sz="8" w:color="EAEAEA"/>
            </w:tcBorders>
            <w:shd w:val="clear" w:color="auto" w:fill="EAEAEA"/>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tcBorders>
              <w:bottom w:val="single" w:sz="8" w:color="0000EE"/>
            </w:tcBorders>
            <w:gridSpan w:val="16"/>
          </w:tcPr>
          <w:p>
            <w:pPr>
              <w:spacing w:after="0" w:line="168" w:lineRule="exact"/>
              <w:rPr>
                <w:rFonts w:ascii="Arial" w:cs="Arial" w:eastAsia="Arial" w:hAnsi="Arial"/>
                <w:sz w:val="16"/>
                <w:szCs w:val="16"/>
                <w:color w:val="0000EE"/>
                <w:w w:val="99"/>
              </w:rPr>
            </w:pPr>
            <w:hyperlink w:anchor="page62">
              <w:r>
                <w:rPr>
                  <w:rFonts w:ascii="Arial" w:cs="Arial" w:eastAsia="Arial" w:hAnsi="Arial"/>
                  <w:sz w:val="16"/>
                  <w:szCs w:val="16"/>
                  <w:color w:val="0000EE"/>
                  <w:w w:val="99"/>
                </w:rPr>
                <w:t>excluding One-Time 2021 Special Grant of PSUs)</w:t>
              </w:r>
            </w:hyperlink>
          </w:p>
        </w:tc>
        <w:tc>
          <w:tcPr>
            <w:tcW w:w="2120" w:type="dxa"/>
            <w:vAlign w:val="bottom"/>
            <w:gridSpan w:val="6"/>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980" w:type="dxa"/>
            <w:vAlign w:val="bottom"/>
            <w:shd w:val="clear" w:color="auto" w:fill="EAEAEA"/>
          </w:tcPr>
          <w:p>
            <w:pPr>
              <w:spacing w:after="0"/>
              <w:rPr>
                <w:sz w:val="19"/>
                <w:szCs w:val="19"/>
                <w:color w:val="auto"/>
              </w:rPr>
            </w:pPr>
          </w:p>
        </w:tc>
        <w:tc>
          <w:tcPr>
            <w:tcW w:w="3040" w:type="dxa"/>
            <w:vAlign w:val="bottom"/>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60" w:type="dxa"/>
            <w:vAlign w:val="bottom"/>
            <w:gridSpan w:val="22"/>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Grants of Plan-Based Awards in 2021</w:t>
              </w:r>
            </w:hyperlink>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980" w:type="dxa"/>
            <w:vAlign w:val="bottom"/>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0000EE"/>
            </w:tcBorders>
            <w:gridSpan w:val="2"/>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52</w:t>
            </w:r>
          </w:p>
        </w:tc>
        <w:tc>
          <w:tcPr>
            <w:tcW w:w="0" w:type="dxa"/>
            <w:vAlign w:val="bottom"/>
          </w:tcPr>
          <w:p>
            <w:pPr>
              <w:spacing w:after="0" w:line="20" w:lineRule="exact"/>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tcBorders>
              <w:bottom w:val="single" w:sz="8" w:color="0000EE"/>
            </w:tcBorders>
            <w:gridSpan w:val="14"/>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Compensation Agreements and Arrangements</w:t>
              </w:r>
            </w:hyperlink>
          </w:p>
        </w:tc>
        <w:tc>
          <w:tcPr>
            <w:tcW w:w="2340" w:type="dxa"/>
            <w:vAlign w:val="bottom"/>
            <w:gridSpan w:val="8"/>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tcBorders>
              <w:bottom w:val="single" w:sz="8" w:color="0000EE"/>
            </w:tcBorders>
            <w:gridSpan w:val="12"/>
          </w:tcPr>
          <w:p>
            <w:pPr>
              <w:spacing w:after="0"/>
              <w:rPr>
                <w:rFonts w:ascii="Arial" w:cs="Arial" w:eastAsia="Arial" w:hAnsi="Arial"/>
                <w:sz w:val="16"/>
                <w:szCs w:val="16"/>
                <w:color w:val="0000EE"/>
                <w:w w:val="99"/>
              </w:rPr>
            </w:pPr>
            <w:hyperlink w:anchor="page64">
              <w:r>
                <w:rPr>
                  <w:rFonts w:ascii="Arial" w:cs="Arial" w:eastAsia="Arial" w:hAnsi="Arial"/>
                  <w:sz w:val="16"/>
                  <w:szCs w:val="16"/>
                  <w:color w:val="0000EE"/>
                  <w:w w:val="99"/>
                </w:rPr>
                <w:t>Grants Under the 2011 Equity Incentive Plan</w:t>
              </w:r>
            </w:hyperlink>
          </w:p>
        </w:tc>
        <w:tc>
          <w:tcPr>
            <w:tcW w:w="2480" w:type="dxa"/>
            <w:vAlign w:val="bottom"/>
            <w:gridSpan w:val="10"/>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52</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980" w:type="dxa"/>
            <w:vAlign w:val="bottom"/>
            <w:shd w:val="clear" w:color="auto" w:fill="EAEAEA"/>
          </w:tcPr>
          <w:p>
            <w:pPr>
              <w:spacing w:after="0"/>
              <w:rPr>
                <w:sz w:val="19"/>
                <w:szCs w:val="19"/>
                <w:color w:val="auto"/>
              </w:rPr>
            </w:pPr>
          </w:p>
        </w:tc>
        <w:tc>
          <w:tcPr>
            <w:tcW w:w="3040" w:type="dxa"/>
            <w:vAlign w:val="bottom"/>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60" w:type="dxa"/>
            <w:vAlign w:val="bottom"/>
            <w:gridSpan w:val="22"/>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Outstanding Equity Awards at December 31, 2021</w:t>
              </w:r>
            </w:hyperlink>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53</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980" w:type="dxa"/>
            <w:vAlign w:val="bottom"/>
            <w:tcBorders>
              <w:top w:val="single" w:sz="8" w:color="EAEAEA"/>
              <w:bottom w:val="single" w:sz="8" w:color="EAEAEA"/>
            </w:tcBorders>
            <w:shd w:val="clear" w:color="auto" w:fill="EAEAEA"/>
          </w:tcPr>
          <w:p>
            <w:pPr>
              <w:spacing w:after="0"/>
              <w:rPr>
                <w:sz w:val="19"/>
                <w:szCs w:val="19"/>
                <w:color w:val="auto"/>
              </w:rPr>
            </w:pPr>
          </w:p>
        </w:tc>
        <w:tc>
          <w:tcPr>
            <w:tcW w:w="3040" w:type="dxa"/>
            <w:vAlign w:val="bottom"/>
            <w:tcBorders>
              <w:top w:val="single" w:sz="8" w:color="EAEAEA"/>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9"/>
              </w:rPr>
            </w:pPr>
            <w:hyperlink w:anchor="page67">
              <w:r>
                <w:rPr>
                  <w:rFonts w:ascii="Arial" w:cs="Arial" w:eastAsia="Arial" w:hAnsi="Arial"/>
                  <w:sz w:val="16"/>
                  <w:szCs w:val="16"/>
                  <w:color w:val="0000EE"/>
                  <w:w w:val="99"/>
                </w:rPr>
                <w:t>Option Exercises and Stock Vested in 2021</w:t>
              </w:r>
            </w:hyperlink>
          </w:p>
        </w:tc>
        <w:tc>
          <w:tcPr>
            <w:tcW w:w="480" w:type="dxa"/>
            <w:vAlign w:val="bottom"/>
            <w:tcBorders>
              <w:top w:val="single" w:sz="8" w:color="0000EE"/>
            </w:tcBorders>
            <w:gridSpan w:val="6"/>
          </w:tcPr>
          <w:p>
            <w:pPr>
              <w:spacing w:after="0"/>
              <w:rPr>
                <w:sz w:val="19"/>
                <w:szCs w:val="19"/>
                <w:color w:val="auto"/>
              </w:rPr>
            </w:pPr>
          </w:p>
        </w:tc>
        <w:tc>
          <w:tcPr>
            <w:tcW w:w="2100" w:type="dxa"/>
            <w:vAlign w:val="bottom"/>
            <w:gridSpan w:val="5"/>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55</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Borders>
              <w:bottom w:val="single" w:sz="8" w:color="0000EE"/>
            </w:tcBorders>
            <w:gridSpan w:val="13"/>
          </w:tcPr>
          <w:p>
            <w:pPr>
              <w:spacing w:after="0"/>
              <w:rPr>
                <w:rFonts w:ascii="Arial" w:cs="Arial" w:eastAsia="Arial" w:hAnsi="Arial"/>
                <w:sz w:val="16"/>
                <w:szCs w:val="16"/>
                <w:color w:val="0000EE"/>
                <w:w w:val="99"/>
              </w:rPr>
            </w:pPr>
            <w:hyperlink w:anchor="page68">
              <w:r>
                <w:rPr>
                  <w:rFonts w:ascii="Arial" w:cs="Arial" w:eastAsia="Arial" w:hAnsi="Arial"/>
                  <w:sz w:val="16"/>
                  <w:szCs w:val="16"/>
                  <w:color w:val="0000EE"/>
                  <w:w w:val="99"/>
                </w:rPr>
                <w:t>Nonqualified Deferred Compensation in 2021</w:t>
              </w:r>
            </w:hyperlink>
          </w:p>
        </w:tc>
        <w:tc>
          <w:tcPr>
            <w:tcW w:w="2440" w:type="dxa"/>
            <w:vAlign w:val="bottom"/>
            <w:gridSpan w:val="9"/>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56</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60" w:type="dxa"/>
            <w:vAlign w:val="bottom"/>
            <w:tcBorders>
              <w:bottom w:val="single" w:sz="8" w:color="0000EE"/>
            </w:tcBorders>
            <w:gridSpan w:val="18"/>
          </w:tcPr>
          <w:p>
            <w:pPr>
              <w:spacing w:after="0"/>
              <w:rPr>
                <w:rFonts w:ascii="Arial" w:cs="Arial" w:eastAsia="Arial" w:hAnsi="Arial"/>
                <w:sz w:val="16"/>
                <w:szCs w:val="16"/>
                <w:color w:val="0000EE"/>
                <w:w w:val="99"/>
              </w:rPr>
            </w:pPr>
            <w:hyperlink w:anchor="page70">
              <w:r>
                <w:rPr>
                  <w:rFonts w:ascii="Arial" w:cs="Arial" w:eastAsia="Arial" w:hAnsi="Arial"/>
                  <w:sz w:val="16"/>
                  <w:szCs w:val="16"/>
                  <w:color w:val="0000EE"/>
                  <w:w w:val="99"/>
                </w:rPr>
                <w:t>Termination of Employment and Change of Control Arrangements</w:t>
              </w:r>
            </w:hyperlink>
          </w:p>
        </w:tc>
        <w:tc>
          <w:tcPr>
            <w:tcW w:w="1000" w:type="dxa"/>
            <w:vAlign w:val="bottom"/>
            <w:gridSpan w:val="4"/>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58</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980" w:type="dxa"/>
            <w:vAlign w:val="bottom"/>
            <w:shd w:val="clear" w:color="auto" w:fill="EAEAEA"/>
          </w:tcPr>
          <w:p>
            <w:pPr>
              <w:spacing w:after="0"/>
              <w:rPr>
                <w:sz w:val="19"/>
                <w:szCs w:val="19"/>
                <w:color w:val="auto"/>
              </w:rPr>
            </w:pPr>
          </w:p>
        </w:tc>
        <w:tc>
          <w:tcPr>
            <w:tcW w:w="3040" w:type="dxa"/>
            <w:vAlign w:val="bottom"/>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60" w:type="dxa"/>
            <w:vAlign w:val="bottom"/>
            <w:gridSpan w:val="22"/>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Post-Termination and Change of Control Benefits</w:t>
              </w:r>
            </w:hyperlink>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61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980" w:type="dxa"/>
            <w:vAlign w:val="bottom"/>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gridSpan w:val="13"/>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line="20" w:lineRule="exact"/>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tcBorders>
              <w:bottom w:val="single" w:sz="8" w:color="EAEAEA"/>
            </w:tcBorders>
            <w:shd w:val="clear" w:color="auto" w:fill="EAEAEA"/>
          </w:tcPr>
          <w:p>
            <w:pPr>
              <w:spacing w:after="0"/>
              <w:rPr>
                <w:sz w:val="22"/>
                <w:szCs w:val="22"/>
                <w:color w:val="auto"/>
              </w:rPr>
            </w:pPr>
          </w:p>
        </w:tc>
        <w:tc>
          <w:tcPr>
            <w:tcW w:w="980" w:type="dxa"/>
            <w:vAlign w:val="bottom"/>
            <w:tcBorders>
              <w:bottom w:val="single" w:sz="8" w:color="EAEAEA"/>
            </w:tcBorders>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300" w:type="dxa"/>
            <w:vAlign w:val="bottom"/>
            <w:tcBorders>
              <w:bottom w:val="single" w:sz="8" w:color="0000EE"/>
            </w:tcBorders>
            <w:gridSpan w:val="20"/>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Compensation Policies and Practices as They Relate to Risk Management</w:t>
              </w:r>
            </w:hyperlink>
          </w:p>
        </w:tc>
        <w:tc>
          <w:tcPr>
            <w:tcW w:w="580" w:type="dxa"/>
            <w:vAlign w:val="bottom"/>
            <w:gridSpan w:val="3"/>
          </w:tcPr>
          <w:p>
            <w:pPr>
              <w:spacing w:after="0"/>
              <w:rPr>
                <w:sz w:val="22"/>
                <w:szCs w:val="22"/>
                <w:color w:val="auto"/>
              </w:rPr>
            </w:pP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0" w:type="dxa"/>
            <w:vAlign w:val="bottom"/>
          </w:tcPr>
          <w:p>
            <w:pPr>
              <w:spacing w:after="0"/>
              <w:rPr>
                <w:sz w:val="24"/>
                <w:szCs w:val="24"/>
                <w:color w:val="auto"/>
              </w:rPr>
            </w:pPr>
          </w:p>
        </w:tc>
        <w:tc>
          <w:tcPr>
            <w:tcW w:w="120" w:type="dxa"/>
            <w:vAlign w:val="bottom"/>
            <w:shd w:val="clear" w:color="auto" w:fill="EAEAEA"/>
          </w:tcPr>
          <w:p>
            <w:pPr>
              <w:spacing w:after="0"/>
              <w:rPr>
                <w:sz w:val="24"/>
                <w:szCs w:val="24"/>
                <w:color w:val="auto"/>
              </w:rPr>
            </w:pPr>
          </w:p>
        </w:tc>
        <w:tc>
          <w:tcPr>
            <w:tcW w:w="980" w:type="dxa"/>
            <w:vAlign w:val="bottom"/>
            <w:shd w:val="clear" w:color="auto" w:fill="EAEAEA"/>
          </w:tcPr>
          <w:p>
            <w:pPr>
              <w:spacing w:after="0"/>
              <w:rPr>
                <w:sz w:val="24"/>
                <w:szCs w:val="24"/>
                <w:color w:val="auto"/>
              </w:rPr>
            </w:pPr>
          </w:p>
        </w:tc>
        <w:tc>
          <w:tcPr>
            <w:tcW w:w="3040" w:type="dxa"/>
            <w:vAlign w:val="bottom"/>
            <w:shd w:val="clear" w:color="auto" w:fill="EAEAEA"/>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23"/>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CEO Pay Ratio</w:t>
              </w:r>
            </w:hyperlink>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160"/>
        </w:trPr>
        <w:tc>
          <w:tcPr>
            <w:tcW w:w="200" w:type="dxa"/>
            <w:vAlign w:val="bottom"/>
            <w:tcBorders>
              <w:bottom w:val="single" w:sz="8" w:color="5D89B4"/>
            </w:tcBorders>
          </w:tcPr>
          <w:p>
            <w:pPr>
              <w:spacing w:after="0"/>
              <w:rPr>
                <w:sz w:val="13"/>
                <w:szCs w:val="13"/>
                <w:color w:val="auto"/>
              </w:rPr>
            </w:pPr>
          </w:p>
        </w:tc>
        <w:tc>
          <w:tcPr>
            <w:tcW w:w="120" w:type="dxa"/>
            <w:vAlign w:val="bottom"/>
            <w:tcBorders>
              <w:top w:val="single" w:sz="8" w:color="EAEAEA"/>
              <w:bottom w:val="single" w:sz="8" w:color="5D89B4"/>
            </w:tcBorders>
          </w:tcPr>
          <w:p>
            <w:pPr>
              <w:spacing w:after="0"/>
              <w:rPr>
                <w:sz w:val="13"/>
                <w:szCs w:val="13"/>
                <w:color w:val="auto"/>
              </w:rPr>
            </w:pPr>
          </w:p>
        </w:tc>
        <w:tc>
          <w:tcPr>
            <w:tcW w:w="980" w:type="dxa"/>
            <w:vAlign w:val="bottom"/>
            <w:tcBorders>
              <w:top w:val="single" w:sz="8" w:color="EAEAEA"/>
              <w:bottom w:val="single" w:sz="8" w:color="5D89B4"/>
            </w:tcBorders>
          </w:tcPr>
          <w:p>
            <w:pPr>
              <w:spacing w:after="0"/>
              <w:rPr>
                <w:sz w:val="13"/>
                <w:szCs w:val="13"/>
                <w:color w:val="auto"/>
              </w:rPr>
            </w:pPr>
          </w:p>
        </w:tc>
        <w:tc>
          <w:tcPr>
            <w:tcW w:w="3040" w:type="dxa"/>
            <w:vAlign w:val="bottom"/>
            <w:tcBorders>
              <w:top w:val="single" w:sz="8" w:color="EAEAEA"/>
              <w:bottom w:val="single" w:sz="8" w:color="5D89B4"/>
            </w:tcBorders>
          </w:tcPr>
          <w:p>
            <w:pPr>
              <w:spacing w:after="0"/>
              <w:rPr>
                <w:sz w:val="13"/>
                <w:szCs w:val="13"/>
                <w:color w:val="auto"/>
              </w:rPr>
            </w:pPr>
          </w:p>
        </w:tc>
        <w:tc>
          <w:tcPr>
            <w:tcW w:w="100" w:type="dxa"/>
            <w:vAlign w:val="bottom"/>
            <w:tcBorders>
              <w:bottom w:val="single" w:sz="8" w:color="5D89B4"/>
            </w:tcBorders>
          </w:tcPr>
          <w:p>
            <w:pPr>
              <w:spacing w:after="0"/>
              <w:rPr>
                <w:sz w:val="13"/>
                <w:szCs w:val="13"/>
                <w:color w:val="auto"/>
              </w:rPr>
            </w:pPr>
          </w:p>
        </w:tc>
        <w:tc>
          <w:tcPr>
            <w:tcW w:w="220" w:type="dxa"/>
            <w:vAlign w:val="bottom"/>
            <w:tcBorders>
              <w:top w:val="single" w:sz="8" w:color="0000EE"/>
              <w:bottom w:val="single" w:sz="8" w:color="5D89B4"/>
            </w:tcBorders>
          </w:tcPr>
          <w:p>
            <w:pPr>
              <w:spacing w:after="0"/>
              <w:rPr>
                <w:sz w:val="13"/>
                <w:szCs w:val="13"/>
                <w:color w:val="auto"/>
              </w:rPr>
            </w:pPr>
          </w:p>
        </w:tc>
        <w:tc>
          <w:tcPr>
            <w:tcW w:w="420" w:type="dxa"/>
            <w:vAlign w:val="bottom"/>
            <w:tcBorders>
              <w:top w:val="single" w:sz="8" w:color="0000EE"/>
              <w:bottom w:val="single" w:sz="8" w:color="5D89B4"/>
            </w:tcBorders>
          </w:tcPr>
          <w:p>
            <w:pPr>
              <w:spacing w:after="0"/>
              <w:rPr>
                <w:sz w:val="13"/>
                <w:szCs w:val="13"/>
                <w:color w:val="auto"/>
              </w:rPr>
            </w:pPr>
          </w:p>
        </w:tc>
        <w:tc>
          <w:tcPr>
            <w:tcW w:w="520" w:type="dxa"/>
            <w:vAlign w:val="bottom"/>
            <w:tcBorders>
              <w:top w:val="single" w:sz="8" w:color="0000EE"/>
              <w:bottom w:val="single" w:sz="8" w:color="5D89B4"/>
            </w:tcBorders>
          </w:tcPr>
          <w:p>
            <w:pPr>
              <w:spacing w:after="0"/>
              <w:rPr>
                <w:sz w:val="13"/>
                <w:szCs w:val="13"/>
                <w:color w:val="auto"/>
              </w:rPr>
            </w:pPr>
          </w:p>
        </w:tc>
        <w:tc>
          <w:tcPr>
            <w:tcW w:w="400" w:type="dxa"/>
            <w:vAlign w:val="bottom"/>
            <w:tcBorders>
              <w:bottom w:val="single" w:sz="8" w:color="5D89B4"/>
            </w:tcBorders>
          </w:tcPr>
          <w:p>
            <w:pPr>
              <w:spacing w:after="0"/>
              <w:rPr>
                <w:sz w:val="13"/>
                <w:szCs w:val="13"/>
                <w:color w:val="auto"/>
              </w:rPr>
            </w:pPr>
          </w:p>
        </w:tc>
        <w:tc>
          <w:tcPr>
            <w:tcW w:w="420" w:type="dxa"/>
            <w:vAlign w:val="bottom"/>
            <w:tcBorders>
              <w:bottom w:val="single" w:sz="8" w:color="5D89B4"/>
            </w:tcBorders>
          </w:tcPr>
          <w:p>
            <w:pPr>
              <w:spacing w:after="0"/>
              <w:rPr>
                <w:sz w:val="13"/>
                <w:szCs w:val="13"/>
                <w:color w:val="auto"/>
              </w:rPr>
            </w:pPr>
          </w:p>
        </w:tc>
        <w:tc>
          <w:tcPr>
            <w:tcW w:w="300" w:type="dxa"/>
            <w:vAlign w:val="bottom"/>
            <w:tcBorders>
              <w:bottom w:val="single" w:sz="8" w:color="5D89B4"/>
            </w:tcBorders>
          </w:tcPr>
          <w:p>
            <w:pPr>
              <w:spacing w:after="0"/>
              <w:rPr>
                <w:sz w:val="13"/>
                <w:szCs w:val="13"/>
                <w:color w:val="auto"/>
              </w:rPr>
            </w:pPr>
          </w:p>
        </w:tc>
        <w:tc>
          <w:tcPr>
            <w:tcW w:w="140" w:type="dxa"/>
            <w:vAlign w:val="bottom"/>
            <w:tcBorders>
              <w:bottom w:val="single" w:sz="8" w:color="5D89B4"/>
            </w:tcBorders>
          </w:tcPr>
          <w:p>
            <w:pPr>
              <w:spacing w:after="0"/>
              <w:rPr>
                <w:sz w:val="13"/>
                <w:szCs w:val="13"/>
                <w:color w:val="auto"/>
              </w:rPr>
            </w:pPr>
          </w:p>
        </w:tc>
        <w:tc>
          <w:tcPr>
            <w:tcW w:w="120" w:type="dxa"/>
            <w:vAlign w:val="bottom"/>
            <w:tcBorders>
              <w:bottom w:val="single" w:sz="8" w:color="5D89B4"/>
            </w:tcBorders>
          </w:tcPr>
          <w:p>
            <w:pPr>
              <w:spacing w:after="0"/>
              <w:rPr>
                <w:sz w:val="13"/>
                <w:szCs w:val="13"/>
                <w:color w:val="auto"/>
              </w:rPr>
            </w:pPr>
          </w:p>
        </w:tc>
        <w:tc>
          <w:tcPr>
            <w:tcW w:w="260" w:type="dxa"/>
            <w:vAlign w:val="bottom"/>
            <w:tcBorders>
              <w:bottom w:val="single" w:sz="8" w:color="5D89B4"/>
            </w:tcBorders>
          </w:tcPr>
          <w:p>
            <w:pPr>
              <w:spacing w:after="0"/>
              <w:rPr>
                <w:sz w:val="13"/>
                <w:szCs w:val="13"/>
                <w:color w:val="auto"/>
              </w:rPr>
            </w:pPr>
          </w:p>
        </w:tc>
        <w:tc>
          <w:tcPr>
            <w:tcW w:w="20" w:type="dxa"/>
            <w:vAlign w:val="bottom"/>
            <w:tcBorders>
              <w:bottom w:val="single" w:sz="8" w:color="5D89B4"/>
            </w:tcBorders>
          </w:tcPr>
          <w:p>
            <w:pPr>
              <w:spacing w:after="0"/>
              <w:rPr>
                <w:sz w:val="13"/>
                <w:szCs w:val="13"/>
                <w:color w:val="auto"/>
              </w:rPr>
            </w:pPr>
          </w:p>
        </w:tc>
        <w:tc>
          <w:tcPr>
            <w:tcW w:w="80" w:type="dxa"/>
            <w:vAlign w:val="bottom"/>
            <w:tcBorders>
              <w:bottom w:val="single" w:sz="8" w:color="5D89B4"/>
            </w:tcBorders>
          </w:tcPr>
          <w:p>
            <w:pPr>
              <w:spacing w:after="0"/>
              <w:rPr>
                <w:sz w:val="13"/>
                <w:szCs w:val="13"/>
                <w:color w:val="auto"/>
              </w:rPr>
            </w:pPr>
          </w:p>
        </w:tc>
        <w:tc>
          <w:tcPr>
            <w:tcW w:w="400" w:type="dxa"/>
            <w:vAlign w:val="bottom"/>
            <w:tcBorders>
              <w:bottom w:val="single" w:sz="8" w:color="5D89B4"/>
            </w:tcBorders>
          </w:tcPr>
          <w:p>
            <w:pPr>
              <w:spacing w:after="0"/>
              <w:rPr>
                <w:sz w:val="13"/>
                <w:szCs w:val="13"/>
                <w:color w:val="auto"/>
              </w:rPr>
            </w:pPr>
          </w:p>
        </w:tc>
        <w:tc>
          <w:tcPr>
            <w:tcW w:w="100" w:type="dxa"/>
            <w:vAlign w:val="bottom"/>
            <w:tcBorders>
              <w:bottom w:val="single" w:sz="8" w:color="5D89B4"/>
            </w:tcBorders>
          </w:tcPr>
          <w:p>
            <w:pPr>
              <w:spacing w:after="0"/>
              <w:rPr>
                <w:sz w:val="13"/>
                <w:szCs w:val="13"/>
                <w:color w:val="auto"/>
              </w:rPr>
            </w:pPr>
          </w:p>
        </w:tc>
        <w:tc>
          <w:tcPr>
            <w:tcW w:w="40" w:type="dxa"/>
            <w:vAlign w:val="bottom"/>
            <w:tcBorders>
              <w:bottom w:val="single" w:sz="8" w:color="5D89B4"/>
            </w:tcBorders>
          </w:tcPr>
          <w:p>
            <w:pPr>
              <w:spacing w:after="0"/>
              <w:rPr>
                <w:sz w:val="13"/>
                <w:szCs w:val="13"/>
                <w:color w:val="auto"/>
              </w:rPr>
            </w:pPr>
          </w:p>
        </w:tc>
        <w:tc>
          <w:tcPr>
            <w:tcW w:w="100" w:type="dxa"/>
            <w:vAlign w:val="bottom"/>
            <w:tcBorders>
              <w:bottom w:val="single" w:sz="8" w:color="5D89B4"/>
            </w:tcBorders>
          </w:tcPr>
          <w:p>
            <w:pPr>
              <w:spacing w:after="0"/>
              <w:rPr>
                <w:sz w:val="13"/>
                <w:szCs w:val="13"/>
                <w:color w:val="auto"/>
              </w:rPr>
            </w:pPr>
          </w:p>
        </w:tc>
        <w:tc>
          <w:tcPr>
            <w:tcW w:w="160" w:type="dxa"/>
            <w:vAlign w:val="bottom"/>
            <w:tcBorders>
              <w:bottom w:val="single" w:sz="8" w:color="5D89B4"/>
            </w:tcBorders>
          </w:tcPr>
          <w:p>
            <w:pPr>
              <w:spacing w:after="0"/>
              <w:rPr>
                <w:sz w:val="13"/>
                <w:szCs w:val="13"/>
                <w:color w:val="auto"/>
              </w:rPr>
            </w:pPr>
          </w:p>
        </w:tc>
        <w:tc>
          <w:tcPr>
            <w:tcW w:w="60" w:type="dxa"/>
            <w:vAlign w:val="bottom"/>
            <w:tcBorders>
              <w:bottom w:val="single" w:sz="8" w:color="5D89B4"/>
            </w:tcBorders>
          </w:tcPr>
          <w:p>
            <w:pPr>
              <w:spacing w:after="0"/>
              <w:rPr>
                <w:sz w:val="13"/>
                <w:szCs w:val="13"/>
                <w:color w:val="auto"/>
              </w:rPr>
            </w:pPr>
          </w:p>
        </w:tc>
        <w:tc>
          <w:tcPr>
            <w:tcW w:w="20" w:type="dxa"/>
            <w:vAlign w:val="bottom"/>
            <w:tcBorders>
              <w:bottom w:val="single" w:sz="8" w:color="5D89B4"/>
            </w:tcBorders>
          </w:tcPr>
          <w:p>
            <w:pPr>
              <w:spacing w:after="0"/>
              <w:rPr>
                <w:sz w:val="13"/>
                <w:szCs w:val="13"/>
                <w:color w:val="auto"/>
              </w:rPr>
            </w:pPr>
          </w:p>
        </w:tc>
        <w:tc>
          <w:tcPr>
            <w:tcW w:w="1100" w:type="dxa"/>
            <w:vAlign w:val="bottom"/>
            <w:tcBorders>
              <w:bottom w:val="single" w:sz="8" w:color="5D89B4"/>
            </w:tcBorders>
          </w:tcPr>
          <w:p>
            <w:pPr>
              <w:spacing w:after="0"/>
              <w:rPr>
                <w:sz w:val="13"/>
                <w:szCs w:val="13"/>
                <w:color w:val="auto"/>
              </w:rPr>
            </w:pPr>
          </w:p>
        </w:tc>
        <w:tc>
          <w:tcPr>
            <w:tcW w:w="420" w:type="dxa"/>
            <w:vAlign w:val="bottom"/>
            <w:tcBorders>
              <w:bottom w:val="single" w:sz="8" w:color="5D89B4"/>
            </w:tcBorders>
          </w:tcPr>
          <w:p>
            <w:pPr>
              <w:spacing w:after="0"/>
              <w:rPr>
                <w:sz w:val="13"/>
                <w:szCs w:val="13"/>
                <w:color w:val="auto"/>
              </w:rPr>
            </w:pPr>
          </w:p>
        </w:tc>
        <w:tc>
          <w:tcPr>
            <w:tcW w:w="100" w:type="dxa"/>
            <w:vAlign w:val="bottom"/>
            <w:tcBorders>
              <w:bottom w:val="single" w:sz="8" w:color="5D89B4"/>
            </w:tcBorders>
          </w:tcPr>
          <w:p>
            <w:pPr>
              <w:spacing w:after="0"/>
              <w:rPr>
                <w:sz w:val="13"/>
                <w:szCs w:val="13"/>
                <w:color w:val="auto"/>
              </w:rPr>
            </w:pPr>
          </w:p>
        </w:tc>
        <w:tc>
          <w:tcPr>
            <w:tcW w:w="420" w:type="dxa"/>
            <w:vAlign w:val="bottom"/>
            <w:tcBorders>
              <w:bottom w:val="single" w:sz="8" w:color="5D89B4"/>
            </w:tcBorders>
          </w:tcPr>
          <w:p>
            <w:pPr>
              <w:spacing w:after="0"/>
              <w:rPr>
                <w:sz w:val="13"/>
                <w:szCs w:val="13"/>
                <w:color w:val="auto"/>
              </w:rPr>
            </w:pPr>
          </w:p>
        </w:tc>
        <w:tc>
          <w:tcPr>
            <w:tcW w:w="60" w:type="dxa"/>
            <w:vAlign w:val="bottom"/>
            <w:tcBorders>
              <w:bottom w:val="single" w:sz="8" w:color="5D89B4"/>
            </w:tcBorders>
          </w:tcPr>
          <w:p>
            <w:pPr>
              <w:spacing w:after="0"/>
              <w:rPr>
                <w:sz w:val="13"/>
                <w:szCs w:val="13"/>
                <w:color w:val="auto"/>
              </w:rPr>
            </w:pPr>
          </w:p>
        </w:tc>
        <w:tc>
          <w:tcPr>
            <w:tcW w:w="600" w:type="dxa"/>
            <w:vAlign w:val="bottom"/>
            <w:tcBorders>
              <w:bottom w:val="single" w:sz="8" w:color="5D89B4"/>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233" w:right="499" w:bottom="144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569"/>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580" w:type="dxa"/>
            <w:vAlign w:val="bottom"/>
            <w:gridSpan w:val="11"/>
          </w:tcPr>
          <w:p>
            <w:pPr>
              <w:jc w:val="right"/>
              <w:spacing w:after="0"/>
              <w:rPr>
                <w:sz w:val="20"/>
                <w:szCs w:val="20"/>
                <w:color w:val="auto"/>
              </w:rPr>
            </w:pPr>
            <w:r>
              <w:rPr>
                <w:rFonts w:ascii="Arial" w:cs="Arial" w:eastAsia="Arial" w:hAnsi="Arial"/>
                <w:sz w:val="43"/>
                <w:szCs w:val="43"/>
                <w:b w:val="1"/>
                <w:bCs w:val="1"/>
                <w:color w:val="5D89B4"/>
              </w:rPr>
              <w:t>2022</w:t>
            </w:r>
          </w:p>
        </w:tc>
        <w:tc>
          <w:tcPr>
            <w:tcW w:w="0" w:type="dxa"/>
            <w:vAlign w:val="bottom"/>
          </w:tcPr>
          <w:p>
            <w:pPr>
              <w:spacing w:after="0"/>
              <w:rPr>
                <w:sz w:val="1"/>
                <w:szCs w:val="1"/>
                <w:color w:val="auto"/>
              </w:rPr>
            </w:pPr>
          </w:p>
        </w:tc>
      </w:tr>
      <w:tr>
        <w:trPr>
          <w:trHeight w:val="66"/>
        </w:trPr>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300" w:type="dxa"/>
            <w:vAlign w:val="bottom"/>
            <w:tcBorders>
              <w:bottom w:val="single" w:sz="8" w:color="EAEAEA"/>
            </w:tcBorders>
            <w:gridSpan w:val="2"/>
            <w:shd w:val="clear" w:color="auto" w:fill="EAEAEA"/>
          </w:tcPr>
          <w:p>
            <w:pPr>
              <w:jc w:val="right"/>
              <w:spacing w:after="0" w:line="147" w:lineRule="exact"/>
              <w:rPr>
                <w:sz w:val="20"/>
                <w:szCs w:val="20"/>
                <w:color w:val="auto"/>
              </w:rPr>
            </w:pPr>
            <w:r>
              <w:rPr>
                <w:rFonts w:ascii="Arial" w:cs="Arial" w:eastAsia="Arial" w:hAnsi="Arial"/>
                <w:sz w:val="17"/>
                <w:szCs w:val="17"/>
                <w:color w:val="5D89B4"/>
              </w:rPr>
              <w:t>4</w:t>
            </w:r>
          </w:p>
        </w:tc>
        <w:tc>
          <w:tcPr>
            <w:tcW w:w="3040" w:type="dxa"/>
            <w:vAlign w:val="bottom"/>
            <w:tcBorders>
              <w:bottom w:val="single" w:sz="8" w:color="EAEAEA"/>
            </w:tcBorders>
            <w:shd w:val="clear" w:color="auto" w:fill="EAEAEA"/>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0000EE"/>
            </w:tcBorders>
            <w:gridSpan w:val="2"/>
          </w:tcPr>
          <w:p>
            <w:pPr>
              <w:spacing w:after="0" w:line="161" w:lineRule="exact"/>
              <w:rPr>
                <w:rFonts w:ascii="Arial" w:cs="Arial" w:eastAsia="Arial" w:hAnsi="Arial"/>
                <w:sz w:val="16"/>
                <w:szCs w:val="16"/>
                <w:color w:val="0000EE"/>
                <w:w w:val="99"/>
              </w:rPr>
            </w:pPr>
            <w:hyperlink w:anchor="page79">
              <w:r>
                <w:rPr>
                  <w:rFonts w:ascii="Arial" w:cs="Arial" w:eastAsia="Arial" w:hAnsi="Arial"/>
                  <w:sz w:val="16"/>
                  <w:szCs w:val="16"/>
                  <w:color w:val="0000EE"/>
                  <w:w w:val="99"/>
                </w:rPr>
                <w:t>Audit Committee Report</w:t>
              </w:r>
            </w:hyperlink>
          </w:p>
        </w:tc>
        <w:tc>
          <w:tcPr>
            <w:tcW w:w="4240" w:type="dxa"/>
            <w:vAlign w:val="bottom"/>
            <w:gridSpan w:val="7"/>
          </w:tcPr>
          <w:p>
            <w:pPr>
              <w:spacing w:after="0"/>
              <w:rPr>
                <w:sz w:val="13"/>
                <w:szCs w:val="13"/>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301"/>
        </w:trPr>
        <w:tc>
          <w:tcPr>
            <w:tcW w:w="200" w:type="dxa"/>
            <w:vAlign w:val="bottom"/>
            <w:tcBorders>
              <w:bottom w:val="single" w:sz="8" w:color="EAEAEA"/>
            </w:tcBorders>
            <w:shd w:val="clear" w:color="auto" w:fill="EAEAEA"/>
          </w:tcPr>
          <w:p>
            <w:pPr>
              <w:spacing w:after="0"/>
              <w:rPr>
                <w:sz w:val="24"/>
                <w:szCs w:val="24"/>
                <w:color w:val="auto"/>
              </w:rPr>
            </w:pPr>
          </w:p>
        </w:tc>
        <w:tc>
          <w:tcPr>
            <w:tcW w:w="1100" w:type="dxa"/>
            <w:vAlign w:val="bottom"/>
            <w:tcBorders>
              <w:bottom w:val="single" w:sz="8" w:color="EAEAEA"/>
            </w:tcBorders>
            <w:shd w:val="clear" w:color="auto" w:fill="EAEAEA"/>
          </w:tcPr>
          <w:p>
            <w:pPr>
              <w:spacing w:after="0"/>
              <w:rPr>
                <w:sz w:val="24"/>
                <w:szCs w:val="24"/>
                <w:color w:val="auto"/>
              </w:rPr>
            </w:pPr>
          </w:p>
        </w:tc>
        <w:tc>
          <w:tcPr>
            <w:tcW w:w="3040" w:type="dxa"/>
            <w:vAlign w:val="bottom"/>
            <w:tcBorders>
              <w:bottom w:val="single" w:sz="8" w:color="EAEAEA"/>
            </w:tcBorders>
            <w:shd w:val="clear" w:color="auto" w:fill="EAEAEA"/>
          </w:tcPr>
          <w:p>
            <w:pPr>
              <w:ind w:left="100"/>
              <w:spacing w:after="0" w:line="301" w:lineRule="exact"/>
              <w:rPr>
                <w:sz w:val="20"/>
                <w:szCs w:val="20"/>
                <w:color w:val="auto"/>
              </w:rPr>
            </w:pPr>
            <w:r>
              <w:rPr>
                <w:rFonts w:ascii="Arial" w:cs="Arial" w:eastAsia="Arial" w:hAnsi="Arial"/>
                <w:sz w:val="29"/>
                <w:szCs w:val="29"/>
                <w:color w:val="5D89B4"/>
              </w:rPr>
              <w:t>Audit</w:t>
            </w:r>
          </w:p>
        </w:tc>
        <w:tc>
          <w:tcPr>
            <w:tcW w:w="100" w:type="dxa"/>
            <w:vAlign w:val="bottom"/>
          </w:tcPr>
          <w:p>
            <w:pPr>
              <w:spacing w:after="0"/>
              <w:rPr>
                <w:sz w:val="24"/>
                <w:szCs w:val="24"/>
                <w:color w:val="auto"/>
              </w:rPr>
            </w:pPr>
          </w:p>
        </w:tc>
        <w:tc>
          <w:tcPr>
            <w:tcW w:w="2320" w:type="dxa"/>
            <w:vAlign w:val="bottom"/>
            <w:tcBorders>
              <w:bottom w:val="single" w:sz="8" w:color="0000EE"/>
            </w:tcBorders>
            <w:gridSpan w:val="3"/>
          </w:tcPr>
          <w:p>
            <w:pPr>
              <w:spacing w:after="0"/>
              <w:rPr>
                <w:rFonts w:ascii="Arial" w:cs="Arial" w:eastAsia="Arial" w:hAnsi="Arial"/>
                <w:sz w:val="16"/>
                <w:szCs w:val="16"/>
                <w:color w:val="0000EE"/>
                <w:w w:val="99"/>
              </w:rPr>
            </w:pPr>
            <w:hyperlink w:anchor="page81">
              <w:r>
                <w:rPr>
                  <w:rFonts w:ascii="Arial" w:cs="Arial" w:eastAsia="Arial" w:hAnsi="Arial"/>
                  <w:sz w:val="16"/>
                  <w:szCs w:val="16"/>
                  <w:color w:val="0000EE"/>
                  <w:w w:val="99"/>
                </w:rPr>
                <w:t>Fees Billed by Deloitte &amp; Touche</w:t>
              </w:r>
            </w:hyperlink>
          </w:p>
        </w:tc>
        <w:tc>
          <w:tcPr>
            <w:tcW w:w="36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341"/>
        </w:trPr>
        <w:tc>
          <w:tcPr>
            <w:tcW w:w="200" w:type="dxa"/>
            <w:vAlign w:val="bottom"/>
            <w:shd w:val="clear" w:color="auto" w:fill="EAEAEA"/>
          </w:tcPr>
          <w:p>
            <w:pPr>
              <w:spacing w:after="0"/>
              <w:rPr>
                <w:sz w:val="24"/>
                <w:szCs w:val="24"/>
                <w:color w:val="auto"/>
              </w:rPr>
            </w:pPr>
          </w:p>
        </w:tc>
        <w:tc>
          <w:tcPr>
            <w:tcW w:w="1100" w:type="dxa"/>
            <w:vAlign w:val="bottom"/>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Committee</w:t>
            </w:r>
          </w:p>
        </w:tc>
        <w:tc>
          <w:tcPr>
            <w:tcW w:w="100" w:type="dxa"/>
            <w:vAlign w:val="bottom"/>
          </w:tcPr>
          <w:p>
            <w:pPr>
              <w:spacing w:after="0"/>
              <w:rPr>
                <w:sz w:val="24"/>
                <w:szCs w:val="24"/>
                <w:color w:val="auto"/>
              </w:rPr>
            </w:pPr>
          </w:p>
        </w:tc>
        <w:tc>
          <w:tcPr>
            <w:tcW w:w="5960" w:type="dxa"/>
            <w:vAlign w:val="bottom"/>
            <w:gridSpan w:val="9"/>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Independent Auditor Services Policy</w:t>
              </w:r>
            </w:hyperlink>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95"/>
        </w:trPr>
        <w:tc>
          <w:tcPr>
            <w:tcW w:w="200" w:type="dxa"/>
            <w:vAlign w:val="bottom"/>
            <w:tcBorders>
              <w:top w:val="single" w:sz="8" w:color="EAEAEA"/>
            </w:tcBorders>
            <w:shd w:val="clear" w:color="auto" w:fill="EAEAEA"/>
          </w:tcPr>
          <w:p>
            <w:pPr>
              <w:spacing w:after="0"/>
              <w:rPr>
                <w:sz w:val="8"/>
                <w:szCs w:val="8"/>
                <w:color w:val="auto"/>
              </w:rPr>
            </w:pPr>
          </w:p>
        </w:tc>
        <w:tc>
          <w:tcPr>
            <w:tcW w:w="1100" w:type="dxa"/>
            <w:vAlign w:val="bottom"/>
            <w:tcBorders>
              <w:top w:val="single" w:sz="8" w:color="EAEAEA"/>
            </w:tcBorders>
            <w:shd w:val="clear" w:color="auto" w:fill="EAEAEA"/>
          </w:tcPr>
          <w:p>
            <w:pPr>
              <w:spacing w:after="0"/>
              <w:rPr>
                <w:sz w:val="8"/>
                <w:szCs w:val="8"/>
                <w:color w:val="auto"/>
              </w:rPr>
            </w:pPr>
          </w:p>
        </w:tc>
        <w:tc>
          <w:tcPr>
            <w:tcW w:w="3040" w:type="dxa"/>
            <w:vAlign w:val="bottom"/>
            <w:tcBorders>
              <w:top w:val="single" w:sz="8" w:color="EAEAEA"/>
            </w:tcBorders>
            <w:vMerge w:val="restart"/>
            <w:shd w:val="clear" w:color="auto" w:fill="EAEAEA"/>
          </w:tcPr>
          <w:p>
            <w:pPr>
              <w:ind w:left="100"/>
              <w:spacing w:after="0"/>
              <w:rPr>
                <w:sz w:val="20"/>
                <w:szCs w:val="20"/>
                <w:color w:val="auto"/>
              </w:rPr>
            </w:pPr>
            <w:r>
              <w:rPr>
                <w:rFonts w:ascii="Arial" w:cs="Arial" w:eastAsia="Arial" w:hAnsi="Arial"/>
                <w:sz w:val="29"/>
                <w:szCs w:val="29"/>
                <w:color w:val="5D89B4"/>
              </w:rPr>
              <w:t>Matters</w:t>
            </w:r>
          </w:p>
        </w:tc>
        <w:tc>
          <w:tcPr>
            <w:tcW w:w="100" w:type="dxa"/>
            <w:vAlign w:val="bottom"/>
          </w:tcPr>
          <w:p>
            <w:pPr>
              <w:spacing w:after="0"/>
              <w:rPr>
                <w:sz w:val="8"/>
                <w:szCs w:val="8"/>
                <w:color w:val="auto"/>
              </w:rPr>
            </w:pPr>
          </w:p>
        </w:tc>
        <w:tc>
          <w:tcPr>
            <w:tcW w:w="16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0" w:type="dxa"/>
            <w:vAlign w:val="bottom"/>
            <w:tcBorders>
              <w:bottom w:val="single" w:sz="8" w:color="EAEAEA"/>
            </w:tcBorders>
            <w:shd w:val="clear" w:color="auto" w:fill="EAEAEA"/>
          </w:tcPr>
          <w:p>
            <w:pPr>
              <w:spacing w:after="0"/>
              <w:rPr>
                <w:sz w:val="23"/>
                <w:szCs w:val="23"/>
                <w:color w:val="auto"/>
              </w:rPr>
            </w:pPr>
          </w:p>
        </w:tc>
        <w:tc>
          <w:tcPr>
            <w:tcW w:w="1100" w:type="dxa"/>
            <w:vAlign w:val="bottom"/>
            <w:tcBorders>
              <w:bottom w:val="single" w:sz="8" w:color="EAEAEA"/>
            </w:tcBorders>
            <w:shd w:val="clear" w:color="auto" w:fill="EAEAEA"/>
          </w:tcPr>
          <w:p>
            <w:pPr>
              <w:spacing w:after="0"/>
              <w:rPr>
                <w:sz w:val="23"/>
                <w:szCs w:val="23"/>
                <w:color w:val="auto"/>
              </w:rPr>
            </w:pPr>
          </w:p>
        </w:tc>
        <w:tc>
          <w:tcPr>
            <w:tcW w:w="3040" w:type="dxa"/>
            <w:vAlign w:val="bottom"/>
            <w:tcBorders>
              <w:bottom w:val="single" w:sz="8" w:color="EAEAEA"/>
            </w:tcBorders>
            <w:vMerge w:val="continue"/>
            <w:shd w:val="clear" w:color="auto" w:fill="EAEAEA"/>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100" w:type="dxa"/>
            <w:vAlign w:val="bottom"/>
            <w:tcBorders>
              <w:bottom w:val="single" w:sz="8" w:color="5D89B4"/>
            </w:tcBorders>
            <w:shd w:val="clear" w:color="auto" w:fill="EAEAEA"/>
          </w:tcPr>
          <w:p>
            <w:pPr>
              <w:spacing w:after="0"/>
              <w:rPr>
                <w:sz w:val="16"/>
                <w:szCs w:val="16"/>
                <w:color w:val="auto"/>
              </w:rPr>
            </w:pPr>
          </w:p>
        </w:tc>
        <w:tc>
          <w:tcPr>
            <w:tcW w:w="3040" w:type="dxa"/>
            <w:vAlign w:val="bottom"/>
            <w:tcBorders>
              <w:bottom w:val="single" w:sz="8" w:color="5D89B4"/>
            </w:tcBorders>
            <w:shd w:val="clear" w:color="auto" w:fill="EAEAEA"/>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6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76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40" w:type="dxa"/>
            <w:vAlign w:val="bottom"/>
            <w:tcBorders>
              <w:bottom w:val="single" w:sz="8" w:color="5D89B4"/>
            </w:tcBorders>
          </w:tcPr>
          <w:p>
            <w:pPr>
              <w:spacing w:after="0"/>
              <w:rPr>
                <w:sz w:val="16"/>
                <w:szCs w:val="16"/>
                <w:color w:val="auto"/>
              </w:rPr>
            </w:pPr>
          </w:p>
        </w:tc>
        <w:tc>
          <w:tcPr>
            <w:tcW w:w="30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100" w:type="dxa"/>
            <w:vAlign w:val="bottom"/>
            <w:shd w:val="clear" w:color="auto" w:fill="EAEAEA"/>
          </w:tcPr>
          <w:p>
            <w:pPr>
              <w:jc w:val="right"/>
              <w:spacing w:after="0" w:line="194" w:lineRule="exact"/>
              <w:rPr>
                <w:sz w:val="20"/>
                <w:szCs w:val="20"/>
                <w:color w:val="auto"/>
              </w:rPr>
            </w:pPr>
            <w:r>
              <w:rPr>
                <w:rFonts w:ascii="Arial" w:cs="Arial" w:eastAsia="Arial" w:hAnsi="Arial"/>
                <w:sz w:val="22"/>
                <w:szCs w:val="22"/>
                <w:color w:val="5D89B4"/>
                <w:shd w:val="clear" w:color="auto" w:fill="EAEAEA"/>
              </w:rPr>
              <w:t>5</w:t>
            </w: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Information</w:t>
            </w:r>
          </w:p>
        </w:tc>
        <w:tc>
          <w:tcPr>
            <w:tcW w:w="100" w:type="dxa"/>
            <w:vAlign w:val="bottom"/>
          </w:tcPr>
          <w:p>
            <w:pPr>
              <w:spacing w:after="0"/>
              <w:rPr>
                <w:sz w:val="16"/>
                <w:szCs w:val="16"/>
                <w:color w:val="auto"/>
              </w:rPr>
            </w:pPr>
          </w:p>
        </w:tc>
        <w:tc>
          <w:tcPr>
            <w:tcW w:w="3480" w:type="dxa"/>
            <w:vAlign w:val="bottom"/>
            <w:gridSpan w:val="6"/>
            <w:vMerge w:val="restart"/>
          </w:tcPr>
          <w:p>
            <w:pPr>
              <w:spacing w:after="0"/>
              <w:rPr>
                <w:rFonts w:ascii="Arial" w:cs="Arial" w:eastAsia="Arial" w:hAnsi="Arial"/>
                <w:sz w:val="16"/>
                <w:szCs w:val="16"/>
                <w:color w:val="0000EE"/>
              </w:rPr>
            </w:pPr>
            <w:hyperlink w:anchor="page82">
              <w:r>
                <w:rPr>
                  <w:rFonts w:ascii="Arial" w:cs="Arial" w:eastAsia="Arial" w:hAnsi="Arial"/>
                  <w:sz w:val="16"/>
                  <w:szCs w:val="16"/>
                  <w:color w:val="0000EE"/>
                </w:rPr>
                <w:t>Security Ownership of Certain Beneficial Owners</w:t>
              </w:r>
            </w:hyperlink>
          </w:p>
        </w:tc>
        <w:tc>
          <w:tcPr>
            <w:tcW w:w="2480" w:type="dxa"/>
            <w:vAlign w:val="bottom"/>
            <w:gridSpan w:val="3"/>
            <w:vMerge w:val="restart"/>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100" w:type="dxa"/>
            <w:vAlign w:val="bottom"/>
            <w:tcBorders>
              <w:bottom w:val="single" w:sz="8" w:color="EAEAEA"/>
            </w:tcBorders>
            <w:shd w:val="clear" w:color="auto" w:fill="EAEAEA"/>
          </w:tcPr>
          <w:p>
            <w:pPr>
              <w:spacing w:after="0"/>
              <w:rPr>
                <w:sz w:val="13"/>
                <w:szCs w:val="13"/>
                <w:color w:val="auto"/>
              </w:rPr>
            </w:pPr>
          </w:p>
        </w:tc>
        <w:tc>
          <w:tcPr>
            <w:tcW w:w="3040" w:type="dxa"/>
            <w:vAlign w:val="bottom"/>
            <w:tcBorders>
              <w:bottom w:val="single" w:sz="8" w:color="EAEAEA"/>
            </w:tcBorders>
            <w:vMerge w:val="continue"/>
            <w:shd w:val="clear" w:color="auto" w:fill="EAEAEA"/>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Borders>
              <w:bottom w:val="single" w:sz="8" w:color="0000EE"/>
            </w:tcBorders>
            <w:gridSpan w:val="6"/>
            <w:vMerge w:val="continue"/>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1100" w:type="dxa"/>
            <w:vAlign w:val="bottom"/>
            <w:shd w:val="clear" w:color="auto" w:fill="EAEAEA"/>
          </w:tcPr>
          <w:p>
            <w:pPr>
              <w:spacing w:after="0"/>
              <w:rPr>
                <w:sz w:val="21"/>
                <w:szCs w:val="2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About Stock</w:t>
            </w:r>
          </w:p>
        </w:tc>
        <w:tc>
          <w:tcPr>
            <w:tcW w:w="100" w:type="dxa"/>
            <w:vAlign w:val="bottom"/>
          </w:tcPr>
          <w:p>
            <w:pPr>
              <w:spacing w:after="0"/>
              <w:rPr>
                <w:sz w:val="21"/>
                <w:szCs w:val="21"/>
                <w:color w:val="auto"/>
              </w:rPr>
            </w:pPr>
          </w:p>
        </w:tc>
        <w:tc>
          <w:tcPr>
            <w:tcW w:w="5960" w:type="dxa"/>
            <w:vAlign w:val="bottom"/>
            <w:gridSpan w:val="9"/>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Beneficial Ownership of Directors and Executive Officers</w:t>
              </w:r>
            </w:hyperlink>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1100" w:type="dxa"/>
            <w:vAlign w:val="bottom"/>
            <w:tcBorders>
              <w:top w:val="single" w:sz="8" w:color="EAEAEA"/>
            </w:tcBorders>
            <w:shd w:val="clear" w:color="auto" w:fill="EAEAEA"/>
          </w:tcPr>
          <w:p>
            <w:pPr>
              <w:spacing w:after="0"/>
              <w:rPr>
                <w:sz w:val="18"/>
                <w:szCs w:val="18"/>
                <w:color w:val="auto"/>
              </w:rPr>
            </w:pPr>
          </w:p>
        </w:tc>
        <w:tc>
          <w:tcPr>
            <w:tcW w:w="3040" w:type="dxa"/>
            <w:vAlign w:val="bottom"/>
            <w:tcBorders>
              <w:top w:val="single" w:sz="8" w:color="EAEAEA"/>
            </w:tcBorders>
            <w:vMerge w:val="continue"/>
            <w:shd w:val="clear" w:color="auto" w:fill="EAEAEA"/>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0" w:type="dxa"/>
            <w:vAlign w:val="bottom"/>
          </w:tcPr>
          <w:p>
            <w:pPr>
              <w:spacing w:after="0"/>
              <w:rPr>
                <w:sz w:val="24"/>
                <w:szCs w:val="24"/>
                <w:color w:val="auto"/>
              </w:rPr>
            </w:pPr>
          </w:p>
        </w:tc>
        <w:tc>
          <w:tcPr>
            <w:tcW w:w="1100" w:type="dxa"/>
            <w:vAlign w:val="bottom"/>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Ownership</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1100" w:type="dxa"/>
            <w:vAlign w:val="bottom"/>
            <w:tcBorders>
              <w:bottom w:val="single" w:sz="8" w:color="5D89B4"/>
            </w:tcBorders>
            <w:shd w:val="clear" w:color="auto" w:fill="EAEAEA"/>
          </w:tcPr>
          <w:p>
            <w:pPr>
              <w:spacing w:after="0"/>
              <w:rPr>
                <w:sz w:val="20"/>
                <w:szCs w:val="20"/>
                <w:color w:val="auto"/>
              </w:rPr>
            </w:pPr>
          </w:p>
        </w:tc>
        <w:tc>
          <w:tcPr>
            <w:tcW w:w="3040" w:type="dxa"/>
            <w:vAlign w:val="bottom"/>
            <w:tcBorders>
              <w:bottom w:val="single" w:sz="8" w:color="5D89B4"/>
            </w:tcBorders>
            <w:shd w:val="clear" w:color="auto" w:fill="EAEAEA"/>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1620" w:type="dxa"/>
            <w:vAlign w:val="bottom"/>
            <w:tcBorders>
              <w:bottom w:val="single" w:sz="8" w:color="5D89B4"/>
            </w:tcBorders>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600" w:type="dxa"/>
            <w:vAlign w:val="bottom"/>
            <w:tcBorders>
              <w:bottom w:val="single" w:sz="8" w:color="5D89B4"/>
            </w:tcBorders>
          </w:tcPr>
          <w:p>
            <w:pPr>
              <w:spacing w:after="0"/>
              <w:rPr>
                <w:sz w:val="20"/>
                <w:szCs w:val="20"/>
                <w:color w:val="auto"/>
              </w:rPr>
            </w:pPr>
          </w:p>
        </w:tc>
        <w:tc>
          <w:tcPr>
            <w:tcW w:w="260" w:type="dxa"/>
            <w:vAlign w:val="bottom"/>
            <w:tcBorders>
              <w:bottom w:val="single" w:sz="8" w:color="5D89B4"/>
            </w:tcBorders>
          </w:tcPr>
          <w:p>
            <w:pPr>
              <w:spacing w:after="0"/>
              <w:rPr>
                <w:sz w:val="20"/>
                <w:szCs w:val="20"/>
                <w:color w:val="auto"/>
              </w:rPr>
            </w:pPr>
          </w:p>
        </w:tc>
        <w:tc>
          <w:tcPr>
            <w:tcW w:w="140" w:type="dxa"/>
            <w:vAlign w:val="bottom"/>
            <w:tcBorders>
              <w:bottom w:val="single" w:sz="8" w:color="5D89B4"/>
            </w:tcBorders>
          </w:tcPr>
          <w:p>
            <w:pPr>
              <w:spacing w:after="0"/>
              <w:rPr>
                <w:sz w:val="20"/>
                <w:szCs w:val="20"/>
                <w:color w:val="auto"/>
              </w:rPr>
            </w:pPr>
          </w:p>
        </w:tc>
        <w:tc>
          <w:tcPr>
            <w:tcW w:w="760" w:type="dxa"/>
            <w:vAlign w:val="bottom"/>
            <w:tcBorders>
              <w:bottom w:val="single" w:sz="8" w:color="5D89B4"/>
            </w:tcBorders>
          </w:tcPr>
          <w:p>
            <w:pPr>
              <w:spacing w:after="0"/>
              <w:rPr>
                <w:sz w:val="20"/>
                <w:szCs w:val="20"/>
                <w:color w:val="auto"/>
              </w:rPr>
            </w:pPr>
          </w:p>
        </w:tc>
        <w:tc>
          <w:tcPr>
            <w:tcW w:w="540" w:type="dxa"/>
            <w:vAlign w:val="bottom"/>
            <w:tcBorders>
              <w:bottom w:val="single" w:sz="8" w:color="5D89B4"/>
            </w:tcBorders>
          </w:tcPr>
          <w:p>
            <w:pPr>
              <w:spacing w:after="0"/>
              <w:rPr>
                <w:sz w:val="20"/>
                <w:szCs w:val="20"/>
                <w:color w:val="auto"/>
              </w:rPr>
            </w:pPr>
          </w:p>
        </w:tc>
        <w:tc>
          <w:tcPr>
            <w:tcW w:w="1640" w:type="dxa"/>
            <w:vAlign w:val="bottom"/>
            <w:tcBorders>
              <w:bottom w:val="single" w:sz="8" w:color="5D89B4"/>
            </w:tcBorders>
          </w:tcPr>
          <w:p>
            <w:pPr>
              <w:spacing w:after="0"/>
              <w:rPr>
                <w:sz w:val="20"/>
                <w:szCs w:val="20"/>
                <w:color w:val="auto"/>
              </w:rPr>
            </w:pPr>
          </w:p>
        </w:tc>
        <w:tc>
          <w:tcPr>
            <w:tcW w:w="300" w:type="dxa"/>
            <w:vAlign w:val="bottom"/>
            <w:tcBorders>
              <w:bottom w:val="single" w:sz="8" w:color="5D89B4"/>
            </w:tcBorders>
          </w:tcPr>
          <w:p>
            <w:pPr>
              <w:spacing w:after="0"/>
              <w:rPr>
                <w:sz w:val="20"/>
                <w:szCs w:val="20"/>
                <w:color w:val="auto"/>
              </w:rPr>
            </w:pPr>
          </w:p>
        </w:tc>
        <w:tc>
          <w:tcPr>
            <w:tcW w:w="520" w:type="dxa"/>
            <w:vAlign w:val="bottom"/>
            <w:tcBorders>
              <w:bottom w:val="single" w:sz="8" w:color="5D89B4"/>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Pr>
          <w:p>
            <w:pPr>
              <w:spacing w:after="0"/>
              <w:rPr>
                <w:sz w:val="24"/>
                <w:szCs w:val="24"/>
                <w:color w:val="auto"/>
              </w:rPr>
            </w:pPr>
          </w:p>
        </w:tc>
        <w:tc>
          <w:tcPr>
            <w:tcW w:w="1100" w:type="dxa"/>
            <w:vAlign w:val="bottom"/>
            <w:vMerge w:val="restart"/>
            <w:shd w:val="clear" w:color="auto" w:fill="EAEAEA"/>
          </w:tcPr>
          <w:p>
            <w:pPr>
              <w:jc w:val="right"/>
              <w:spacing w:after="0" w:line="1530" w:lineRule="exact"/>
              <w:rPr>
                <w:sz w:val="20"/>
                <w:szCs w:val="20"/>
                <w:color w:val="auto"/>
              </w:rPr>
            </w:pPr>
            <w:r>
              <w:rPr>
                <w:rFonts w:ascii="Arial" w:cs="Arial" w:eastAsia="Arial" w:hAnsi="Arial"/>
                <w:sz w:val="137"/>
                <w:szCs w:val="137"/>
                <w:color w:val="5D89B4"/>
                <w:shd w:val="clear" w:color="auto" w:fill="EAEAEA"/>
              </w:rPr>
              <w:t>6</w:t>
            </w: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Proposals to</w:t>
            </w:r>
          </w:p>
        </w:tc>
        <w:tc>
          <w:tcPr>
            <w:tcW w:w="100" w:type="dxa"/>
            <w:vAlign w:val="bottom"/>
          </w:tcPr>
          <w:p>
            <w:pPr>
              <w:spacing w:after="0"/>
              <w:rPr>
                <w:sz w:val="24"/>
                <w:szCs w:val="24"/>
                <w:color w:val="auto"/>
              </w:rPr>
            </w:pPr>
          </w:p>
        </w:tc>
        <w:tc>
          <w:tcPr>
            <w:tcW w:w="5960" w:type="dxa"/>
            <w:vAlign w:val="bottom"/>
            <w:gridSpan w:val="9"/>
          </w:tcPr>
          <w:p>
            <w:pPr>
              <w:spacing w:after="0"/>
              <w:rPr>
                <w:rFonts w:ascii="Arial" w:cs="Arial" w:eastAsia="Arial" w:hAnsi="Arial"/>
                <w:sz w:val="16"/>
                <w:szCs w:val="16"/>
                <w:color w:val="0000EE"/>
              </w:rPr>
            </w:pPr>
            <w:hyperlink w:anchor="page85">
              <w:r>
                <w:rPr>
                  <w:rFonts w:ascii="Arial" w:cs="Arial" w:eastAsia="Arial" w:hAnsi="Arial"/>
                  <w:sz w:val="16"/>
                  <w:szCs w:val="16"/>
                  <w:color w:val="0000EE"/>
                </w:rPr>
                <w:t>1: Election of Directors</w:t>
              </w:r>
            </w:hyperlink>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line="20" w:lineRule="exact"/>
              <w:rPr>
                <w:sz w:val="1"/>
                <w:szCs w:val="1"/>
                <w:color w:val="auto"/>
              </w:rPr>
            </w:pPr>
          </w:p>
        </w:tc>
      </w:tr>
      <w:tr>
        <w:trPr>
          <w:trHeight w:val="247"/>
        </w:trPr>
        <w:tc>
          <w:tcPr>
            <w:tcW w:w="200" w:type="dxa"/>
            <w:vAlign w:val="bottom"/>
          </w:tcPr>
          <w:p>
            <w:pPr>
              <w:spacing w:after="0"/>
              <w:rPr>
                <w:sz w:val="21"/>
                <w:szCs w:val="21"/>
                <w:color w:val="auto"/>
              </w:rPr>
            </w:pPr>
          </w:p>
        </w:tc>
        <w:tc>
          <w:tcPr>
            <w:tcW w:w="1100" w:type="dxa"/>
            <w:vAlign w:val="bottom"/>
            <w:vMerge w:val="continue"/>
            <w:shd w:val="clear" w:color="auto" w:fill="EAEAEA"/>
          </w:tcPr>
          <w:p>
            <w:pPr>
              <w:spacing w:after="0"/>
              <w:rPr>
                <w:sz w:val="21"/>
                <w:szCs w:val="2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be Voted on</w:t>
            </w:r>
          </w:p>
        </w:tc>
        <w:tc>
          <w:tcPr>
            <w:tcW w:w="100" w:type="dxa"/>
            <w:vAlign w:val="bottom"/>
          </w:tcPr>
          <w:p>
            <w:pPr>
              <w:spacing w:after="0"/>
              <w:rPr>
                <w:sz w:val="21"/>
                <w:szCs w:val="21"/>
                <w:color w:val="auto"/>
              </w:rPr>
            </w:pPr>
          </w:p>
        </w:tc>
        <w:tc>
          <w:tcPr>
            <w:tcW w:w="5960" w:type="dxa"/>
            <w:vAlign w:val="bottom"/>
            <w:gridSpan w:val="9"/>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2: Ratification of Independent Auditors</w:t>
              </w:r>
            </w:hyperlink>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vMerge w:val="continue"/>
            <w:shd w:val="clear" w:color="auto" w:fill="EAEAEA"/>
          </w:tcPr>
          <w:p>
            <w:pPr>
              <w:spacing w:after="0" w:line="20" w:lineRule="exact"/>
              <w:rPr>
                <w:sz w:val="1"/>
                <w:szCs w:val="1"/>
                <w:color w:val="auto"/>
              </w:rPr>
            </w:pPr>
          </w:p>
        </w:tc>
        <w:tc>
          <w:tcPr>
            <w:tcW w:w="3040" w:type="dxa"/>
            <w:vAlign w:val="bottom"/>
            <w:vMerge w:val="continue"/>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line="20" w:lineRule="exact"/>
              <w:rPr>
                <w:sz w:val="1"/>
                <w:szCs w:val="1"/>
                <w:color w:val="auto"/>
              </w:rPr>
            </w:pPr>
          </w:p>
        </w:tc>
      </w:tr>
      <w:tr>
        <w:trPr>
          <w:trHeight w:val="217"/>
        </w:trPr>
        <w:tc>
          <w:tcPr>
            <w:tcW w:w="200" w:type="dxa"/>
            <w:vAlign w:val="bottom"/>
          </w:tcPr>
          <w:p>
            <w:pPr>
              <w:spacing w:after="0"/>
              <w:rPr>
                <w:sz w:val="18"/>
                <w:szCs w:val="18"/>
                <w:color w:val="auto"/>
              </w:rPr>
            </w:pPr>
          </w:p>
        </w:tc>
        <w:tc>
          <w:tcPr>
            <w:tcW w:w="1100" w:type="dxa"/>
            <w:vAlign w:val="bottom"/>
            <w:vMerge w:val="continue"/>
            <w:shd w:val="clear" w:color="auto" w:fill="EAEAEA"/>
          </w:tcPr>
          <w:p>
            <w:pPr>
              <w:spacing w:after="0"/>
              <w:rPr>
                <w:sz w:val="18"/>
                <w:szCs w:val="18"/>
                <w:color w:val="auto"/>
              </w:rPr>
            </w:pPr>
          </w:p>
        </w:tc>
        <w:tc>
          <w:tcPr>
            <w:tcW w:w="3040" w:type="dxa"/>
            <w:vAlign w:val="bottom"/>
            <w:vMerge w:val="continue"/>
            <w:shd w:val="clear" w:color="auto" w:fill="EAEAEA"/>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gridSpan w:val="9"/>
            <w:vMerge w:val="restart"/>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3: Advisory Vote on Approval of the Compensation of Named Executive Officers</w:t>
              </w:r>
            </w:hyperlink>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0" w:type="dxa"/>
            <w:vAlign w:val="bottom"/>
          </w:tcPr>
          <w:p>
            <w:pPr>
              <w:spacing w:after="0"/>
              <w:rPr>
                <w:sz w:val="3"/>
                <w:szCs w:val="3"/>
                <w:color w:val="auto"/>
              </w:rPr>
            </w:pPr>
          </w:p>
        </w:tc>
        <w:tc>
          <w:tcPr>
            <w:tcW w:w="1100" w:type="dxa"/>
            <w:vAlign w:val="bottom"/>
            <w:vMerge w:val="continue"/>
            <w:shd w:val="clear" w:color="auto" w:fill="EAEAEA"/>
          </w:tcPr>
          <w:p>
            <w:pPr>
              <w:spacing w:after="0"/>
              <w:rPr>
                <w:sz w:val="3"/>
                <w:szCs w:val="3"/>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During the</w:t>
            </w:r>
          </w:p>
        </w:tc>
        <w:tc>
          <w:tcPr>
            <w:tcW w:w="100" w:type="dxa"/>
            <w:vAlign w:val="bottom"/>
          </w:tcPr>
          <w:p>
            <w:pPr>
              <w:spacing w:after="0"/>
              <w:rPr>
                <w:sz w:val="3"/>
                <w:szCs w:val="3"/>
                <w:color w:val="auto"/>
              </w:rPr>
            </w:pPr>
          </w:p>
        </w:tc>
        <w:tc>
          <w:tcPr>
            <w:tcW w:w="5960" w:type="dxa"/>
            <w:vAlign w:val="bottom"/>
            <w:gridSpan w:val="9"/>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100" w:type="dxa"/>
            <w:vAlign w:val="bottom"/>
            <w:tcBorders>
              <w:top w:val="single" w:sz="8" w:color="EAEAEA"/>
            </w:tcBorders>
            <w:vMerge w:val="continue"/>
            <w:shd w:val="clear" w:color="auto" w:fill="EAEAEA"/>
          </w:tcPr>
          <w:p>
            <w:pPr>
              <w:spacing w:after="0"/>
              <w:rPr>
                <w:sz w:val="23"/>
                <w:szCs w:val="23"/>
                <w:color w:val="auto"/>
              </w:rPr>
            </w:pPr>
          </w:p>
        </w:tc>
        <w:tc>
          <w:tcPr>
            <w:tcW w:w="3040" w:type="dxa"/>
            <w:vAlign w:val="bottom"/>
            <w:tcBorders>
              <w:top w:val="single" w:sz="8" w:color="EAEAEA"/>
            </w:tcBorders>
            <w:vMerge w:val="continue"/>
            <w:shd w:val="clear" w:color="auto" w:fill="EAEAEA"/>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640" w:type="dxa"/>
            <w:vAlign w:val="bottom"/>
            <w:tcBorders>
              <w:top w:val="single" w:sz="8" w:color="0000EE"/>
            </w:tcBorders>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200" w:type="dxa"/>
            <w:vAlign w:val="bottom"/>
          </w:tcPr>
          <w:p>
            <w:pPr>
              <w:spacing w:after="0"/>
              <w:rPr>
                <w:sz w:val="24"/>
                <w:szCs w:val="24"/>
                <w:color w:val="auto"/>
              </w:rPr>
            </w:pPr>
          </w:p>
        </w:tc>
        <w:tc>
          <w:tcPr>
            <w:tcW w:w="1100" w:type="dxa"/>
            <w:vAlign w:val="bottom"/>
            <w:vMerge w:val="continue"/>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Meeting</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40" w:type="dxa"/>
            <w:vAlign w:val="bottom"/>
            <w:shd w:val="clear" w:color="auto" w:fill="EAEAEA"/>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-2835910</wp:posOffset>
            </wp:positionV>
            <wp:extent cx="6929755" cy="5630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9755" cy="563054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sectPr>
      </w:pPr>
    </w:p>
    <w:p>
      <w:pPr>
        <w:spacing w:after="0" w:line="397" w:lineRule="exact"/>
        <w:rPr>
          <w:sz w:val="20"/>
          <w:szCs w:val="20"/>
          <w:color w:val="auto"/>
        </w:rPr>
      </w:pPr>
    </w:p>
    <w:p>
      <w:pPr>
        <w:ind w:left="1400" w:right="900" w:hanging="1085"/>
        <w:spacing w:after="0" w:line="180" w:lineRule="auto"/>
        <w:tabs>
          <w:tab w:leader="none" w:pos="1400" w:val="left"/>
        </w:tabs>
        <w:numPr>
          <w:ilvl w:val="0"/>
          <w:numId w:val="9"/>
        </w:numPr>
        <w:rPr>
          <w:rFonts w:ascii="Arial" w:cs="Arial" w:eastAsia="Arial" w:hAnsi="Arial"/>
          <w:sz w:val="67"/>
          <w:szCs w:val="67"/>
          <w:color w:val="5D89B4"/>
        </w:rPr>
      </w:pPr>
      <w:r>
        <w:rPr>
          <w:rFonts w:ascii="Arial" w:cs="Arial" w:eastAsia="Arial" w:hAnsi="Arial"/>
          <w:sz w:val="25"/>
          <w:szCs w:val="25"/>
          <w:color w:val="5D89B4"/>
        </w:rPr>
        <w:t>Information About the Meeting</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90">
              <w:r>
                <w:rPr>
                  <w:rFonts w:ascii="Arial" w:cs="Arial" w:eastAsia="Arial" w:hAnsi="Arial"/>
                  <w:sz w:val="16"/>
                  <w:szCs w:val="16"/>
                  <w:color w:val="0000EE"/>
                  <w:w w:val="99"/>
                </w:rPr>
                <w:t>Date, Time and Place of Meeting</w:t>
              </w:r>
            </w:hyperlink>
          </w:p>
        </w:tc>
        <w:tc>
          <w:tcPr>
            <w:tcW w:w="2360" w:type="dxa"/>
            <w:vAlign w:val="bottom"/>
            <w:gridSpan w:val="6"/>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47"/>
        </w:trPr>
        <w:tc>
          <w:tcPr>
            <w:tcW w:w="4700" w:type="dxa"/>
            <w:vAlign w:val="bottom"/>
            <w:gridSpan w:val="10"/>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Proxy Materials are Available on the Internet</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61"/>
        </w:trPr>
        <w:tc>
          <w:tcPr>
            <w:tcW w:w="3160" w:type="dxa"/>
            <w:vAlign w:val="bottom"/>
            <w:tcBorders>
              <w:top w:val="single" w:sz="8" w:color="0000EE"/>
            </w:tcBorders>
            <w:gridSpan w:val="9"/>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Participating in the Annual Meeting</w:t>
              </w:r>
            </w:hyperlink>
          </w:p>
        </w:tc>
        <w:tc>
          <w:tcPr>
            <w:tcW w:w="15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61"/>
        </w:trPr>
        <w:tc>
          <w:tcPr>
            <w:tcW w:w="2480" w:type="dxa"/>
            <w:vAlign w:val="bottom"/>
            <w:tcBorders>
              <w:top w:val="single" w:sz="8" w:color="0000EE"/>
            </w:tcBorders>
            <w:gridSpan w:val="5"/>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Soliciting Proxies</w:t>
              </w:r>
            </w:hyperlink>
          </w:p>
        </w:tc>
        <w:tc>
          <w:tcPr>
            <w:tcW w:w="2220" w:type="dxa"/>
            <w:vAlign w:val="bottom"/>
            <w:gridSpan w:val="5"/>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line="20" w:lineRule="exact"/>
              <w:rPr>
                <w:sz w:val="1"/>
                <w:szCs w:val="1"/>
                <w:color w:val="auto"/>
              </w:rPr>
            </w:pPr>
          </w:p>
        </w:tc>
      </w:tr>
      <w:tr>
        <w:trPr>
          <w:trHeight w:val="261"/>
        </w:trPr>
        <w:tc>
          <w:tcPr>
            <w:tcW w:w="4700" w:type="dxa"/>
            <w:vAlign w:val="bottom"/>
            <w:gridSpan w:val="10"/>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Vote Required and Voting Standards</w:t>
              </w:r>
            </w:hyperlink>
          </w:p>
        </w:tc>
        <w:tc>
          <w:tcPr>
            <w:tcW w:w="1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5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9"/>
              </w:rPr>
            </w:pPr>
            <w:hyperlink w:anchor="page93">
              <w:r>
                <w:rPr>
                  <w:rFonts w:ascii="Arial" w:cs="Arial" w:eastAsia="Arial" w:hAnsi="Arial"/>
                  <w:sz w:val="16"/>
                  <w:szCs w:val="16"/>
                  <w:color w:val="0000EE"/>
                  <w:w w:val="99"/>
                </w:rPr>
                <w:t>Corporate Governance Documents</w:t>
              </w:r>
            </w:hyperlink>
          </w:p>
        </w:tc>
        <w:tc>
          <w:tcPr>
            <w:tcW w:w="100" w:type="dxa"/>
            <w:vAlign w:val="bottom"/>
            <w:tcBorders>
              <w:top w:val="single" w:sz="8" w:color="0000EE"/>
            </w:tcBorders>
          </w:tcPr>
          <w:p>
            <w:pPr>
              <w:spacing w:after="0"/>
              <w:rPr>
                <w:sz w:val="22"/>
                <w:szCs w:val="22"/>
                <w:color w:val="auto"/>
              </w:rPr>
            </w:pPr>
          </w:p>
        </w:tc>
        <w:tc>
          <w:tcPr>
            <w:tcW w:w="2100" w:type="dxa"/>
            <w:vAlign w:val="bottom"/>
            <w:gridSpan w:val="3"/>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261"/>
        </w:trPr>
        <w:tc>
          <w:tcPr>
            <w:tcW w:w="2700" w:type="dxa"/>
            <w:vAlign w:val="bottom"/>
            <w:tcBorders>
              <w:bottom w:val="single" w:sz="8" w:color="0000EE"/>
            </w:tcBorders>
            <w:gridSpan w:val="8"/>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Submission of Shareholder Proposals</w:t>
              </w:r>
            </w:hyperlink>
          </w:p>
        </w:tc>
        <w:tc>
          <w:tcPr>
            <w:tcW w:w="2000" w:type="dxa"/>
            <w:vAlign w:val="bottom"/>
            <w:gridSpan w:val="2"/>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61"/>
        </w:trPr>
        <w:tc>
          <w:tcPr>
            <w:tcW w:w="4700" w:type="dxa"/>
            <w:vAlign w:val="bottom"/>
            <w:gridSpan w:val="10"/>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Other Voting Information</w:t>
              </w:r>
            </w:hyperlink>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61"/>
        </w:trPr>
        <w:tc>
          <w:tcPr>
            <w:tcW w:w="1740" w:type="dxa"/>
            <w:vAlign w:val="bottom"/>
            <w:tcBorders>
              <w:top w:val="single" w:sz="8" w:color="0000EE"/>
            </w:tcBorders>
            <w:gridSpan w:val="3"/>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Other Matters</w:t>
              </w:r>
            </w:hyperlink>
          </w:p>
        </w:tc>
        <w:tc>
          <w:tcPr>
            <w:tcW w:w="2960" w:type="dxa"/>
            <w:vAlign w:val="bottom"/>
            <w:gridSpan w:val="7"/>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720" w:space="720"/>
            <w:col w:w="6480"/>
          </w:cols>
          <w:pgMar w:left="480" w:top="23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4"/>
          <w:szCs w:val="24"/>
          <w:b w:val="1"/>
          <w:bCs w:val="1"/>
          <w:color w:val="5D89B4"/>
        </w:rPr>
        <w:t xml:space="preserve">Appendix </w:t>
      </w:r>
      <w:r>
        <w:rPr>
          <w:sz w:val="1"/>
          <w:szCs w:val="1"/>
          <w:color w:val="auto"/>
        </w:rPr>
        <w:drawing>
          <wp:inline distT="0" distB="0" distL="0" distR="0">
            <wp:extent cx="1027430" cy="50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7430" cy="50800"/>
                    </a:xfrm>
                    <a:prstGeom prst="rect">
                      <a:avLst/>
                    </a:prstGeom>
                    <a:noFill/>
                    <a:ln>
                      <a:noFill/>
                    </a:ln>
                  </pic:spPr>
                </pic:pic>
              </a:graphicData>
            </a:graphic>
          </wp:inline>
        </w:drawing>
      </w:r>
      <w:r>
        <w:rPr>
          <w:rFonts w:ascii="Arial" w:cs="Arial" w:eastAsia="Arial" w:hAnsi="Arial"/>
          <w:sz w:val="24"/>
          <w:szCs w:val="24"/>
          <w:b w:val="1"/>
          <w:bCs w:val="1"/>
          <w:color w:val="5D89B4"/>
        </w:rPr>
        <w:t xml:space="preser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69297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41"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5D89B4"/>
        </w:rPr>
        <w:t>This summary highlights information contained in the proxy statement, which is first being made available to shareholders on or about March 10, 2022. This summary does not contain all the information you should consider. We encourage you to read the entire proxy statement before voting. For information regarding ManpowerGroup’s 2021 performance, please read ManpowerGroup’s 2021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Board of Directors Nominees</w:t>
      </w:r>
    </w:p>
    <w:p>
      <w:pPr>
        <w:spacing w:after="0" w:line="99" w:lineRule="exact"/>
        <w:rPr>
          <w:sz w:val="20"/>
          <w:szCs w:val="20"/>
          <w:color w:val="auto"/>
        </w:rPr>
      </w:pPr>
    </w:p>
    <w:p>
      <w:pPr>
        <w:ind w:right="80"/>
        <w:spacing w:after="0" w:line="229" w:lineRule="auto"/>
        <w:rPr>
          <w:sz w:val="20"/>
          <w:szCs w:val="20"/>
          <w:color w:val="auto"/>
        </w:rPr>
      </w:pPr>
      <w:r>
        <w:rPr>
          <w:rFonts w:ascii="Arial" w:cs="Arial" w:eastAsia="Arial" w:hAnsi="Arial"/>
          <w:sz w:val="15"/>
          <w:szCs w:val="15"/>
          <w:color w:val="auto"/>
        </w:rPr>
        <w:t>The following table provides summary information about each of the 12 director nominees, and the committees they serve on. Each director is elected annually by a majority of votes cast. During 2021, we changed the names of two of our committees to better reflect their evolving areas of focus and responsibility. We renamed the nominating and governance committee to the governance and sustainability committee, to capture its enhanced focus on ESG issues. We also renamed the executive compensation and human resources committee to the people, culture and compensation committee to reflect its broader focus on our people and our corporate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218440</wp:posOffset>
            </wp:positionV>
            <wp:extent cx="526415" cy="186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6415" cy="186690"/>
                    </a:xfrm>
                    <a:prstGeom prst="rect">
                      <a:avLst/>
                    </a:prstGeom>
                    <a:noFill/>
                  </pic:spPr>
                </pic:pic>
              </a:graphicData>
            </a:graphic>
          </wp:anchor>
        </w:drawing>
      </w:r>
    </w:p>
    <w:p>
      <w:pPr>
        <w:spacing w:after="0" w:line="324" w:lineRule="exact"/>
        <w:rPr>
          <w:sz w:val="20"/>
          <w:szCs w:val="20"/>
          <w:color w:val="auto"/>
        </w:rPr>
      </w:pPr>
    </w:p>
    <w:tbl>
      <w:tblPr>
        <w:tblLayout w:type="fixed"/>
        <w:tblInd w:w="840" w:type="dxa"/>
        <w:tblCellMar>
          <w:top w:w="0" w:type="dxa"/>
          <w:left w:w="0" w:type="dxa"/>
          <w:bottom w:w="0" w:type="dxa"/>
          <w:right w:w="0" w:type="dxa"/>
        </w:tblCellMar>
      </w:tblPr>
      <w:tr>
        <w:trPr>
          <w:trHeight w:val="274"/>
        </w:trPr>
        <w:tc>
          <w:tcPr>
            <w:tcW w:w="2540" w:type="dxa"/>
            <w:vAlign w:val="bottom"/>
            <w:tcBorders>
              <w:bottom w:val="single" w:sz="8" w:color="EAEAEA"/>
            </w:tcBorders>
            <w:shd w:val="clear" w:color="auto" w:fill="EAEAEA"/>
          </w:tcPr>
          <w:p>
            <w:pPr>
              <w:ind w:left="460"/>
              <w:spacing w:after="0"/>
              <w:rPr>
                <w:sz w:val="20"/>
                <w:szCs w:val="20"/>
                <w:color w:val="auto"/>
              </w:rPr>
            </w:pPr>
            <w:r>
              <w:rPr>
                <w:rFonts w:ascii="Arial" w:cs="Arial" w:eastAsia="Arial" w:hAnsi="Arial"/>
                <w:sz w:val="14"/>
                <w:szCs w:val="14"/>
                <w:b w:val="1"/>
                <w:bCs w:val="1"/>
                <w:color w:val="5D89B4"/>
              </w:rPr>
              <w:t>NAME</w:t>
            </w:r>
          </w:p>
        </w:tc>
        <w:tc>
          <w:tcPr>
            <w:tcW w:w="700" w:type="dxa"/>
            <w:vAlign w:val="bottom"/>
            <w:tcBorders>
              <w:bottom w:val="single" w:sz="8" w:color="EAEAEA"/>
            </w:tcBorders>
            <w:shd w:val="clear" w:color="auto" w:fill="EAEAEA"/>
          </w:tcPr>
          <w:p>
            <w:pPr>
              <w:jc w:val="center"/>
              <w:ind w:left="5"/>
              <w:spacing w:after="0"/>
              <w:rPr>
                <w:sz w:val="20"/>
                <w:szCs w:val="20"/>
                <w:color w:val="auto"/>
              </w:rPr>
            </w:pPr>
            <w:r>
              <w:rPr>
                <w:rFonts w:ascii="Arial" w:cs="Arial" w:eastAsia="Arial" w:hAnsi="Arial"/>
                <w:sz w:val="14"/>
                <w:szCs w:val="14"/>
                <w:b w:val="1"/>
                <w:bCs w:val="1"/>
                <w:color w:val="5D89B4"/>
                <w:w w:val="98"/>
              </w:rPr>
              <w:t>AGE</w:t>
            </w:r>
          </w:p>
        </w:tc>
        <w:tc>
          <w:tcPr>
            <w:tcW w:w="15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5D89B4"/>
              </w:rPr>
              <w:t>DIRECTOR SINCE</w:t>
            </w:r>
          </w:p>
        </w:tc>
        <w:tc>
          <w:tcPr>
            <w:tcW w:w="1460" w:type="dxa"/>
            <w:vAlign w:val="bottom"/>
            <w:tcBorders>
              <w:bottom w:val="single" w:sz="8" w:color="EAEAEA"/>
            </w:tcBorders>
            <w:shd w:val="clear" w:color="auto" w:fill="EAEAEA"/>
          </w:tcPr>
          <w:p>
            <w:pPr>
              <w:ind w:left="160"/>
              <w:spacing w:after="0"/>
              <w:rPr>
                <w:sz w:val="20"/>
                <w:szCs w:val="20"/>
                <w:color w:val="auto"/>
              </w:rPr>
            </w:pPr>
            <w:r>
              <w:rPr>
                <w:rFonts w:ascii="Arial" w:cs="Arial" w:eastAsia="Arial" w:hAnsi="Arial"/>
                <w:sz w:val="14"/>
                <w:szCs w:val="14"/>
                <w:b w:val="1"/>
                <w:bCs w:val="1"/>
                <w:color w:val="5D89B4"/>
              </w:rPr>
              <w:t>INDEPENDENT</w:t>
            </w:r>
          </w:p>
        </w:tc>
        <w:tc>
          <w:tcPr>
            <w:tcW w:w="3880" w:type="dxa"/>
            <w:vAlign w:val="bottom"/>
            <w:tcBorders>
              <w:bottom w:val="single" w:sz="8" w:color="EAEAEA"/>
            </w:tcBorders>
            <w:shd w:val="clear" w:color="auto" w:fill="EAEAEA"/>
          </w:tcPr>
          <w:p>
            <w:pPr>
              <w:ind w:left="300"/>
              <w:spacing w:after="0"/>
              <w:rPr>
                <w:sz w:val="20"/>
                <w:szCs w:val="20"/>
                <w:color w:val="auto"/>
              </w:rPr>
            </w:pPr>
            <w:r>
              <w:rPr>
                <w:rFonts w:ascii="Arial" w:cs="Arial" w:eastAsia="Arial" w:hAnsi="Arial"/>
                <w:sz w:val="14"/>
                <w:szCs w:val="14"/>
                <w:b w:val="1"/>
                <w:bCs w:val="1"/>
                <w:color w:val="5D89B4"/>
              </w:rPr>
              <w:t>COMMITTEES</w:t>
            </w:r>
          </w:p>
        </w:tc>
        <w:tc>
          <w:tcPr>
            <w:tcW w:w="0" w:type="dxa"/>
            <w:vAlign w:val="bottom"/>
          </w:tcPr>
          <w:p>
            <w:pPr>
              <w:spacing w:after="0"/>
              <w:rPr>
                <w:sz w:val="1"/>
                <w:szCs w:val="1"/>
                <w:color w:val="auto"/>
              </w:rPr>
            </w:pPr>
          </w:p>
        </w:tc>
      </w:tr>
      <w:tr>
        <w:trPr>
          <w:trHeight w:val="38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Gina R. Boswell</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59</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2007</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Governance and Sustainability</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700" w:type="dxa"/>
            <w:vAlign w:val="bottom"/>
            <w:tcBorders>
              <w:bottom w:val="single" w:sz="8" w:color="5D89B4"/>
            </w:tcBorders>
          </w:tcPr>
          <w:p>
            <w:pPr>
              <w:spacing w:after="0"/>
              <w:rPr>
                <w:sz w:val="15"/>
                <w:szCs w:val="15"/>
                <w:color w:val="auto"/>
              </w:rPr>
            </w:pPr>
          </w:p>
        </w:tc>
        <w:tc>
          <w:tcPr>
            <w:tcW w:w="150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Jean-Philippe Courtois</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61</w:t>
            </w:r>
          </w:p>
        </w:tc>
        <w:tc>
          <w:tcPr>
            <w:tcW w:w="1500" w:type="dxa"/>
            <w:vAlign w:val="bottom"/>
          </w:tcPr>
          <w:p>
            <w:pPr>
              <w:jc w:val="center"/>
              <w:spacing w:after="0"/>
              <w:rPr>
                <w:sz w:val="20"/>
                <w:szCs w:val="20"/>
                <w:color w:val="auto"/>
              </w:rPr>
            </w:pPr>
            <w:r>
              <w:rPr>
                <w:rFonts w:ascii="Arial" w:cs="Arial" w:eastAsia="Arial" w:hAnsi="Arial"/>
                <w:sz w:val="15"/>
                <w:szCs w:val="15"/>
                <w:color w:val="auto"/>
              </w:rPr>
              <w:t>2020</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William Downe</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69</w:t>
            </w:r>
          </w:p>
        </w:tc>
        <w:tc>
          <w:tcPr>
            <w:tcW w:w="1500" w:type="dxa"/>
            <w:vAlign w:val="bottom"/>
          </w:tcPr>
          <w:p>
            <w:pPr>
              <w:jc w:val="center"/>
              <w:spacing w:after="0"/>
              <w:rPr>
                <w:sz w:val="20"/>
                <w:szCs w:val="20"/>
                <w:color w:val="auto"/>
              </w:rPr>
            </w:pPr>
            <w:r>
              <w:rPr>
                <w:rFonts w:ascii="Arial" w:cs="Arial" w:eastAsia="Arial" w:hAnsi="Arial"/>
                <w:sz w:val="15"/>
                <w:szCs w:val="15"/>
                <w:color w:val="auto"/>
              </w:rPr>
              <w:t>2011</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People, Culture and Compensation</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John F. Ferraro</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66</w:t>
            </w:r>
          </w:p>
        </w:tc>
        <w:tc>
          <w:tcPr>
            <w:tcW w:w="1500" w:type="dxa"/>
            <w:vAlign w:val="bottom"/>
          </w:tcPr>
          <w:p>
            <w:pPr>
              <w:jc w:val="center"/>
              <w:spacing w:after="0"/>
              <w:rPr>
                <w:sz w:val="20"/>
                <w:szCs w:val="20"/>
                <w:color w:val="auto"/>
              </w:rPr>
            </w:pPr>
            <w:r>
              <w:rPr>
                <w:rFonts w:ascii="Arial" w:cs="Arial" w:eastAsia="Arial" w:hAnsi="Arial"/>
                <w:sz w:val="15"/>
                <w:szCs w:val="15"/>
                <w:color w:val="auto"/>
              </w:rPr>
              <w:t>2016</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William P. Gipson</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64</w:t>
            </w:r>
          </w:p>
        </w:tc>
        <w:tc>
          <w:tcPr>
            <w:tcW w:w="1500" w:type="dxa"/>
            <w:vAlign w:val="bottom"/>
          </w:tcPr>
          <w:p>
            <w:pPr>
              <w:jc w:val="center"/>
              <w:spacing w:after="0"/>
              <w:rPr>
                <w:sz w:val="20"/>
                <w:szCs w:val="20"/>
                <w:color w:val="auto"/>
              </w:rPr>
            </w:pPr>
            <w:r>
              <w:rPr>
                <w:rFonts w:ascii="Arial" w:cs="Arial" w:eastAsia="Arial" w:hAnsi="Arial"/>
                <w:sz w:val="15"/>
                <w:szCs w:val="15"/>
                <w:color w:val="auto"/>
              </w:rPr>
              <w:t>2020</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People, Culture and Compensation</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Patricia Hemingway Hall</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69</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2011</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Governance and Sustainability (CHAIR)</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700" w:type="dxa"/>
            <w:vAlign w:val="bottom"/>
            <w:tcBorders>
              <w:bottom w:val="single" w:sz="8" w:color="5D89B4"/>
            </w:tcBorders>
          </w:tcPr>
          <w:p>
            <w:pPr>
              <w:spacing w:after="0"/>
              <w:rPr>
                <w:sz w:val="15"/>
                <w:szCs w:val="15"/>
                <w:color w:val="auto"/>
              </w:rPr>
            </w:pPr>
          </w:p>
        </w:tc>
        <w:tc>
          <w:tcPr>
            <w:tcW w:w="150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Julie M. Howard</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59</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2016</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People, Culture and Compensation</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Governance and Sustainability</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700" w:type="dxa"/>
            <w:vAlign w:val="bottom"/>
            <w:tcBorders>
              <w:bottom w:val="single" w:sz="8" w:color="5D89B4"/>
            </w:tcBorders>
          </w:tcPr>
          <w:p>
            <w:pPr>
              <w:spacing w:after="0"/>
              <w:rPr>
                <w:sz w:val="15"/>
                <w:szCs w:val="15"/>
                <w:color w:val="auto"/>
              </w:rPr>
            </w:pPr>
          </w:p>
        </w:tc>
        <w:tc>
          <w:tcPr>
            <w:tcW w:w="150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Ulice Payne, Jr.</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66</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2007</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Governance and Sustainability</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700" w:type="dxa"/>
            <w:vAlign w:val="bottom"/>
            <w:tcBorders>
              <w:bottom w:val="single" w:sz="8" w:color="5D89B4"/>
            </w:tcBorders>
          </w:tcPr>
          <w:p>
            <w:pPr>
              <w:spacing w:after="0"/>
              <w:rPr>
                <w:sz w:val="15"/>
                <w:szCs w:val="15"/>
                <w:color w:val="auto"/>
              </w:rPr>
            </w:pPr>
          </w:p>
        </w:tc>
        <w:tc>
          <w:tcPr>
            <w:tcW w:w="150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Jonas Prising</w:t>
            </w:r>
          </w:p>
        </w:tc>
        <w:tc>
          <w:tcPr>
            <w:tcW w:w="700" w:type="dxa"/>
            <w:vAlign w:val="bottom"/>
            <w:vMerge w:val="restart"/>
          </w:tcPr>
          <w:p>
            <w:pPr>
              <w:jc w:val="center"/>
              <w:spacing w:after="0"/>
              <w:rPr>
                <w:sz w:val="20"/>
                <w:szCs w:val="20"/>
                <w:color w:val="auto"/>
              </w:rPr>
            </w:pPr>
            <w:r>
              <w:rPr>
                <w:rFonts w:ascii="Arial" w:cs="Arial" w:eastAsia="Arial" w:hAnsi="Arial"/>
                <w:sz w:val="15"/>
                <w:szCs w:val="15"/>
                <w:color w:val="auto"/>
                <w:w w:val="95"/>
              </w:rPr>
              <w:t>57</w:t>
            </w:r>
          </w:p>
        </w:tc>
        <w:tc>
          <w:tcPr>
            <w:tcW w:w="150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460" w:type="dxa"/>
            <w:vAlign w:val="bottom"/>
          </w:tcPr>
          <w:p>
            <w:pPr>
              <w:spacing w:after="0"/>
              <w:rPr>
                <w:sz w:val="24"/>
                <w:szCs w:val="24"/>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None</w:t>
            </w:r>
          </w:p>
        </w:tc>
        <w:tc>
          <w:tcPr>
            <w:tcW w:w="0" w:type="dxa"/>
            <w:vAlign w:val="bottom"/>
          </w:tcPr>
          <w:p>
            <w:pPr>
              <w:spacing w:after="0"/>
              <w:rPr>
                <w:sz w:val="1"/>
                <w:szCs w:val="1"/>
                <w:color w:val="auto"/>
              </w:rPr>
            </w:pPr>
          </w:p>
        </w:tc>
      </w:tr>
      <w:tr>
        <w:trPr>
          <w:trHeight w:val="96"/>
        </w:trPr>
        <w:tc>
          <w:tcPr>
            <w:tcW w:w="2540" w:type="dxa"/>
            <w:vAlign w:val="bottom"/>
            <w:vMerge w:val="restart"/>
          </w:tcPr>
          <w:p>
            <w:pPr>
              <w:ind w:left="460"/>
              <w:spacing w:after="0"/>
              <w:rPr>
                <w:sz w:val="20"/>
                <w:szCs w:val="20"/>
                <w:color w:val="auto"/>
              </w:rPr>
            </w:pPr>
            <w:r>
              <w:rPr>
                <w:rFonts w:ascii="Arial" w:cs="Arial" w:eastAsia="Arial" w:hAnsi="Arial"/>
                <w:sz w:val="16"/>
                <w:szCs w:val="16"/>
                <w:color w:val="auto"/>
              </w:rPr>
              <w:t>Chief Executive Officer</w:t>
            </w:r>
          </w:p>
        </w:tc>
        <w:tc>
          <w:tcPr>
            <w:tcW w:w="7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5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540" w:type="dxa"/>
            <w:vAlign w:val="bottom"/>
            <w:tcBorders>
              <w:bottom w:val="single" w:sz="8" w:color="5D89B4"/>
            </w:tcBorders>
          </w:tcPr>
          <w:p>
            <w:pPr>
              <w:spacing w:after="0"/>
              <w:rPr>
                <w:sz w:val="14"/>
                <w:szCs w:val="14"/>
                <w:color w:val="auto"/>
              </w:rPr>
            </w:pPr>
          </w:p>
        </w:tc>
        <w:tc>
          <w:tcPr>
            <w:tcW w:w="700" w:type="dxa"/>
            <w:vAlign w:val="bottom"/>
            <w:tcBorders>
              <w:bottom w:val="single" w:sz="8" w:color="5D89B4"/>
            </w:tcBorders>
          </w:tcPr>
          <w:p>
            <w:pPr>
              <w:spacing w:after="0"/>
              <w:rPr>
                <w:sz w:val="14"/>
                <w:szCs w:val="14"/>
                <w:color w:val="auto"/>
              </w:rPr>
            </w:pPr>
          </w:p>
        </w:tc>
        <w:tc>
          <w:tcPr>
            <w:tcW w:w="1500" w:type="dxa"/>
            <w:vAlign w:val="bottom"/>
            <w:tcBorders>
              <w:bottom w:val="single" w:sz="8" w:color="5D89B4"/>
            </w:tcBorders>
          </w:tcPr>
          <w:p>
            <w:pPr>
              <w:spacing w:after="0"/>
              <w:rPr>
                <w:sz w:val="14"/>
                <w:szCs w:val="14"/>
                <w:color w:val="auto"/>
              </w:rPr>
            </w:pPr>
          </w:p>
        </w:tc>
        <w:tc>
          <w:tcPr>
            <w:tcW w:w="1460" w:type="dxa"/>
            <w:vAlign w:val="bottom"/>
            <w:tcBorders>
              <w:bottom w:val="single" w:sz="8" w:color="5D89B4"/>
            </w:tcBorders>
          </w:tcPr>
          <w:p>
            <w:pPr>
              <w:spacing w:after="0"/>
              <w:rPr>
                <w:sz w:val="14"/>
                <w:szCs w:val="14"/>
                <w:color w:val="auto"/>
              </w:rPr>
            </w:pPr>
          </w:p>
        </w:tc>
        <w:tc>
          <w:tcPr>
            <w:tcW w:w="388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Paul Read</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55</w:t>
            </w:r>
          </w:p>
        </w:tc>
        <w:tc>
          <w:tcPr>
            <w:tcW w:w="1500" w:type="dxa"/>
            <w:vAlign w:val="bottom"/>
          </w:tcPr>
          <w:p>
            <w:pPr>
              <w:jc w:val="center"/>
              <w:spacing w:after="0"/>
              <w:rPr>
                <w:sz w:val="20"/>
                <w:szCs w:val="20"/>
                <w:color w:val="auto"/>
              </w:rPr>
            </w:pPr>
            <w:r>
              <w:rPr>
                <w:rFonts w:ascii="Arial" w:cs="Arial" w:eastAsia="Arial" w:hAnsi="Arial"/>
                <w:sz w:val="15"/>
                <w:szCs w:val="15"/>
                <w:color w:val="auto"/>
              </w:rPr>
              <w:t>2014</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 (CHAIR)</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Elizabeth P. Sartain</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67</w:t>
            </w:r>
          </w:p>
        </w:tc>
        <w:tc>
          <w:tcPr>
            <w:tcW w:w="1500" w:type="dxa"/>
            <w:vAlign w:val="bottom"/>
          </w:tcPr>
          <w:p>
            <w:pPr>
              <w:jc w:val="center"/>
              <w:spacing w:after="0"/>
              <w:rPr>
                <w:sz w:val="20"/>
                <w:szCs w:val="20"/>
                <w:color w:val="auto"/>
              </w:rPr>
            </w:pPr>
            <w:r>
              <w:rPr>
                <w:rFonts w:ascii="Arial" w:cs="Arial" w:eastAsia="Arial" w:hAnsi="Arial"/>
                <w:sz w:val="15"/>
                <w:szCs w:val="15"/>
                <w:color w:val="auto"/>
              </w:rPr>
              <w:t>2010</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People, Culture and Compensation (CHAIR)</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700" w:type="dxa"/>
            <w:vAlign w:val="bottom"/>
            <w:tcBorders>
              <w:bottom w:val="single" w:sz="8" w:color="5D89B4"/>
            </w:tcBorders>
          </w:tcPr>
          <w:p>
            <w:pPr>
              <w:spacing w:after="0"/>
              <w:rPr>
                <w:sz w:val="22"/>
                <w:szCs w:val="22"/>
                <w:color w:val="auto"/>
              </w:rPr>
            </w:pPr>
          </w:p>
        </w:tc>
        <w:tc>
          <w:tcPr>
            <w:tcW w:w="150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Michael J. Van Handel</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62</w:t>
            </w:r>
          </w:p>
        </w:tc>
        <w:tc>
          <w:tcPr>
            <w:tcW w:w="1500" w:type="dxa"/>
            <w:vAlign w:val="bottom"/>
          </w:tcPr>
          <w:p>
            <w:pPr>
              <w:jc w:val="center"/>
              <w:spacing w:after="0"/>
              <w:rPr>
                <w:sz w:val="20"/>
                <w:szCs w:val="20"/>
                <w:color w:val="auto"/>
              </w:rPr>
            </w:pPr>
            <w:r>
              <w:rPr>
                <w:rFonts w:ascii="Arial" w:cs="Arial" w:eastAsia="Arial" w:hAnsi="Arial"/>
                <w:sz w:val="15"/>
                <w:szCs w:val="15"/>
                <w:color w:val="auto"/>
              </w:rPr>
              <w:t>2017</w:t>
            </w:r>
          </w:p>
        </w:tc>
        <w:tc>
          <w:tcPr>
            <w:tcW w:w="146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Governance and Sustainability</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880" w:type="dxa"/>
            <w:vAlign w:val="bottom"/>
          </w:tcPr>
          <w:p>
            <w:pPr>
              <w:ind w:left="24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-5483860</wp:posOffset>
            </wp:positionV>
            <wp:extent cx="6870065" cy="5673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0065" cy="56730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40" w:hanging="433"/>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Van Handel’s committee appointment became effective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6929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20"/>
          <w:szCs w:val="20"/>
          <w:b w:val="1"/>
          <w:bCs w:val="1"/>
          <w:color w:val="5D89B4"/>
        </w:rPr>
        <w:t>i</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233" w:right="49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929755"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Our Board Has a Diversity of Experiences and Backgrounds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Our Board believes that having a diverse mix of directors with a variety of skills, experience, and backgrounds is essential to meeting its oversight responsibility.</w:t>
      </w: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b w:val="1"/>
          <w:bCs w:val="1"/>
          <w:color w:val="5D89B4"/>
        </w:rPr>
        <w:t>Core Skills &amp; Experience Identified by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172720</wp:posOffset>
            </wp:positionV>
            <wp:extent cx="5732145" cy="2021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32145"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Director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6929755" cy="2310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2310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20"/>
          <w:szCs w:val="20"/>
          <w:b w:val="1"/>
          <w:bCs w:val="1"/>
          <w:color w:val="5D89B4"/>
        </w:rPr>
        <w:t>ii</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00"/>
          </w:cols>
          <w:pgMar w:left="480" w:top="254" w:right="719" w:bottom="1440" w:gutter="0" w:footer="0" w:header="0"/>
        </w:sectPr>
      </w:pPr>
    </w:p>
    <w:bookmarkStart w:id="8" w:name="page9"/>
    <w:bookmarkEnd w:id="8"/>
    <w:p>
      <w:pPr>
        <w:jc w:val="right"/>
        <w:spacing w:after="0"/>
        <w:rPr>
          <w:sz w:val="20"/>
          <w:szCs w:val="20"/>
          <w:color w:val="auto"/>
        </w:rPr>
      </w:pPr>
      <w:r>
        <w:rPr>
          <w:rFonts w:ascii="Arial" w:cs="Arial" w:eastAsia="Arial" w:hAnsi="Arial"/>
          <w:sz w:val="21"/>
          <w:szCs w:val="21"/>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2022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92975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ESG Strategy: Our Working to Change the World Plan</w:t>
      </w:r>
    </w:p>
    <w:p>
      <w:pPr>
        <w:spacing w:after="0" w:line="139"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At ManpowerGroup, we were founded on the belief that running a good business means contributing to society at large. Our founder and CEO Elmer Winter believed that “Our company can be a tremendous instrument for good if we can help make people employable.” Today, just 4 CEOs and 7 decades later, we are as committed as ever to delivering on that promise.</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Our Purpose: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5D89B4"/>
        </w:rPr>
        <w:t>We believe meaningful, sustainable employment has the power to change the world.</w:t>
      </w:r>
    </w:p>
    <w:p>
      <w:pPr>
        <w:spacing w:after="0" w:line="285" w:lineRule="exact"/>
        <w:rPr>
          <w:sz w:val="20"/>
          <w:szCs w:val="20"/>
          <w:color w:val="auto"/>
        </w:rPr>
      </w:pPr>
    </w:p>
    <w:p>
      <w:pPr>
        <w:ind w:left="6160" w:right="20"/>
        <w:spacing w:after="0" w:line="229" w:lineRule="auto"/>
        <w:rPr>
          <w:sz w:val="20"/>
          <w:szCs w:val="20"/>
          <w:color w:val="auto"/>
        </w:rPr>
      </w:pPr>
      <w:r>
        <w:rPr>
          <w:rFonts w:ascii="Arial" w:cs="Arial" w:eastAsia="Arial" w:hAnsi="Arial"/>
          <w:sz w:val="15"/>
          <w:szCs w:val="15"/>
          <w:color w:val="auto"/>
        </w:rPr>
        <w:t xml:space="preserve">Building on our history of delivering on a social purpose and transparently reporting our impact for many years, in 2021 we released our Working to Change the World Plan as part of our </w:t>
      </w:r>
      <w:r>
        <w:rPr>
          <w:rFonts w:ascii="Arial" w:cs="Arial" w:eastAsia="Arial" w:hAnsi="Arial"/>
          <w:sz w:val="15"/>
          <w:szCs w:val="15"/>
          <w:u w:val="single" w:color="auto"/>
          <w:color w:val="5D89B4"/>
        </w:rPr>
        <w:t>2020-2021 ESG</w:t>
      </w:r>
      <w:r>
        <w:rPr>
          <w:rFonts w:ascii="Arial" w:cs="Arial" w:eastAsia="Arial" w:hAnsi="Arial"/>
          <w:sz w:val="15"/>
          <w:szCs w:val="15"/>
          <w:color w:val="auto"/>
        </w:rPr>
        <w:t xml:space="preserve"> </w:t>
      </w:r>
      <w:r>
        <w:rPr>
          <w:rFonts w:ascii="Arial" w:cs="Arial" w:eastAsia="Arial" w:hAnsi="Arial"/>
          <w:sz w:val="15"/>
          <w:szCs w:val="15"/>
          <w:u w:val="single" w:color="auto"/>
          <w:color w:val="5D89B4"/>
        </w:rPr>
        <w:t>Report</w:t>
      </w:r>
      <w:r>
        <w:rPr>
          <w:rFonts w:ascii="Arial" w:cs="Arial" w:eastAsia="Arial" w:hAnsi="Arial"/>
          <w:sz w:val="15"/>
          <w:szCs w:val="15"/>
          <w:color w:val="000000"/>
        </w:rPr>
        <w:t>, centered around the themes of: Planet, People &amp; Prosperity</w:t>
      </w:r>
      <w:r>
        <w:rPr>
          <w:rFonts w:ascii="Arial" w:cs="Arial" w:eastAsia="Arial" w:hAnsi="Arial"/>
          <w:sz w:val="15"/>
          <w:szCs w:val="15"/>
          <w:color w:val="5D89B4"/>
        </w:rPr>
        <w:t xml:space="preserve"> </w:t>
      </w:r>
      <w:r>
        <w:rPr>
          <w:rFonts w:ascii="Arial" w:cs="Arial" w:eastAsia="Arial" w:hAnsi="Arial"/>
          <w:sz w:val="15"/>
          <w:szCs w:val="15"/>
          <w:color w:val="000000"/>
        </w:rPr>
        <w:t>and Principles of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-519430</wp:posOffset>
            </wp:positionV>
            <wp:extent cx="2997835" cy="166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97835" cy="166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Working to Change the World </w:t>
      </w:r>
      <w:r>
        <w:rPr>
          <w:rFonts w:ascii="Arial" w:cs="Arial" w:eastAsia="Arial" w:hAnsi="Arial"/>
          <w:sz w:val="15"/>
          <w:szCs w:val="15"/>
          <w:color w:val="auto"/>
        </w:rPr>
        <w:t>is an evolution of our Sustainability Plan and Pillars to encompass broader environmental and governance priorities in line</w:t>
      </w:r>
    </w:p>
    <w:p>
      <w:pPr>
        <w:spacing w:after="0" w:line="6" w:lineRule="exact"/>
        <w:rPr>
          <w:sz w:val="20"/>
          <w:szCs w:val="20"/>
          <w:color w:val="auto"/>
        </w:rPr>
      </w:pPr>
    </w:p>
    <w:p>
      <w:pPr>
        <w:ind w:right="160"/>
        <w:spacing w:after="0" w:line="237" w:lineRule="auto"/>
        <w:rPr>
          <w:sz w:val="20"/>
          <w:szCs w:val="20"/>
          <w:color w:val="auto"/>
        </w:rPr>
      </w:pPr>
      <w:r>
        <w:rPr>
          <w:rFonts w:ascii="Arial" w:cs="Arial" w:eastAsia="Arial" w:hAnsi="Arial"/>
          <w:sz w:val="15"/>
          <w:szCs w:val="15"/>
          <w:color w:val="auto"/>
        </w:rPr>
        <w:t xml:space="preserve">with common metrics around ESG - reflecting both the World Economic Forum’s International Business Council </w:t>
      </w:r>
      <w:r>
        <w:rPr>
          <w:rFonts w:ascii="Arial" w:cs="Arial" w:eastAsia="Arial" w:hAnsi="Arial"/>
          <w:sz w:val="15"/>
          <w:szCs w:val="15"/>
          <w:i w:val="1"/>
          <w:iCs w:val="1"/>
          <w:color w:val="auto"/>
        </w:rPr>
        <w:t>Stakeholder Capitalism Metrics</w:t>
      </w:r>
      <w:r>
        <w:rPr>
          <w:rFonts w:ascii="Arial" w:cs="Arial" w:eastAsia="Arial" w:hAnsi="Arial"/>
          <w:sz w:val="15"/>
          <w:szCs w:val="15"/>
          <w:color w:val="auto"/>
        </w:rPr>
        <w:t xml:space="preserve"> and our focus on prioritizing the five UN Sustainable Development Goals where we can deliver the greatest impact to those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142240</wp:posOffset>
            </wp:positionV>
            <wp:extent cx="5137785" cy="22847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37785"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“Our Working to Change the World Plan is about collectively caring for People and Planet with new awareness and urgency.”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D89B4"/>
        </w:rPr>
        <w:t>— Jonas Prising, 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1" w:lineRule="exact"/>
        <w:rPr>
          <w:sz w:val="20"/>
          <w:szCs w:val="20"/>
          <w:color w:val="auto"/>
        </w:rPr>
      </w:pPr>
    </w:p>
    <w:p>
      <w:pPr>
        <w:ind w:left="5380"/>
        <w:spacing w:after="0"/>
        <w:tabs>
          <w:tab w:leader="none" w:pos="6000" w:val="left"/>
        </w:tabs>
        <w:rPr>
          <w:sz w:val="20"/>
          <w:szCs w:val="20"/>
          <w:color w:val="auto"/>
        </w:rPr>
      </w:pPr>
      <w:r>
        <w:rPr>
          <w:rFonts w:ascii="Arial" w:cs="Arial" w:eastAsia="Arial" w:hAnsi="Arial"/>
          <w:sz w:val="20"/>
          <w:szCs w:val="20"/>
          <w:b w:val="1"/>
          <w:bCs w:val="1"/>
          <w:color w:val="5D89B4"/>
        </w:rPr>
        <w:t>iii</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254" w:right="49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2022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92975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215265</wp:posOffset>
            </wp:positionV>
            <wp:extent cx="679450" cy="679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450" cy="679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320"/>
        <w:spacing w:after="0"/>
        <w:rPr>
          <w:sz w:val="20"/>
          <w:szCs w:val="20"/>
          <w:color w:val="auto"/>
        </w:rPr>
      </w:pPr>
      <w:r>
        <w:rPr>
          <w:rFonts w:ascii="Arial" w:cs="Arial" w:eastAsia="Arial" w:hAnsi="Arial"/>
          <w:sz w:val="27"/>
          <w:szCs w:val="27"/>
          <w:b w:val="1"/>
          <w:bCs w:val="1"/>
          <w:color w:val="5D89B4"/>
        </w:rPr>
        <w:t>PEOPLE &amp; PROSPERITY</w:t>
      </w:r>
    </w:p>
    <w:p>
      <w:pPr>
        <w:spacing w:after="0" w:line="34"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5D89B4"/>
        </w:rPr>
        <w:t>Becoming creators of talent at scale, championing DEIB, and improving employability and prosperity for all</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7"/>
        </w:trPr>
        <w:tc>
          <w:tcPr>
            <w:tcW w:w="220" w:type="dxa"/>
            <w:vAlign w:val="bottom"/>
            <w:tcBorders>
              <w:left w:val="single" w:sz="8" w:color="BECFE1"/>
            </w:tcBorders>
            <w:shd w:val="clear" w:color="auto" w:fill="BECFE1"/>
          </w:tcPr>
          <w:p>
            <w:pPr>
              <w:spacing w:after="0"/>
              <w:rPr>
                <w:sz w:val="2"/>
                <w:szCs w:val="2"/>
                <w:color w:val="auto"/>
              </w:rPr>
            </w:pPr>
          </w:p>
        </w:tc>
        <w:tc>
          <w:tcPr>
            <w:tcW w:w="2000" w:type="dxa"/>
            <w:vAlign w:val="bottom"/>
          </w:tcPr>
          <w:p>
            <w:pPr>
              <w:spacing w:after="0"/>
              <w:rPr>
                <w:sz w:val="2"/>
                <w:szCs w:val="2"/>
                <w:color w:val="auto"/>
              </w:rPr>
            </w:pPr>
          </w:p>
        </w:tc>
        <w:tc>
          <w:tcPr>
            <w:tcW w:w="3240" w:type="dxa"/>
            <w:vAlign w:val="bottom"/>
            <w:tcBorders>
              <w:right w:val="single" w:sz="8" w:color="BECFE1"/>
            </w:tcBorders>
            <w:shd w:val="clear" w:color="auto" w:fill="BECFE1"/>
          </w:tcPr>
          <w:p>
            <w:pPr>
              <w:spacing w:after="0"/>
              <w:rPr>
                <w:sz w:val="2"/>
                <w:szCs w:val="2"/>
                <w:color w:val="auto"/>
              </w:rPr>
            </w:pPr>
          </w:p>
        </w:tc>
        <w:tc>
          <w:tcPr>
            <w:tcW w:w="320" w:type="dxa"/>
            <w:vAlign w:val="bottom"/>
            <w:tcBorders>
              <w:right w:val="single" w:sz="8" w:color="CEDBE8"/>
            </w:tcBorders>
            <w:shd w:val="clear" w:color="auto" w:fill="BECFE1"/>
          </w:tcPr>
          <w:p>
            <w:pPr>
              <w:spacing w:after="0"/>
              <w:rPr>
                <w:sz w:val="2"/>
                <w:szCs w:val="2"/>
                <w:color w:val="auto"/>
              </w:rPr>
            </w:pPr>
          </w:p>
        </w:tc>
        <w:tc>
          <w:tcPr>
            <w:tcW w:w="5160" w:type="dxa"/>
            <w:vAlign w:val="bottom"/>
            <w:tcBorders>
              <w:right w:val="single" w:sz="8" w:color="CEDBE8"/>
            </w:tcBorders>
            <w:shd w:val="clear" w:color="auto" w:fill="CEDB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9"/>
        </w:trPr>
        <w:tc>
          <w:tcPr>
            <w:tcW w:w="220" w:type="dxa"/>
            <w:vAlign w:val="bottom"/>
            <w:tcBorders>
              <w:left w:val="single" w:sz="8" w:color="BECFE1"/>
            </w:tcBorders>
          </w:tcPr>
          <w:p>
            <w:pPr>
              <w:spacing w:after="0"/>
              <w:rPr>
                <w:sz w:val="24"/>
                <w:szCs w:val="24"/>
                <w:color w:val="auto"/>
              </w:rPr>
            </w:pPr>
          </w:p>
        </w:tc>
        <w:tc>
          <w:tcPr>
            <w:tcW w:w="5240" w:type="dxa"/>
            <w:vAlign w:val="bottom"/>
            <w:tcBorders>
              <w:right w:val="single" w:sz="8" w:color="BECFE1"/>
            </w:tcBorders>
            <w:gridSpan w:val="2"/>
          </w:tcPr>
          <w:p>
            <w:pPr>
              <w:ind w:left="200"/>
              <w:spacing w:after="0"/>
              <w:rPr>
                <w:sz w:val="20"/>
                <w:szCs w:val="20"/>
                <w:color w:val="auto"/>
              </w:rPr>
            </w:pPr>
            <w:r>
              <w:rPr>
                <w:rFonts w:ascii="Arial" w:cs="Arial" w:eastAsia="Arial" w:hAnsi="Arial"/>
                <w:sz w:val="16"/>
                <w:szCs w:val="16"/>
                <w:b w:val="1"/>
                <w:bCs w:val="1"/>
                <w:color w:val="5D89B4"/>
              </w:rPr>
              <w:t>Championing Diversity, Equity, Inclusion &amp; Belonging (DEIB)</w:t>
            </w:r>
          </w:p>
        </w:tc>
        <w:tc>
          <w:tcPr>
            <w:tcW w:w="320" w:type="dxa"/>
            <w:vAlign w:val="bottom"/>
            <w:tcBorders>
              <w:right w:val="single" w:sz="8" w:color="CEDBE8"/>
            </w:tcBorders>
          </w:tcPr>
          <w:p>
            <w:pPr>
              <w:spacing w:after="0"/>
              <w:rPr>
                <w:sz w:val="24"/>
                <w:szCs w:val="24"/>
                <w:color w:val="auto"/>
              </w:rPr>
            </w:pPr>
          </w:p>
        </w:tc>
        <w:tc>
          <w:tcPr>
            <w:tcW w:w="5160" w:type="dxa"/>
            <w:vAlign w:val="bottom"/>
            <w:tcBorders>
              <w:right w:val="single" w:sz="8" w:color="CEDBE8"/>
            </w:tcBorders>
          </w:tcPr>
          <w:p>
            <w:pPr>
              <w:ind w:left="320"/>
              <w:spacing w:after="0"/>
              <w:rPr>
                <w:sz w:val="20"/>
                <w:szCs w:val="20"/>
                <w:color w:val="auto"/>
              </w:rPr>
            </w:pPr>
            <w:r>
              <w:rPr>
                <w:rFonts w:ascii="Arial" w:cs="Arial" w:eastAsia="Arial" w:hAnsi="Arial"/>
                <w:sz w:val="16"/>
                <w:szCs w:val="16"/>
                <w:b w:val="1"/>
                <w:bCs w:val="1"/>
                <w:color w:val="5D89B4"/>
              </w:rPr>
              <w:t>Accelerating Progress to Parity</w:t>
            </w:r>
          </w:p>
        </w:tc>
        <w:tc>
          <w:tcPr>
            <w:tcW w:w="0" w:type="dxa"/>
            <w:vAlign w:val="bottom"/>
          </w:tcPr>
          <w:p>
            <w:pPr>
              <w:spacing w:after="0"/>
              <w:rPr>
                <w:sz w:val="1"/>
                <w:szCs w:val="1"/>
                <w:color w:val="auto"/>
              </w:rPr>
            </w:pPr>
          </w:p>
        </w:tc>
      </w:tr>
      <w:tr>
        <w:trPr>
          <w:trHeight w:val="270"/>
        </w:trPr>
        <w:tc>
          <w:tcPr>
            <w:tcW w:w="220" w:type="dxa"/>
            <w:vAlign w:val="bottom"/>
            <w:tcBorders>
              <w:left w:val="single" w:sz="8" w:color="BECFE1"/>
            </w:tcBorders>
          </w:tcPr>
          <w:p>
            <w:pPr>
              <w:spacing w:after="0"/>
              <w:rPr>
                <w:sz w:val="23"/>
                <w:szCs w:val="23"/>
                <w:color w:val="auto"/>
              </w:rPr>
            </w:pPr>
          </w:p>
        </w:tc>
        <w:tc>
          <w:tcPr>
            <w:tcW w:w="5240" w:type="dxa"/>
            <w:vAlign w:val="bottom"/>
            <w:tcBorders>
              <w:right w:val="single" w:sz="8" w:color="BECFE1"/>
            </w:tcBorders>
            <w:gridSpan w:val="2"/>
          </w:tcPr>
          <w:p>
            <w:pPr>
              <w:ind w:left="200"/>
              <w:spacing w:after="0"/>
              <w:rPr>
                <w:sz w:val="20"/>
                <w:szCs w:val="20"/>
                <w:color w:val="auto"/>
              </w:rPr>
            </w:pPr>
            <w:r>
              <w:rPr>
                <w:rFonts w:ascii="Arial" w:cs="Arial" w:eastAsia="Arial" w:hAnsi="Arial"/>
                <w:sz w:val="15"/>
                <w:szCs w:val="15"/>
                <w:color w:val="5D89B4"/>
              </w:rPr>
              <w:t>We are committed to leading with purpose and continuously improving</w:t>
            </w:r>
          </w:p>
        </w:tc>
        <w:tc>
          <w:tcPr>
            <w:tcW w:w="320" w:type="dxa"/>
            <w:vAlign w:val="bottom"/>
            <w:tcBorders>
              <w:right w:val="single" w:sz="8" w:color="CEDBE8"/>
            </w:tcBorders>
          </w:tcPr>
          <w:p>
            <w:pPr>
              <w:spacing w:after="0"/>
              <w:rPr>
                <w:sz w:val="23"/>
                <w:szCs w:val="23"/>
                <w:color w:val="auto"/>
              </w:rPr>
            </w:pPr>
          </w:p>
        </w:tc>
        <w:tc>
          <w:tcPr>
            <w:tcW w:w="5160" w:type="dxa"/>
            <w:vAlign w:val="bottom"/>
            <w:tcBorders>
              <w:right w:val="single" w:sz="8" w:color="CEDBE8"/>
            </w:tcBorders>
          </w:tcPr>
          <w:p>
            <w:pPr>
              <w:ind w:left="320"/>
              <w:spacing w:after="0"/>
              <w:rPr>
                <w:sz w:val="20"/>
                <w:szCs w:val="20"/>
                <w:color w:val="auto"/>
              </w:rPr>
            </w:pPr>
            <w:r>
              <w:rPr>
                <w:rFonts w:ascii="Arial" w:cs="Arial" w:eastAsia="Arial" w:hAnsi="Arial"/>
                <w:sz w:val="15"/>
                <w:szCs w:val="15"/>
                <w:color w:val="5D89B4"/>
              </w:rPr>
              <w:t>Gender parity is a shared diversity and inclusion priority across all</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5240" w:type="dxa"/>
            <w:vAlign w:val="bottom"/>
            <w:tcBorders>
              <w:right w:val="single" w:sz="8" w:color="BECFE1"/>
            </w:tcBorders>
            <w:gridSpan w:val="2"/>
          </w:tcPr>
          <w:p>
            <w:pPr>
              <w:ind w:left="200"/>
              <w:spacing w:after="0" w:line="161" w:lineRule="exact"/>
              <w:rPr>
                <w:sz w:val="20"/>
                <w:szCs w:val="20"/>
                <w:color w:val="auto"/>
              </w:rPr>
            </w:pPr>
            <w:r>
              <w:rPr>
                <w:rFonts w:ascii="Arial" w:cs="Arial" w:eastAsia="Arial" w:hAnsi="Arial"/>
                <w:sz w:val="15"/>
                <w:szCs w:val="15"/>
                <w:color w:val="5D89B4"/>
              </w:rPr>
              <w:t>DEIB so all people feel welcomed, respected, valued and able to bring</w:t>
            </w: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5D89B4"/>
              </w:rPr>
              <w:t>our global operations. Locally, countries prioritize a second diversity</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5240" w:type="dxa"/>
            <w:vAlign w:val="bottom"/>
            <w:tcBorders>
              <w:right w:val="single" w:sz="8" w:color="BECFE1"/>
            </w:tcBorders>
            <w:gridSpan w:val="2"/>
          </w:tcPr>
          <w:p>
            <w:pPr>
              <w:ind w:left="200"/>
              <w:spacing w:after="0" w:line="161" w:lineRule="exact"/>
              <w:rPr>
                <w:sz w:val="20"/>
                <w:szCs w:val="20"/>
                <w:color w:val="auto"/>
              </w:rPr>
            </w:pPr>
            <w:r>
              <w:rPr>
                <w:rFonts w:ascii="Arial" w:cs="Arial" w:eastAsia="Arial" w:hAnsi="Arial"/>
                <w:sz w:val="15"/>
                <w:szCs w:val="15"/>
                <w:color w:val="5D89B4"/>
              </w:rPr>
              <w:t>their full selves to work. We are proud of our progress in 2021 and</w:t>
            </w: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5D89B4"/>
              </w:rPr>
              <w:t>dimension relevant to their respective labor market, including</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5240" w:type="dxa"/>
            <w:vAlign w:val="bottom"/>
            <w:tcBorders>
              <w:right w:val="single" w:sz="8" w:color="BECFE1"/>
            </w:tcBorders>
            <w:gridSpan w:val="2"/>
          </w:tcPr>
          <w:p>
            <w:pPr>
              <w:ind w:left="200"/>
              <w:spacing w:after="0" w:line="161" w:lineRule="exact"/>
              <w:rPr>
                <w:sz w:val="20"/>
                <w:szCs w:val="20"/>
                <w:color w:val="auto"/>
              </w:rPr>
            </w:pPr>
            <w:r>
              <w:rPr>
                <w:rFonts w:ascii="Arial" w:cs="Arial" w:eastAsia="Arial" w:hAnsi="Arial"/>
                <w:sz w:val="15"/>
                <w:szCs w:val="15"/>
                <w:color w:val="5D89B4"/>
              </w:rPr>
              <w:t>committed to advancing further and faster in 2022 and beyond.</w:t>
            </w: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5D89B4"/>
              </w:rPr>
              <w:t>increasing intentional representation of ethnic and racial minorities,</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5240" w:type="dxa"/>
            <w:vAlign w:val="bottom"/>
            <w:tcBorders>
              <w:right w:val="single" w:sz="8" w:color="BECFE1"/>
            </w:tcBorders>
            <w:gridSpan w:val="2"/>
            <w:vMerge w:val="restart"/>
          </w:tcPr>
          <w:p>
            <w:pPr>
              <w:ind w:left="200"/>
              <w:spacing w:after="0"/>
              <w:rPr>
                <w:sz w:val="20"/>
                <w:szCs w:val="20"/>
                <w:color w:val="auto"/>
              </w:rPr>
            </w:pPr>
            <w:r>
              <w:rPr>
                <w:rFonts w:ascii="Arial" w:cs="Arial" w:eastAsia="Arial" w:hAnsi="Arial"/>
                <w:sz w:val="15"/>
                <w:szCs w:val="15"/>
                <w:color w:val="auto"/>
              </w:rPr>
              <w:t>• Strengthening our anti-racist stance and commitment by continuing</w:t>
            </w: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5D89B4"/>
              </w:rPr>
              <w:t>people with disabilities, refugees and immigrants, generational</w:t>
            </w:r>
          </w:p>
        </w:tc>
        <w:tc>
          <w:tcPr>
            <w:tcW w:w="0" w:type="dxa"/>
            <w:vAlign w:val="bottom"/>
          </w:tcPr>
          <w:p>
            <w:pPr>
              <w:spacing w:after="0"/>
              <w:rPr>
                <w:sz w:val="1"/>
                <w:szCs w:val="1"/>
                <w:color w:val="auto"/>
              </w:rPr>
            </w:pPr>
          </w:p>
        </w:tc>
      </w:tr>
      <w:tr>
        <w:trPr>
          <w:trHeight w:val="137"/>
        </w:trPr>
        <w:tc>
          <w:tcPr>
            <w:tcW w:w="220" w:type="dxa"/>
            <w:vAlign w:val="bottom"/>
            <w:tcBorders>
              <w:left w:val="single" w:sz="8" w:color="BECFE1"/>
            </w:tcBorders>
          </w:tcPr>
          <w:p>
            <w:pPr>
              <w:spacing w:after="0"/>
              <w:rPr>
                <w:sz w:val="11"/>
                <w:szCs w:val="11"/>
                <w:color w:val="auto"/>
              </w:rPr>
            </w:pPr>
          </w:p>
        </w:tc>
        <w:tc>
          <w:tcPr>
            <w:tcW w:w="5240" w:type="dxa"/>
            <w:vAlign w:val="bottom"/>
            <w:tcBorders>
              <w:right w:val="single" w:sz="8" w:color="BECFE1"/>
            </w:tcBorders>
            <w:gridSpan w:val="2"/>
            <w:vMerge w:val="continue"/>
          </w:tcPr>
          <w:p>
            <w:pPr>
              <w:spacing w:after="0"/>
              <w:rPr>
                <w:sz w:val="11"/>
                <w:szCs w:val="11"/>
                <w:color w:val="auto"/>
              </w:rPr>
            </w:pPr>
          </w:p>
        </w:tc>
        <w:tc>
          <w:tcPr>
            <w:tcW w:w="320" w:type="dxa"/>
            <w:vAlign w:val="bottom"/>
            <w:tcBorders>
              <w:right w:val="single" w:sz="8" w:color="CEDBE8"/>
            </w:tcBorders>
          </w:tcPr>
          <w:p>
            <w:pPr>
              <w:spacing w:after="0"/>
              <w:rPr>
                <w:sz w:val="11"/>
                <w:szCs w:val="11"/>
                <w:color w:val="auto"/>
              </w:rPr>
            </w:pPr>
          </w:p>
        </w:tc>
        <w:tc>
          <w:tcPr>
            <w:tcW w:w="5160" w:type="dxa"/>
            <w:vAlign w:val="bottom"/>
            <w:tcBorders>
              <w:right w:val="single" w:sz="8" w:color="CEDBE8"/>
            </w:tcBorders>
          </w:tcPr>
          <w:p>
            <w:pPr>
              <w:ind w:left="320"/>
              <w:spacing w:after="0" w:line="137" w:lineRule="exact"/>
              <w:rPr>
                <w:sz w:val="20"/>
                <w:szCs w:val="20"/>
                <w:color w:val="auto"/>
              </w:rPr>
            </w:pPr>
            <w:r>
              <w:rPr>
                <w:rFonts w:ascii="Arial" w:cs="Arial" w:eastAsia="Arial" w:hAnsi="Arial"/>
                <w:sz w:val="15"/>
                <w:szCs w:val="15"/>
                <w:color w:val="5D89B4"/>
              </w:rPr>
              <w:t>diversity and socio-economically marginalized people. We are</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5240" w:type="dxa"/>
            <w:vAlign w:val="bottom"/>
            <w:tcBorders>
              <w:right w:val="single" w:sz="8" w:color="BECFE1"/>
            </w:tcBorders>
            <w:gridSpan w:val="2"/>
          </w:tcPr>
          <w:p>
            <w:pPr>
              <w:ind w:left="320"/>
              <w:spacing w:after="0" w:line="161" w:lineRule="exact"/>
              <w:rPr>
                <w:sz w:val="20"/>
                <w:szCs w:val="20"/>
                <w:color w:val="auto"/>
              </w:rPr>
            </w:pPr>
            <w:r>
              <w:rPr>
                <w:rFonts w:ascii="Arial" w:cs="Arial" w:eastAsia="Arial" w:hAnsi="Arial"/>
                <w:sz w:val="15"/>
                <w:szCs w:val="15"/>
                <w:color w:val="auto"/>
              </w:rPr>
              <w:t>our Courageous Conversation series on race and intersectionality</w:t>
            </w: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5D89B4"/>
              </w:rPr>
              <w:t>committed to goalsetting and metrics so we can expand the</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5240" w:type="dxa"/>
            <w:vAlign w:val="bottom"/>
            <w:tcBorders>
              <w:right w:val="single" w:sz="8" w:color="BECFE1"/>
            </w:tcBorders>
            <w:gridSpan w:val="2"/>
          </w:tcPr>
          <w:p>
            <w:pPr>
              <w:ind w:left="320"/>
              <w:spacing w:after="0" w:line="161" w:lineRule="exact"/>
              <w:rPr>
                <w:sz w:val="20"/>
                <w:szCs w:val="20"/>
                <w:color w:val="auto"/>
              </w:rPr>
            </w:pPr>
            <w:r>
              <w:rPr>
                <w:rFonts w:ascii="Arial" w:cs="Arial" w:eastAsia="Arial" w:hAnsi="Arial"/>
                <w:sz w:val="15"/>
                <w:szCs w:val="15"/>
                <w:color w:val="auto"/>
              </w:rPr>
              <w:t>with employees</w:t>
            </w: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5D89B4"/>
              </w:rPr>
              <w:t>progress we are making.</w:t>
            </w:r>
          </w:p>
        </w:tc>
        <w:tc>
          <w:tcPr>
            <w:tcW w:w="0" w:type="dxa"/>
            <w:vAlign w:val="bottom"/>
          </w:tcPr>
          <w:p>
            <w:pPr>
              <w:spacing w:after="0"/>
              <w:rPr>
                <w:sz w:val="1"/>
                <w:szCs w:val="1"/>
                <w:color w:val="auto"/>
              </w:rPr>
            </w:pPr>
          </w:p>
        </w:tc>
      </w:tr>
      <w:tr>
        <w:trPr>
          <w:trHeight w:val="144"/>
        </w:trPr>
        <w:tc>
          <w:tcPr>
            <w:tcW w:w="220" w:type="dxa"/>
            <w:vAlign w:val="bottom"/>
            <w:tcBorders>
              <w:left w:val="single" w:sz="8" w:color="BECFE1"/>
            </w:tcBorders>
          </w:tcPr>
          <w:p>
            <w:pPr>
              <w:spacing w:after="0"/>
              <w:rPr>
                <w:sz w:val="12"/>
                <w:szCs w:val="12"/>
                <w:color w:val="auto"/>
              </w:rPr>
            </w:pPr>
          </w:p>
        </w:tc>
        <w:tc>
          <w:tcPr>
            <w:tcW w:w="5240" w:type="dxa"/>
            <w:vAlign w:val="bottom"/>
            <w:tcBorders>
              <w:right w:val="single" w:sz="8" w:color="BECFE1"/>
            </w:tcBorders>
            <w:gridSpan w:val="2"/>
          </w:tcPr>
          <w:p>
            <w:pPr>
              <w:ind w:left="200"/>
              <w:spacing w:after="0" w:line="144" w:lineRule="exact"/>
              <w:rPr>
                <w:sz w:val="20"/>
                <w:szCs w:val="20"/>
                <w:color w:val="auto"/>
              </w:rPr>
            </w:pPr>
            <w:r>
              <w:rPr>
                <w:rFonts w:ascii="Arial" w:cs="Arial" w:eastAsia="Arial" w:hAnsi="Arial"/>
                <w:sz w:val="15"/>
                <w:szCs w:val="15"/>
                <w:color w:val="auto"/>
              </w:rPr>
              <w:t>• Designing and delivering INCLUDE, our DEIB training program,</w:t>
            </w:r>
          </w:p>
        </w:tc>
        <w:tc>
          <w:tcPr>
            <w:tcW w:w="320" w:type="dxa"/>
            <w:vAlign w:val="bottom"/>
            <w:tcBorders>
              <w:right w:val="single" w:sz="8" w:color="CEDBE8"/>
            </w:tcBorders>
          </w:tcPr>
          <w:p>
            <w:pPr>
              <w:spacing w:after="0"/>
              <w:rPr>
                <w:sz w:val="12"/>
                <w:szCs w:val="12"/>
                <w:color w:val="auto"/>
              </w:rPr>
            </w:pPr>
          </w:p>
        </w:tc>
        <w:tc>
          <w:tcPr>
            <w:tcW w:w="5160" w:type="dxa"/>
            <w:vAlign w:val="bottom"/>
            <w:tcBorders>
              <w:right w:val="single" w:sz="8" w:color="CEDBE8"/>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5240" w:type="dxa"/>
            <w:vAlign w:val="bottom"/>
            <w:tcBorders>
              <w:right w:val="single" w:sz="8" w:color="BECFE1"/>
            </w:tcBorders>
            <w:gridSpan w:val="2"/>
          </w:tcPr>
          <w:p>
            <w:pPr>
              <w:ind w:left="320"/>
              <w:spacing w:after="0" w:line="161" w:lineRule="exact"/>
              <w:rPr>
                <w:sz w:val="20"/>
                <w:szCs w:val="20"/>
                <w:color w:val="auto"/>
              </w:rPr>
            </w:pPr>
            <w:r>
              <w:rPr>
                <w:rFonts w:ascii="Arial" w:cs="Arial" w:eastAsia="Arial" w:hAnsi="Arial"/>
                <w:sz w:val="15"/>
                <w:szCs w:val="15"/>
                <w:color w:val="auto"/>
              </w:rPr>
              <w:t>internally and with clients</w:t>
            </w: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auto"/>
              </w:rPr>
              <w:t>• 33% of our Board of Directors are female and 17% are ethnically</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5240" w:type="dxa"/>
            <w:vAlign w:val="bottom"/>
            <w:tcBorders>
              <w:right w:val="single" w:sz="8" w:color="BECFE1"/>
            </w:tcBorders>
            <w:gridSpan w:val="2"/>
          </w:tcPr>
          <w:p>
            <w:pPr>
              <w:ind w:left="200"/>
              <w:spacing w:after="0" w:line="161" w:lineRule="exact"/>
              <w:rPr>
                <w:sz w:val="20"/>
                <w:szCs w:val="20"/>
                <w:color w:val="auto"/>
              </w:rPr>
            </w:pPr>
            <w:r>
              <w:rPr>
                <w:rFonts w:ascii="Arial" w:cs="Arial" w:eastAsia="Arial" w:hAnsi="Arial"/>
                <w:sz w:val="15"/>
                <w:szCs w:val="15"/>
                <w:color w:val="auto"/>
              </w:rPr>
              <w:t>• Earning recognition as Best Place to work for LGBTQ+ talent</w:t>
            </w: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440"/>
              <w:spacing w:after="0" w:line="161" w:lineRule="exact"/>
              <w:rPr>
                <w:sz w:val="20"/>
                <w:szCs w:val="20"/>
                <w:color w:val="auto"/>
              </w:rPr>
            </w:pPr>
            <w:r>
              <w:rPr>
                <w:rFonts w:ascii="Arial" w:cs="Arial" w:eastAsia="Arial" w:hAnsi="Arial"/>
                <w:sz w:val="15"/>
                <w:szCs w:val="15"/>
                <w:color w:val="auto"/>
              </w:rPr>
              <w:t>diverse</w:t>
            </w:r>
          </w:p>
        </w:tc>
        <w:tc>
          <w:tcPr>
            <w:tcW w:w="0" w:type="dxa"/>
            <w:vAlign w:val="bottom"/>
          </w:tcPr>
          <w:p>
            <w:pPr>
              <w:spacing w:after="0"/>
              <w:rPr>
                <w:sz w:val="1"/>
                <w:szCs w:val="1"/>
                <w:color w:val="auto"/>
              </w:rPr>
            </w:pPr>
          </w:p>
        </w:tc>
      </w:tr>
      <w:tr>
        <w:trPr>
          <w:trHeight w:val="144"/>
        </w:trPr>
        <w:tc>
          <w:tcPr>
            <w:tcW w:w="220" w:type="dxa"/>
            <w:vAlign w:val="bottom"/>
            <w:tcBorders>
              <w:left w:val="single" w:sz="8" w:color="BECFE1"/>
            </w:tcBorders>
          </w:tcPr>
          <w:p>
            <w:pPr>
              <w:spacing w:after="0"/>
              <w:rPr>
                <w:sz w:val="12"/>
                <w:szCs w:val="12"/>
                <w:color w:val="auto"/>
              </w:rPr>
            </w:pPr>
          </w:p>
        </w:tc>
        <w:tc>
          <w:tcPr>
            <w:tcW w:w="5240" w:type="dxa"/>
            <w:vAlign w:val="bottom"/>
            <w:tcBorders>
              <w:right w:val="single" w:sz="8" w:color="BECFE1"/>
            </w:tcBorders>
            <w:gridSpan w:val="2"/>
          </w:tcPr>
          <w:p>
            <w:pPr>
              <w:ind w:left="200"/>
              <w:spacing w:after="0" w:line="145" w:lineRule="exact"/>
              <w:rPr>
                <w:sz w:val="20"/>
                <w:szCs w:val="20"/>
                <w:color w:val="auto"/>
              </w:rPr>
            </w:pPr>
            <w:r>
              <w:rPr>
                <w:rFonts w:ascii="Arial" w:cs="Arial" w:eastAsia="Arial" w:hAnsi="Arial"/>
                <w:sz w:val="15"/>
                <w:szCs w:val="15"/>
                <w:color w:val="auto"/>
              </w:rPr>
              <w:t>• Leading conversations on LGBTQ+ inclusive #WordsatWork</w:t>
            </w:r>
          </w:p>
        </w:tc>
        <w:tc>
          <w:tcPr>
            <w:tcW w:w="320" w:type="dxa"/>
            <w:vAlign w:val="bottom"/>
            <w:tcBorders>
              <w:right w:val="single" w:sz="8" w:color="CEDBE8"/>
            </w:tcBorders>
          </w:tcPr>
          <w:p>
            <w:pPr>
              <w:spacing w:after="0"/>
              <w:rPr>
                <w:sz w:val="12"/>
                <w:szCs w:val="12"/>
                <w:color w:val="auto"/>
              </w:rPr>
            </w:pPr>
          </w:p>
        </w:tc>
        <w:tc>
          <w:tcPr>
            <w:tcW w:w="5160" w:type="dxa"/>
            <w:vAlign w:val="bottom"/>
            <w:tcBorders>
              <w:right w:val="single" w:sz="8" w:color="CEDBE8"/>
            </w:tcBorders>
          </w:tcPr>
          <w:p>
            <w:pPr>
              <w:ind w:left="320"/>
              <w:spacing w:after="0" w:line="145" w:lineRule="exact"/>
              <w:rPr>
                <w:sz w:val="20"/>
                <w:szCs w:val="20"/>
                <w:color w:val="auto"/>
              </w:rPr>
            </w:pPr>
            <w:r>
              <w:rPr>
                <w:rFonts w:ascii="Arial" w:cs="Arial" w:eastAsia="Arial" w:hAnsi="Arial"/>
                <w:sz w:val="15"/>
                <w:szCs w:val="15"/>
                <w:color w:val="auto"/>
              </w:rPr>
              <w:t>• Women make up 60% of our organization, hold 58% of all</w:t>
            </w:r>
          </w:p>
        </w:tc>
        <w:tc>
          <w:tcPr>
            <w:tcW w:w="0" w:type="dxa"/>
            <w:vAlign w:val="bottom"/>
          </w:tcPr>
          <w:p>
            <w:pPr>
              <w:spacing w:after="0"/>
              <w:rPr>
                <w:sz w:val="1"/>
                <w:szCs w:val="1"/>
                <w:color w:val="auto"/>
              </w:rPr>
            </w:pPr>
          </w:p>
        </w:tc>
      </w:tr>
      <w:tr>
        <w:trPr>
          <w:trHeight w:val="176"/>
        </w:trPr>
        <w:tc>
          <w:tcPr>
            <w:tcW w:w="220" w:type="dxa"/>
            <w:vAlign w:val="bottom"/>
            <w:tcBorders>
              <w:left w:val="single" w:sz="8" w:color="BECFE1"/>
            </w:tcBorders>
          </w:tcPr>
          <w:p>
            <w:pPr>
              <w:spacing w:after="0"/>
              <w:rPr>
                <w:sz w:val="15"/>
                <w:szCs w:val="15"/>
                <w:color w:val="auto"/>
              </w:rPr>
            </w:pPr>
          </w:p>
        </w:tc>
        <w:tc>
          <w:tcPr>
            <w:tcW w:w="5240" w:type="dxa"/>
            <w:vAlign w:val="bottom"/>
            <w:tcBorders>
              <w:right w:val="single" w:sz="8" w:color="BECFE1"/>
            </w:tcBorders>
            <w:gridSpan w:val="2"/>
          </w:tcPr>
          <w:p>
            <w:pPr>
              <w:ind w:left="200"/>
              <w:spacing w:after="0"/>
              <w:rPr>
                <w:sz w:val="20"/>
                <w:szCs w:val="20"/>
                <w:color w:val="auto"/>
              </w:rPr>
            </w:pPr>
            <w:r>
              <w:rPr>
                <w:rFonts w:ascii="Arial" w:cs="Arial" w:eastAsia="Arial" w:hAnsi="Arial"/>
                <w:sz w:val="15"/>
                <w:szCs w:val="15"/>
                <w:color w:val="auto"/>
              </w:rPr>
              <w:t xml:space="preserve">• Expanding our </w:t>
            </w:r>
            <w:r>
              <w:rPr>
                <w:rFonts w:ascii="Arial" w:cs="Arial" w:eastAsia="Arial" w:hAnsi="Arial"/>
                <w:sz w:val="15"/>
                <w:szCs w:val="15"/>
                <w:i w:val="1"/>
                <w:iCs w:val="1"/>
                <w:color w:val="auto"/>
              </w:rPr>
              <w:t>Culture Matters</w:t>
            </w:r>
            <w:r>
              <w:rPr>
                <w:rFonts w:ascii="Arial" w:cs="Arial" w:eastAsia="Arial" w:hAnsi="Arial"/>
                <w:sz w:val="15"/>
                <w:szCs w:val="15"/>
                <w:color w:val="auto"/>
              </w:rPr>
              <w:t xml:space="preserve"> initiative to evolve our culture to</w:t>
            </w:r>
          </w:p>
        </w:tc>
        <w:tc>
          <w:tcPr>
            <w:tcW w:w="320" w:type="dxa"/>
            <w:vAlign w:val="bottom"/>
            <w:tcBorders>
              <w:right w:val="single" w:sz="8" w:color="CEDBE8"/>
            </w:tcBorders>
          </w:tcPr>
          <w:p>
            <w:pPr>
              <w:spacing w:after="0"/>
              <w:rPr>
                <w:sz w:val="15"/>
                <w:szCs w:val="15"/>
                <w:color w:val="auto"/>
              </w:rPr>
            </w:pPr>
          </w:p>
        </w:tc>
        <w:tc>
          <w:tcPr>
            <w:tcW w:w="5160" w:type="dxa"/>
            <w:vAlign w:val="bottom"/>
            <w:tcBorders>
              <w:right w:val="single" w:sz="8" w:color="CEDBE8"/>
            </w:tcBorders>
          </w:tcPr>
          <w:p>
            <w:pPr>
              <w:ind w:left="440"/>
              <w:spacing w:after="0"/>
              <w:rPr>
                <w:sz w:val="20"/>
                <w:szCs w:val="20"/>
                <w:color w:val="auto"/>
              </w:rPr>
            </w:pPr>
            <w:r>
              <w:rPr>
                <w:rFonts w:ascii="Arial" w:cs="Arial" w:eastAsia="Arial" w:hAnsi="Arial"/>
                <w:sz w:val="15"/>
                <w:szCs w:val="15"/>
                <w:color w:val="auto"/>
              </w:rPr>
              <w:t>management positions and 35% of senior leadership roles</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5240" w:type="dxa"/>
            <w:vAlign w:val="bottom"/>
            <w:tcBorders>
              <w:right w:val="single" w:sz="8" w:color="BECFE1"/>
            </w:tcBorders>
            <w:gridSpan w:val="2"/>
          </w:tcPr>
          <w:p>
            <w:pPr>
              <w:ind w:left="320"/>
              <w:spacing w:after="0" w:line="161" w:lineRule="exact"/>
              <w:rPr>
                <w:sz w:val="20"/>
                <w:szCs w:val="20"/>
                <w:color w:val="auto"/>
              </w:rPr>
            </w:pPr>
            <w:r>
              <w:rPr>
                <w:rFonts w:ascii="Arial" w:cs="Arial" w:eastAsia="Arial" w:hAnsi="Arial"/>
                <w:sz w:val="15"/>
                <w:szCs w:val="15"/>
                <w:color w:val="auto"/>
              </w:rPr>
              <w:t>deliver on our strategy and our purpose</w:t>
            </w: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440"/>
              <w:spacing w:after="0" w:line="161" w:lineRule="exact"/>
              <w:rPr>
                <w:sz w:val="20"/>
                <w:szCs w:val="20"/>
                <w:color w:val="auto"/>
              </w:rPr>
            </w:pPr>
            <w:r>
              <w:rPr>
                <w:rFonts w:ascii="Arial" w:cs="Arial" w:eastAsia="Arial" w:hAnsi="Arial"/>
                <w:sz w:val="15"/>
                <w:szCs w:val="15"/>
                <w:color w:val="auto"/>
              </w:rPr>
              <w:t>globally</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2000" w:type="dxa"/>
            <w:vAlign w:val="bottom"/>
          </w:tcPr>
          <w:p>
            <w:pPr>
              <w:spacing w:after="0"/>
              <w:rPr>
                <w:sz w:val="13"/>
                <w:szCs w:val="13"/>
                <w:color w:val="auto"/>
              </w:rPr>
            </w:pPr>
          </w:p>
        </w:tc>
        <w:tc>
          <w:tcPr>
            <w:tcW w:w="3240" w:type="dxa"/>
            <w:vAlign w:val="bottom"/>
            <w:tcBorders>
              <w:right w:val="single" w:sz="8" w:color="BECFE1"/>
            </w:tcBorders>
          </w:tcPr>
          <w:p>
            <w:pPr>
              <w:spacing w:after="0"/>
              <w:rPr>
                <w:sz w:val="13"/>
                <w:szCs w:val="13"/>
                <w:color w:val="auto"/>
              </w:rPr>
            </w:pP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auto"/>
              </w:rPr>
              <w:t>• Our Executive Leadership Team is 27% People of Color</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2000" w:type="dxa"/>
            <w:vAlign w:val="bottom"/>
          </w:tcPr>
          <w:p>
            <w:pPr>
              <w:spacing w:after="0"/>
              <w:rPr>
                <w:sz w:val="13"/>
                <w:szCs w:val="13"/>
                <w:color w:val="auto"/>
              </w:rPr>
            </w:pPr>
          </w:p>
        </w:tc>
        <w:tc>
          <w:tcPr>
            <w:tcW w:w="3240" w:type="dxa"/>
            <w:vAlign w:val="bottom"/>
            <w:tcBorders>
              <w:right w:val="single" w:sz="8" w:color="BECFE1"/>
            </w:tcBorders>
          </w:tcPr>
          <w:p>
            <w:pPr>
              <w:spacing w:after="0"/>
              <w:rPr>
                <w:sz w:val="13"/>
                <w:szCs w:val="13"/>
                <w:color w:val="auto"/>
              </w:rPr>
            </w:pP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auto"/>
              </w:rPr>
              <w:t>• Committing to hire, retain, develop and advance more women into</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2000" w:type="dxa"/>
            <w:vAlign w:val="bottom"/>
          </w:tcPr>
          <w:p>
            <w:pPr>
              <w:spacing w:after="0"/>
              <w:rPr>
                <w:sz w:val="13"/>
                <w:szCs w:val="13"/>
                <w:color w:val="auto"/>
              </w:rPr>
            </w:pPr>
          </w:p>
        </w:tc>
        <w:tc>
          <w:tcPr>
            <w:tcW w:w="3240" w:type="dxa"/>
            <w:vAlign w:val="bottom"/>
            <w:tcBorders>
              <w:right w:val="single" w:sz="8" w:color="BECFE1"/>
            </w:tcBorders>
          </w:tcPr>
          <w:p>
            <w:pPr>
              <w:spacing w:after="0"/>
              <w:rPr>
                <w:sz w:val="13"/>
                <w:szCs w:val="13"/>
                <w:color w:val="auto"/>
              </w:rPr>
            </w:pP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440"/>
              <w:spacing w:after="0" w:line="161" w:lineRule="exact"/>
              <w:rPr>
                <w:sz w:val="20"/>
                <w:szCs w:val="20"/>
                <w:color w:val="auto"/>
              </w:rPr>
            </w:pPr>
            <w:r>
              <w:rPr>
                <w:rFonts w:ascii="Arial" w:cs="Arial" w:eastAsia="Arial" w:hAnsi="Arial"/>
                <w:sz w:val="15"/>
                <w:szCs w:val="15"/>
                <w:color w:val="auto"/>
              </w:rPr>
              <w:t>leadership</w:t>
            </w:r>
          </w:p>
        </w:tc>
        <w:tc>
          <w:tcPr>
            <w:tcW w:w="0" w:type="dxa"/>
            <w:vAlign w:val="bottom"/>
          </w:tcPr>
          <w:p>
            <w:pPr>
              <w:spacing w:after="0"/>
              <w:rPr>
                <w:sz w:val="1"/>
                <w:szCs w:val="1"/>
                <w:color w:val="auto"/>
              </w:rPr>
            </w:pPr>
          </w:p>
        </w:tc>
      </w:tr>
      <w:tr>
        <w:trPr>
          <w:trHeight w:val="160"/>
        </w:trPr>
        <w:tc>
          <w:tcPr>
            <w:tcW w:w="220" w:type="dxa"/>
            <w:vAlign w:val="bottom"/>
            <w:tcBorders>
              <w:left w:val="single" w:sz="8" w:color="BECFE1"/>
            </w:tcBorders>
          </w:tcPr>
          <w:p>
            <w:pPr>
              <w:spacing w:after="0"/>
              <w:rPr>
                <w:sz w:val="13"/>
                <w:szCs w:val="13"/>
                <w:color w:val="auto"/>
              </w:rPr>
            </w:pPr>
          </w:p>
        </w:tc>
        <w:tc>
          <w:tcPr>
            <w:tcW w:w="2000" w:type="dxa"/>
            <w:vAlign w:val="bottom"/>
          </w:tcPr>
          <w:p>
            <w:pPr>
              <w:spacing w:after="0"/>
              <w:rPr>
                <w:sz w:val="13"/>
                <w:szCs w:val="13"/>
                <w:color w:val="auto"/>
              </w:rPr>
            </w:pPr>
          </w:p>
        </w:tc>
        <w:tc>
          <w:tcPr>
            <w:tcW w:w="3240" w:type="dxa"/>
            <w:vAlign w:val="bottom"/>
            <w:tcBorders>
              <w:right w:val="single" w:sz="8" w:color="BECFE1"/>
            </w:tcBorders>
          </w:tcPr>
          <w:p>
            <w:pPr>
              <w:spacing w:after="0"/>
              <w:rPr>
                <w:sz w:val="13"/>
                <w:szCs w:val="13"/>
                <w:color w:val="auto"/>
              </w:rPr>
            </w:pPr>
          </w:p>
        </w:tc>
        <w:tc>
          <w:tcPr>
            <w:tcW w:w="320" w:type="dxa"/>
            <w:vAlign w:val="bottom"/>
            <w:tcBorders>
              <w:right w:val="single" w:sz="8" w:color="CEDBE8"/>
            </w:tcBorders>
          </w:tcPr>
          <w:p>
            <w:pPr>
              <w:spacing w:after="0"/>
              <w:rPr>
                <w:sz w:val="13"/>
                <w:szCs w:val="13"/>
                <w:color w:val="auto"/>
              </w:rPr>
            </w:pPr>
          </w:p>
        </w:tc>
        <w:tc>
          <w:tcPr>
            <w:tcW w:w="5160" w:type="dxa"/>
            <w:vAlign w:val="bottom"/>
            <w:tcBorders>
              <w:right w:val="single" w:sz="8" w:color="CEDBE8"/>
            </w:tcBorders>
          </w:tcPr>
          <w:p>
            <w:pPr>
              <w:ind w:left="320"/>
              <w:spacing w:after="0" w:line="161" w:lineRule="exact"/>
              <w:rPr>
                <w:sz w:val="20"/>
                <w:szCs w:val="20"/>
                <w:color w:val="auto"/>
              </w:rPr>
            </w:pPr>
            <w:r>
              <w:rPr>
                <w:rFonts w:ascii="Arial" w:cs="Arial" w:eastAsia="Arial" w:hAnsi="Arial"/>
                <w:sz w:val="15"/>
                <w:szCs w:val="15"/>
                <w:color w:val="auto"/>
              </w:rPr>
              <w:t>• Accelerating the path to pay equity with gender pay analysis in our</w:t>
            </w:r>
          </w:p>
        </w:tc>
        <w:tc>
          <w:tcPr>
            <w:tcW w:w="0" w:type="dxa"/>
            <w:vAlign w:val="bottom"/>
          </w:tcPr>
          <w:p>
            <w:pPr>
              <w:spacing w:after="0"/>
              <w:rPr>
                <w:sz w:val="1"/>
                <w:szCs w:val="1"/>
                <w:color w:val="auto"/>
              </w:rPr>
            </w:pPr>
          </w:p>
        </w:tc>
      </w:tr>
      <w:tr>
        <w:trPr>
          <w:trHeight w:val="181"/>
        </w:trPr>
        <w:tc>
          <w:tcPr>
            <w:tcW w:w="220" w:type="dxa"/>
            <w:vAlign w:val="bottom"/>
            <w:tcBorders>
              <w:left w:val="single" w:sz="8" w:color="BECFE1"/>
            </w:tcBorders>
          </w:tcPr>
          <w:p>
            <w:pPr>
              <w:spacing w:after="0"/>
              <w:rPr>
                <w:sz w:val="15"/>
                <w:szCs w:val="15"/>
                <w:color w:val="auto"/>
              </w:rPr>
            </w:pPr>
          </w:p>
        </w:tc>
        <w:tc>
          <w:tcPr>
            <w:tcW w:w="2000" w:type="dxa"/>
            <w:vAlign w:val="bottom"/>
          </w:tcPr>
          <w:p>
            <w:pPr>
              <w:spacing w:after="0"/>
              <w:rPr>
                <w:sz w:val="15"/>
                <w:szCs w:val="15"/>
                <w:color w:val="auto"/>
              </w:rPr>
            </w:pPr>
          </w:p>
        </w:tc>
        <w:tc>
          <w:tcPr>
            <w:tcW w:w="3240" w:type="dxa"/>
            <w:vAlign w:val="bottom"/>
            <w:tcBorders>
              <w:right w:val="single" w:sz="8" w:color="BECFE1"/>
            </w:tcBorders>
          </w:tcPr>
          <w:p>
            <w:pPr>
              <w:spacing w:after="0"/>
              <w:rPr>
                <w:sz w:val="15"/>
                <w:szCs w:val="15"/>
                <w:color w:val="auto"/>
              </w:rPr>
            </w:pPr>
          </w:p>
        </w:tc>
        <w:tc>
          <w:tcPr>
            <w:tcW w:w="320" w:type="dxa"/>
            <w:vAlign w:val="bottom"/>
            <w:tcBorders>
              <w:right w:val="single" w:sz="8" w:color="CEDBE8"/>
            </w:tcBorders>
          </w:tcPr>
          <w:p>
            <w:pPr>
              <w:spacing w:after="0"/>
              <w:rPr>
                <w:sz w:val="15"/>
                <w:szCs w:val="15"/>
                <w:color w:val="auto"/>
              </w:rPr>
            </w:pPr>
          </w:p>
        </w:tc>
        <w:tc>
          <w:tcPr>
            <w:tcW w:w="5160" w:type="dxa"/>
            <w:vAlign w:val="bottom"/>
            <w:tcBorders>
              <w:right w:val="single" w:sz="8" w:color="CEDBE8"/>
            </w:tcBorders>
          </w:tcPr>
          <w:p>
            <w:pPr>
              <w:ind w:left="440"/>
              <w:spacing w:after="0"/>
              <w:rPr>
                <w:sz w:val="20"/>
                <w:szCs w:val="20"/>
                <w:color w:val="auto"/>
              </w:rPr>
            </w:pPr>
            <w:r>
              <w:rPr>
                <w:rFonts w:ascii="Arial" w:cs="Arial" w:eastAsia="Arial" w:hAnsi="Arial"/>
                <w:sz w:val="15"/>
                <w:szCs w:val="15"/>
                <w:color w:val="auto"/>
              </w:rPr>
              <w:t>largest markets every year</w:t>
            </w:r>
          </w:p>
        </w:tc>
        <w:tc>
          <w:tcPr>
            <w:tcW w:w="0" w:type="dxa"/>
            <w:vAlign w:val="bottom"/>
          </w:tcPr>
          <w:p>
            <w:pPr>
              <w:spacing w:after="0"/>
              <w:rPr>
                <w:sz w:val="1"/>
                <w:szCs w:val="1"/>
                <w:color w:val="auto"/>
              </w:rPr>
            </w:pPr>
          </w:p>
        </w:tc>
      </w:tr>
      <w:tr>
        <w:trPr>
          <w:trHeight w:val="244"/>
        </w:trPr>
        <w:tc>
          <w:tcPr>
            <w:tcW w:w="220" w:type="dxa"/>
            <w:vAlign w:val="bottom"/>
            <w:tcBorders>
              <w:left w:val="single" w:sz="8" w:color="BECFE1"/>
              <w:bottom w:val="single" w:sz="8" w:color="BECFE1"/>
            </w:tcBorders>
          </w:tcPr>
          <w:p>
            <w:pPr>
              <w:spacing w:after="0"/>
              <w:rPr>
                <w:sz w:val="21"/>
                <w:szCs w:val="21"/>
                <w:color w:val="auto"/>
              </w:rPr>
            </w:pPr>
          </w:p>
        </w:tc>
        <w:tc>
          <w:tcPr>
            <w:tcW w:w="2000" w:type="dxa"/>
            <w:vAlign w:val="bottom"/>
            <w:tcBorders>
              <w:bottom w:val="single" w:sz="8" w:color="BECFE1"/>
            </w:tcBorders>
          </w:tcPr>
          <w:p>
            <w:pPr>
              <w:spacing w:after="0"/>
              <w:rPr>
                <w:sz w:val="21"/>
                <w:szCs w:val="21"/>
                <w:color w:val="auto"/>
              </w:rPr>
            </w:pPr>
          </w:p>
        </w:tc>
        <w:tc>
          <w:tcPr>
            <w:tcW w:w="3240" w:type="dxa"/>
            <w:vAlign w:val="bottom"/>
            <w:tcBorders>
              <w:bottom w:val="single" w:sz="8" w:color="BECFE1"/>
              <w:right w:val="single" w:sz="8" w:color="BECFE1"/>
            </w:tcBorders>
          </w:tcPr>
          <w:p>
            <w:pPr>
              <w:spacing w:after="0"/>
              <w:rPr>
                <w:sz w:val="21"/>
                <w:szCs w:val="21"/>
                <w:color w:val="auto"/>
              </w:rPr>
            </w:pPr>
          </w:p>
        </w:tc>
        <w:tc>
          <w:tcPr>
            <w:tcW w:w="320" w:type="dxa"/>
            <w:vAlign w:val="bottom"/>
            <w:tcBorders>
              <w:bottom w:val="single" w:sz="8" w:color="BECFE1"/>
              <w:right w:val="single" w:sz="8" w:color="CEDBE8"/>
            </w:tcBorders>
          </w:tcPr>
          <w:p>
            <w:pPr>
              <w:spacing w:after="0"/>
              <w:rPr>
                <w:sz w:val="21"/>
                <w:szCs w:val="21"/>
                <w:color w:val="auto"/>
              </w:rPr>
            </w:pPr>
          </w:p>
        </w:tc>
        <w:tc>
          <w:tcPr>
            <w:tcW w:w="5160" w:type="dxa"/>
            <w:vAlign w:val="bottom"/>
            <w:tcBorders>
              <w:bottom w:val="single" w:sz="8" w:color="CEDBE8"/>
              <w:right w:val="single" w:sz="8" w:color="CEDBE8"/>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463"/>
        </w:trPr>
        <w:tc>
          <w:tcPr>
            <w:tcW w:w="5460" w:type="dxa"/>
            <w:vAlign w:val="bottom"/>
            <w:tcBorders>
              <w:top w:val="single" w:sz="8" w:color="CEDBE8"/>
              <w:left w:val="single" w:sz="8" w:color="CEDBE8"/>
              <w:right w:val="single" w:sz="8" w:color="CEDBE8"/>
            </w:tcBorders>
          </w:tcPr>
          <w:p>
            <w:pPr>
              <w:ind w:left="520"/>
              <w:spacing w:after="0"/>
              <w:rPr>
                <w:sz w:val="20"/>
                <w:szCs w:val="20"/>
                <w:color w:val="auto"/>
              </w:rPr>
            </w:pPr>
            <w:r>
              <w:rPr>
                <w:rFonts w:ascii="Arial" w:cs="Arial" w:eastAsia="Arial" w:hAnsi="Arial"/>
                <w:sz w:val="16"/>
                <w:szCs w:val="16"/>
                <w:b w:val="1"/>
                <w:bCs w:val="1"/>
                <w:color w:val="5D89B4"/>
              </w:rPr>
              <w:t>Reskilling &amp; Upskilling for the Future</w:t>
            </w:r>
          </w:p>
        </w:tc>
        <w:tc>
          <w:tcPr>
            <w:tcW w:w="320" w:type="dxa"/>
            <w:vAlign w:val="bottom"/>
            <w:tcBorders>
              <w:top w:val="single" w:sz="8" w:color="CEDBE8"/>
              <w:right w:val="single" w:sz="8" w:color="BECFE1"/>
            </w:tcBorders>
          </w:tcPr>
          <w:p>
            <w:pPr>
              <w:spacing w:after="0"/>
              <w:rPr>
                <w:sz w:val="24"/>
                <w:szCs w:val="24"/>
                <w:color w:val="auto"/>
              </w:rPr>
            </w:pPr>
          </w:p>
        </w:tc>
        <w:tc>
          <w:tcPr>
            <w:tcW w:w="5160" w:type="dxa"/>
            <w:vAlign w:val="bottom"/>
            <w:tcBorders>
              <w:top w:val="single" w:sz="8" w:color="BECFE1"/>
              <w:right w:val="single" w:sz="8" w:color="BECFE1"/>
            </w:tcBorders>
            <w:gridSpan w:val="5"/>
          </w:tcPr>
          <w:p>
            <w:pPr>
              <w:ind w:left="320"/>
              <w:spacing w:after="0"/>
              <w:rPr>
                <w:sz w:val="20"/>
                <w:szCs w:val="20"/>
                <w:color w:val="auto"/>
              </w:rPr>
            </w:pPr>
            <w:r>
              <w:rPr>
                <w:rFonts w:ascii="Arial" w:cs="Arial" w:eastAsia="Arial" w:hAnsi="Arial"/>
                <w:sz w:val="16"/>
                <w:szCs w:val="16"/>
                <w:b w:val="1"/>
                <w:bCs w:val="1"/>
                <w:color w:val="5D89B4"/>
              </w:rPr>
              <w:t>Innovation for Impact</w:t>
            </w:r>
          </w:p>
        </w:tc>
        <w:tc>
          <w:tcPr>
            <w:tcW w:w="0" w:type="dxa"/>
            <w:vAlign w:val="bottom"/>
          </w:tcPr>
          <w:p>
            <w:pPr>
              <w:spacing w:after="0"/>
              <w:rPr>
                <w:sz w:val="1"/>
                <w:szCs w:val="1"/>
                <w:color w:val="auto"/>
              </w:rPr>
            </w:pPr>
          </w:p>
        </w:tc>
      </w:tr>
      <w:tr>
        <w:trPr>
          <w:trHeight w:val="270"/>
        </w:trPr>
        <w:tc>
          <w:tcPr>
            <w:tcW w:w="5460" w:type="dxa"/>
            <w:vAlign w:val="bottom"/>
            <w:tcBorders>
              <w:left w:val="single" w:sz="8" w:color="CEDBE8"/>
              <w:right w:val="single" w:sz="8" w:color="CEDBE8"/>
            </w:tcBorders>
          </w:tcPr>
          <w:p>
            <w:pPr>
              <w:ind w:left="520"/>
              <w:spacing w:after="0"/>
              <w:rPr>
                <w:sz w:val="20"/>
                <w:szCs w:val="20"/>
                <w:color w:val="auto"/>
              </w:rPr>
            </w:pPr>
            <w:r>
              <w:rPr>
                <w:rFonts w:ascii="Arial" w:cs="Arial" w:eastAsia="Arial" w:hAnsi="Arial"/>
                <w:sz w:val="15"/>
                <w:szCs w:val="15"/>
                <w:color w:val="5D89B4"/>
              </w:rPr>
              <w:t>We are committed to being creators of talent at scale, identifying</w:t>
            </w:r>
          </w:p>
        </w:tc>
        <w:tc>
          <w:tcPr>
            <w:tcW w:w="320" w:type="dxa"/>
            <w:vAlign w:val="bottom"/>
            <w:tcBorders>
              <w:right w:val="single" w:sz="8" w:color="BECFE1"/>
            </w:tcBorders>
          </w:tcPr>
          <w:p>
            <w:pPr>
              <w:spacing w:after="0"/>
              <w:rPr>
                <w:sz w:val="23"/>
                <w:szCs w:val="23"/>
                <w:color w:val="auto"/>
              </w:rPr>
            </w:pPr>
          </w:p>
        </w:tc>
        <w:tc>
          <w:tcPr>
            <w:tcW w:w="5160" w:type="dxa"/>
            <w:vAlign w:val="bottom"/>
            <w:tcBorders>
              <w:right w:val="single" w:sz="8" w:color="BECFE1"/>
            </w:tcBorders>
            <w:gridSpan w:val="5"/>
          </w:tcPr>
          <w:p>
            <w:pPr>
              <w:ind w:left="320"/>
              <w:spacing w:after="0"/>
              <w:rPr>
                <w:sz w:val="20"/>
                <w:szCs w:val="20"/>
                <w:color w:val="auto"/>
              </w:rPr>
            </w:pPr>
            <w:r>
              <w:rPr>
                <w:rFonts w:ascii="Arial" w:cs="Arial" w:eastAsia="Arial" w:hAnsi="Arial"/>
                <w:sz w:val="15"/>
                <w:szCs w:val="15"/>
                <w:color w:val="5D89B4"/>
              </w:rPr>
              <w:t>Our vast access to people, clients and jobs, together with our</w:t>
            </w:r>
          </w:p>
        </w:tc>
        <w:tc>
          <w:tcPr>
            <w:tcW w:w="0" w:type="dxa"/>
            <w:vAlign w:val="bottom"/>
          </w:tcPr>
          <w:p>
            <w:pPr>
              <w:spacing w:after="0"/>
              <w:rPr>
                <w:sz w:val="1"/>
                <w:szCs w:val="1"/>
                <w:color w:val="auto"/>
              </w:rPr>
            </w:pPr>
          </w:p>
        </w:tc>
      </w:tr>
      <w:tr>
        <w:trPr>
          <w:trHeight w:val="160"/>
        </w:trPr>
        <w:tc>
          <w:tcPr>
            <w:tcW w:w="5460" w:type="dxa"/>
            <w:vAlign w:val="bottom"/>
            <w:tcBorders>
              <w:left w:val="single" w:sz="8" w:color="CEDBE8"/>
              <w:right w:val="single" w:sz="8" w:color="CEDBE8"/>
            </w:tcBorders>
          </w:tcPr>
          <w:p>
            <w:pPr>
              <w:ind w:left="520"/>
              <w:spacing w:after="0" w:line="161" w:lineRule="exact"/>
              <w:rPr>
                <w:sz w:val="20"/>
                <w:szCs w:val="20"/>
                <w:color w:val="auto"/>
              </w:rPr>
            </w:pPr>
            <w:r>
              <w:rPr>
                <w:rFonts w:ascii="Arial" w:cs="Arial" w:eastAsia="Arial" w:hAnsi="Arial"/>
                <w:sz w:val="15"/>
                <w:szCs w:val="15"/>
                <w:color w:val="5D89B4"/>
              </w:rPr>
              <w:t>career pathways and guiding people to take the steps required to</w:t>
            </w:r>
          </w:p>
        </w:tc>
        <w:tc>
          <w:tcPr>
            <w:tcW w:w="320" w:type="dxa"/>
            <w:vAlign w:val="bottom"/>
            <w:tcBorders>
              <w:right w:val="single" w:sz="8" w:color="BECFE1"/>
            </w:tcBorders>
          </w:tcPr>
          <w:p>
            <w:pPr>
              <w:spacing w:after="0"/>
              <w:rPr>
                <w:sz w:val="13"/>
                <w:szCs w:val="13"/>
                <w:color w:val="auto"/>
              </w:rPr>
            </w:pPr>
          </w:p>
        </w:tc>
        <w:tc>
          <w:tcPr>
            <w:tcW w:w="5160" w:type="dxa"/>
            <w:vAlign w:val="bottom"/>
            <w:tcBorders>
              <w:right w:val="single" w:sz="8" w:color="BECFE1"/>
            </w:tcBorders>
            <w:gridSpan w:val="5"/>
          </w:tcPr>
          <w:p>
            <w:pPr>
              <w:ind w:left="320"/>
              <w:spacing w:after="0" w:line="161" w:lineRule="exact"/>
              <w:rPr>
                <w:sz w:val="20"/>
                <w:szCs w:val="20"/>
                <w:color w:val="auto"/>
              </w:rPr>
            </w:pPr>
            <w:r>
              <w:rPr>
                <w:rFonts w:ascii="Arial" w:cs="Arial" w:eastAsia="Arial" w:hAnsi="Arial"/>
                <w:sz w:val="15"/>
                <w:szCs w:val="15"/>
                <w:color w:val="5D89B4"/>
              </w:rPr>
              <w:t>aggregate data, enables us to create new differentiated value and</w:t>
            </w:r>
          </w:p>
        </w:tc>
        <w:tc>
          <w:tcPr>
            <w:tcW w:w="0" w:type="dxa"/>
            <w:vAlign w:val="bottom"/>
          </w:tcPr>
          <w:p>
            <w:pPr>
              <w:spacing w:after="0"/>
              <w:rPr>
                <w:sz w:val="1"/>
                <w:szCs w:val="1"/>
                <w:color w:val="auto"/>
              </w:rPr>
            </w:pPr>
          </w:p>
        </w:tc>
      </w:tr>
      <w:tr>
        <w:trPr>
          <w:trHeight w:val="160"/>
        </w:trPr>
        <w:tc>
          <w:tcPr>
            <w:tcW w:w="5460" w:type="dxa"/>
            <w:vAlign w:val="bottom"/>
            <w:tcBorders>
              <w:left w:val="single" w:sz="8" w:color="CEDBE8"/>
              <w:right w:val="single" w:sz="8" w:color="CEDBE8"/>
            </w:tcBorders>
          </w:tcPr>
          <w:p>
            <w:pPr>
              <w:ind w:left="520"/>
              <w:spacing w:after="0" w:line="161" w:lineRule="exact"/>
              <w:rPr>
                <w:sz w:val="20"/>
                <w:szCs w:val="20"/>
                <w:color w:val="auto"/>
              </w:rPr>
            </w:pPr>
            <w:r>
              <w:rPr>
                <w:rFonts w:ascii="Arial" w:cs="Arial" w:eastAsia="Arial" w:hAnsi="Arial"/>
                <w:sz w:val="15"/>
                <w:szCs w:val="15"/>
                <w:color w:val="5D89B4"/>
              </w:rPr>
              <w:t>improve their employability and prosperity for the long-term.</w:t>
            </w:r>
          </w:p>
        </w:tc>
        <w:tc>
          <w:tcPr>
            <w:tcW w:w="320" w:type="dxa"/>
            <w:vAlign w:val="bottom"/>
            <w:tcBorders>
              <w:right w:val="single" w:sz="8" w:color="BECFE1"/>
            </w:tcBorders>
          </w:tcPr>
          <w:p>
            <w:pPr>
              <w:spacing w:after="0"/>
              <w:rPr>
                <w:sz w:val="13"/>
                <w:szCs w:val="13"/>
                <w:color w:val="auto"/>
              </w:rPr>
            </w:pPr>
          </w:p>
        </w:tc>
        <w:tc>
          <w:tcPr>
            <w:tcW w:w="5160" w:type="dxa"/>
            <w:vAlign w:val="bottom"/>
            <w:tcBorders>
              <w:right w:val="single" w:sz="8" w:color="BECFE1"/>
            </w:tcBorders>
            <w:gridSpan w:val="5"/>
          </w:tcPr>
          <w:p>
            <w:pPr>
              <w:ind w:left="320"/>
              <w:spacing w:after="0" w:line="161" w:lineRule="exact"/>
              <w:rPr>
                <w:sz w:val="20"/>
                <w:szCs w:val="20"/>
                <w:color w:val="auto"/>
              </w:rPr>
            </w:pPr>
            <w:r>
              <w:rPr>
                <w:rFonts w:ascii="Arial" w:cs="Arial" w:eastAsia="Arial" w:hAnsi="Arial"/>
                <w:sz w:val="15"/>
                <w:szCs w:val="15"/>
                <w:color w:val="5D89B4"/>
              </w:rPr>
              <w:t>deliver data-driven insights and actions, with better accuracy than</w:t>
            </w:r>
          </w:p>
        </w:tc>
        <w:tc>
          <w:tcPr>
            <w:tcW w:w="0" w:type="dxa"/>
            <w:vAlign w:val="bottom"/>
          </w:tcPr>
          <w:p>
            <w:pPr>
              <w:spacing w:after="0"/>
              <w:rPr>
                <w:sz w:val="1"/>
                <w:szCs w:val="1"/>
                <w:color w:val="auto"/>
              </w:rPr>
            </w:pPr>
          </w:p>
        </w:tc>
      </w:tr>
      <w:tr>
        <w:trPr>
          <w:trHeight w:val="181"/>
        </w:trPr>
        <w:tc>
          <w:tcPr>
            <w:tcW w:w="5460" w:type="dxa"/>
            <w:vAlign w:val="bottom"/>
            <w:tcBorders>
              <w:left w:val="single" w:sz="8" w:color="CEDBE8"/>
              <w:right w:val="single" w:sz="8" w:color="CEDBE8"/>
            </w:tcBorders>
            <w:vMerge w:val="restart"/>
          </w:tcPr>
          <w:p>
            <w:pPr>
              <w:ind w:left="540"/>
              <w:spacing w:after="0"/>
              <w:rPr>
                <w:sz w:val="20"/>
                <w:szCs w:val="20"/>
                <w:color w:val="auto"/>
              </w:rPr>
            </w:pPr>
            <w:r>
              <w:rPr>
                <w:rFonts w:ascii="Arial" w:cs="Arial" w:eastAsia="Arial" w:hAnsi="Arial"/>
                <w:sz w:val="15"/>
                <w:szCs w:val="15"/>
                <w:color w:val="auto"/>
              </w:rPr>
              <w:t>• Transforming more than 154,000 lives to date through our MyPath</w:t>
            </w:r>
            <w:r>
              <w:rPr>
                <w:rFonts w:ascii="Arial" w:cs="Arial" w:eastAsia="Arial" w:hAnsi="Arial"/>
                <w:sz w:val="12"/>
                <w:szCs w:val="12"/>
                <w:color w:val="auto"/>
              </w:rPr>
              <w:t>®</w:t>
            </w:r>
          </w:p>
        </w:tc>
        <w:tc>
          <w:tcPr>
            <w:tcW w:w="320" w:type="dxa"/>
            <w:vAlign w:val="bottom"/>
            <w:tcBorders>
              <w:right w:val="single" w:sz="8" w:color="BECFE1"/>
            </w:tcBorders>
          </w:tcPr>
          <w:p>
            <w:pPr>
              <w:spacing w:after="0"/>
              <w:rPr>
                <w:sz w:val="15"/>
                <w:szCs w:val="15"/>
                <w:color w:val="auto"/>
              </w:rPr>
            </w:pPr>
          </w:p>
        </w:tc>
        <w:tc>
          <w:tcPr>
            <w:tcW w:w="5160" w:type="dxa"/>
            <w:vAlign w:val="bottom"/>
            <w:tcBorders>
              <w:right w:val="single" w:sz="8" w:color="BECFE1"/>
            </w:tcBorders>
            <w:gridSpan w:val="5"/>
          </w:tcPr>
          <w:p>
            <w:pPr>
              <w:ind w:left="320"/>
              <w:spacing w:after="0"/>
              <w:rPr>
                <w:sz w:val="20"/>
                <w:szCs w:val="20"/>
                <w:color w:val="auto"/>
              </w:rPr>
            </w:pPr>
            <w:r>
              <w:rPr>
                <w:rFonts w:ascii="Arial" w:cs="Arial" w:eastAsia="Arial" w:hAnsi="Arial"/>
                <w:sz w:val="15"/>
                <w:szCs w:val="15"/>
                <w:color w:val="5D89B4"/>
              </w:rPr>
              <w:t>either humans or machines could do on their own.</w:t>
            </w:r>
          </w:p>
        </w:tc>
        <w:tc>
          <w:tcPr>
            <w:tcW w:w="0" w:type="dxa"/>
            <w:vAlign w:val="bottom"/>
          </w:tcPr>
          <w:p>
            <w:pPr>
              <w:spacing w:after="0"/>
              <w:rPr>
                <w:sz w:val="1"/>
                <w:szCs w:val="1"/>
                <w:color w:val="auto"/>
              </w:rPr>
            </w:pPr>
          </w:p>
        </w:tc>
      </w:tr>
      <w:tr>
        <w:trPr>
          <w:trHeight w:val="100"/>
        </w:trPr>
        <w:tc>
          <w:tcPr>
            <w:tcW w:w="5460" w:type="dxa"/>
            <w:vAlign w:val="bottom"/>
            <w:tcBorders>
              <w:left w:val="single" w:sz="8" w:color="CEDBE8"/>
              <w:right w:val="single" w:sz="8" w:color="CEDBE8"/>
            </w:tcBorders>
            <w:vMerge w:val="continue"/>
          </w:tcPr>
          <w:p>
            <w:pPr>
              <w:spacing w:after="0"/>
              <w:rPr>
                <w:sz w:val="8"/>
                <w:szCs w:val="8"/>
                <w:color w:val="auto"/>
              </w:rPr>
            </w:pPr>
          </w:p>
        </w:tc>
        <w:tc>
          <w:tcPr>
            <w:tcW w:w="320" w:type="dxa"/>
            <w:vAlign w:val="bottom"/>
            <w:tcBorders>
              <w:right w:val="single" w:sz="8" w:color="BECFE1"/>
            </w:tcBorders>
          </w:tcPr>
          <w:p>
            <w:pPr>
              <w:spacing w:after="0"/>
              <w:rPr>
                <w:sz w:val="8"/>
                <w:szCs w:val="8"/>
                <w:color w:val="auto"/>
              </w:rPr>
            </w:pPr>
          </w:p>
        </w:tc>
        <w:tc>
          <w:tcPr>
            <w:tcW w:w="14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Borders>
              <w:right w:val="single" w:sz="8" w:color="BECFE1"/>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5460" w:type="dxa"/>
            <w:vAlign w:val="bottom"/>
            <w:tcBorders>
              <w:left w:val="single" w:sz="8" w:color="CEDBE8"/>
              <w:right w:val="single" w:sz="8" w:color="CEDBE8"/>
            </w:tcBorders>
          </w:tcPr>
          <w:p>
            <w:pPr>
              <w:ind w:left="660"/>
              <w:spacing w:after="0" w:line="118" w:lineRule="exact"/>
              <w:rPr>
                <w:sz w:val="20"/>
                <w:szCs w:val="20"/>
                <w:color w:val="auto"/>
              </w:rPr>
            </w:pPr>
            <w:r>
              <w:rPr>
                <w:rFonts w:ascii="Arial" w:cs="Arial" w:eastAsia="Arial" w:hAnsi="Arial"/>
                <w:sz w:val="13"/>
                <w:szCs w:val="13"/>
                <w:color w:val="auto"/>
              </w:rPr>
              <w:t>program to boost employability and earning potential</w:t>
            </w:r>
          </w:p>
        </w:tc>
        <w:tc>
          <w:tcPr>
            <w:tcW w:w="320" w:type="dxa"/>
            <w:vAlign w:val="bottom"/>
            <w:tcBorders>
              <w:right w:val="single" w:sz="8" w:color="BECFE1"/>
            </w:tcBorders>
          </w:tcPr>
          <w:p>
            <w:pPr>
              <w:spacing w:after="0"/>
              <w:rPr>
                <w:sz w:val="11"/>
                <w:szCs w:val="11"/>
                <w:color w:val="auto"/>
              </w:rPr>
            </w:pPr>
          </w:p>
        </w:tc>
        <w:tc>
          <w:tcPr>
            <w:tcW w:w="5160" w:type="dxa"/>
            <w:vAlign w:val="bottom"/>
            <w:tcBorders>
              <w:right w:val="single" w:sz="8" w:color="BECFE1"/>
            </w:tcBorders>
            <w:gridSpan w:val="5"/>
          </w:tcPr>
          <w:p>
            <w:pPr>
              <w:ind w:left="320"/>
              <w:spacing w:after="0" w:line="118" w:lineRule="exact"/>
              <w:rPr>
                <w:sz w:val="20"/>
                <w:szCs w:val="20"/>
                <w:color w:val="auto"/>
              </w:rPr>
            </w:pPr>
            <w:r>
              <w:rPr>
                <w:rFonts w:ascii="Arial" w:cs="Arial" w:eastAsia="Arial" w:hAnsi="Arial"/>
                <w:sz w:val="13"/>
                <w:szCs w:val="13"/>
                <w:color w:val="auto"/>
              </w:rPr>
              <w:t xml:space="preserve">• Launching our </w:t>
            </w:r>
            <w:r>
              <w:rPr>
                <w:rFonts w:ascii="Arial" w:cs="Arial" w:eastAsia="Arial" w:hAnsi="Arial"/>
                <w:sz w:val="13"/>
                <w:szCs w:val="13"/>
                <w:color w:val="5D89B4"/>
              </w:rPr>
              <w:t>Experis Career Accelerator</w:t>
            </w:r>
            <w:r>
              <w:rPr>
                <w:rFonts w:ascii="Arial" w:cs="Arial" w:eastAsia="Arial" w:hAnsi="Arial"/>
                <w:sz w:val="10"/>
                <w:szCs w:val="10"/>
                <w:color w:val="5D89B4"/>
              </w:rPr>
              <w:t>®</w:t>
            </w:r>
            <w:r>
              <w:rPr>
                <w:rFonts w:ascii="Arial" w:cs="Arial" w:eastAsia="Arial" w:hAnsi="Arial"/>
                <w:sz w:val="13"/>
                <w:szCs w:val="13"/>
                <w:color w:val="auto"/>
              </w:rPr>
              <w:t xml:space="preserve"> using machine</w:t>
            </w:r>
          </w:p>
        </w:tc>
        <w:tc>
          <w:tcPr>
            <w:tcW w:w="0" w:type="dxa"/>
            <w:vAlign w:val="bottom"/>
          </w:tcPr>
          <w:p>
            <w:pPr>
              <w:spacing w:after="0"/>
              <w:rPr>
                <w:sz w:val="1"/>
                <w:szCs w:val="1"/>
                <w:color w:val="auto"/>
              </w:rPr>
            </w:pPr>
          </w:p>
        </w:tc>
      </w:tr>
      <w:tr>
        <w:trPr>
          <w:trHeight w:val="20"/>
        </w:trPr>
        <w:tc>
          <w:tcPr>
            <w:tcW w:w="5460" w:type="dxa"/>
            <w:vAlign w:val="bottom"/>
            <w:tcBorders>
              <w:left w:val="single" w:sz="8" w:color="CEDBE8"/>
              <w:right w:val="single" w:sz="8" w:color="CEDBE8"/>
            </w:tcBorders>
          </w:tcPr>
          <w:p>
            <w:pPr>
              <w:spacing w:after="0" w:line="20" w:lineRule="exact"/>
              <w:rPr>
                <w:sz w:val="1"/>
                <w:szCs w:val="1"/>
                <w:color w:val="auto"/>
              </w:rPr>
            </w:pPr>
          </w:p>
        </w:tc>
        <w:tc>
          <w:tcPr>
            <w:tcW w:w="320" w:type="dxa"/>
            <w:vAlign w:val="bottom"/>
            <w:tcBorders>
              <w:right w:val="single" w:sz="8" w:color="BECFE1"/>
            </w:tcBorders>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80" w:type="dxa"/>
            <w:vAlign w:val="bottom"/>
            <w:shd w:val="clear" w:color="auto" w:fill="5D89B4"/>
          </w:tcPr>
          <w:p>
            <w:pPr>
              <w:spacing w:after="0" w:line="20" w:lineRule="exact"/>
              <w:rPr>
                <w:sz w:val="1"/>
                <w:szCs w:val="1"/>
                <w:color w:val="auto"/>
              </w:rPr>
            </w:pPr>
          </w:p>
        </w:tc>
        <w:tc>
          <w:tcPr>
            <w:tcW w:w="1840" w:type="dxa"/>
            <w:vAlign w:val="bottom"/>
            <w:tcBorders>
              <w:right w:val="single" w:sz="8" w:color="BECF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460" w:type="dxa"/>
            <w:vAlign w:val="bottom"/>
            <w:tcBorders>
              <w:left w:val="single" w:sz="8" w:color="CEDBE8"/>
              <w:right w:val="single" w:sz="8" w:color="CEDBE8"/>
            </w:tcBorders>
          </w:tcPr>
          <w:p>
            <w:pPr>
              <w:ind w:left="540"/>
              <w:spacing w:after="0" w:line="144" w:lineRule="exact"/>
              <w:rPr>
                <w:sz w:val="20"/>
                <w:szCs w:val="20"/>
                <w:color w:val="auto"/>
              </w:rPr>
            </w:pPr>
            <w:r>
              <w:rPr>
                <w:rFonts w:ascii="Arial" w:cs="Arial" w:eastAsia="Arial" w:hAnsi="Arial"/>
                <w:sz w:val="15"/>
                <w:szCs w:val="15"/>
                <w:color w:val="auto"/>
              </w:rPr>
              <w:t>• Upskilling 3,700+ recruiters to date to become Talent Agents,</w:t>
            </w:r>
          </w:p>
        </w:tc>
        <w:tc>
          <w:tcPr>
            <w:tcW w:w="320" w:type="dxa"/>
            <w:vAlign w:val="bottom"/>
            <w:tcBorders>
              <w:right w:val="single" w:sz="8" w:color="BECFE1"/>
            </w:tcBorders>
          </w:tcPr>
          <w:p>
            <w:pPr>
              <w:spacing w:after="0"/>
              <w:rPr>
                <w:sz w:val="12"/>
                <w:szCs w:val="12"/>
                <w:color w:val="auto"/>
              </w:rPr>
            </w:pPr>
          </w:p>
        </w:tc>
        <w:tc>
          <w:tcPr>
            <w:tcW w:w="1400" w:type="dxa"/>
            <w:vAlign w:val="bottom"/>
          </w:tcPr>
          <w:p>
            <w:pPr>
              <w:ind w:left="440"/>
              <w:spacing w:after="0" w:line="144" w:lineRule="exact"/>
              <w:rPr>
                <w:sz w:val="20"/>
                <w:szCs w:val="20"/>
                <w:color w:val="auto"/>
              </w:rPr>
            </w:pPr>
            <w:r>
              <w:rPr>
                <w:rFonts w:ascii="Arial" w:cs="Arial" w:eastAsia="Arial" w:hAnsi="Arial"/>
                <w:sz w:val="15"/>
                <w:szCs w:val="15"/>
                <w:color w:val="auto"/>
                <w:w w:val="90"/>
              </w:rPr>
              <w:t>learning to map</w:t>
            </w:r>
          </w:p>
        </w:tc>
        <w:tc>
          <w:tcPr>
            <w:tcW w:w="1820" w:type="dxa"/>
            <w:vAlign w:val="bottom"/>
            <w:tcBorders>
              <w:top w:val="single" w:sz="8" w:color="5D89B4"/>
            </w:tcBorders>
          </w:tcPr>
          <w:p>
            <w:pPr>
              <w:ind w:left="120"/>
              <w:spacing w:after="0" w:line="144" w:lineRule="exact"/>
              <w:rPr>
                <w:sz w:val="20"/>
                <w:szCs w:val="20"/>
                <w:color w:val="auto"/>
              </w:rPr>
            </w:pPr>
            <w:r>
              <w:rPr>
                <w:rFonts w:ascii="Arial" w:cs="Arial" w:eastAsia="Arial" w:hAnsi="Arial"/>
                <w:sz w:val="15"/>
                <w:szCs w:val="15"/>
                <w:color w:val="auto"/>
              </w:rPr>
              <w:t>thousands of IT skills to</w:t>
            </w:r>
          </w:p>
        </w:tc>
        <w:tc>
          <w:tcPr>
            <w:tcW w:w="1940" w:type="dxa"/>
            <w:vAlign w:val="bottom"/>
            <w:tcBorders>
              <w:right w:val="single" w:sz="8" w:color="BECFE1"/>
            </w:tcBorders>
            <w:gridSpan w:val="3"/>
          </w:tcPr>
          <w:p>
            <w:pPr>
              <w:spacing w:after="0" w:line="144" w:lineRule="exact"/>
              <w:rPr>
                <w:sz w:val="20"/>
                <w:szCs w:val="20"/>
                <w:color w:val="auto"/>
              </w:rPr>
            </w:pPr>
            <w:r>
              <w:rPr>
                <w:rFonts w:ascii="Arial" w:cs="Arial" w:eastAsia="Arial" w:hAnsi="Arial"/>
                <w:sz w:val="15"/>
                <w:szCs w:val="15"/>
                <w:color w:val="auto"/>
              </w:rPr>
              <w:t>identify personalized</w:t>
            </w:r>
          </w:p>
        </w:tc>
        <w:tc>
          <w:tcPr>
            <w:tcW w:w="0" w:type="dxa"/>
            <w:vAlign w:val="bottom"/>
          </w:tcPr>
          <w:p>
            <w:pPr>
              <w:spacing w:after="0"/>
              <w:rPr>
                <w:sz w:val="1"/>
                <w:szCs w:val="1"/>
                <w:color w:val="auto"/>
              </w:rPr>
            </w:pPr>
          </w:p>
        </w:tc>
      </w:tr>
      <w:tr>
        <w:trPr>
          <w:trHeight w:val="160"/>
        </w:trPr>
        <w:tc>
          <w:tcPr>
            <w:tcW w:w="5460" w:type="dxa"/>
            <w:vAlign w:val="bottom"/>
            <w:tcBorders>
              <w:left w:val="single" w:sz="8" w:color="CEDBE8"/>
              <w:right w:val="single" w:sz="8" w:color="CEDBE8"/>
            </w:tcBorders>
          </w:tcPr>
          <w:p>
            <w:pPr>
              <w:ind w:left="660"/>
              <w:spacing w:after="0" w:line="161" w:lineRule="exact"/>
              <w:rPr>
                <w:sz w:val="20"/>
                <w:szCs w:val="20"/>
                <w:color w:val="auto"/>
              </w:rPr>
            </w:pPr>
            <w:r>
              <w:rPr>
                <w:rFonts w:ascii="Arial" w:cs="Arial" w:eastAsia="Arial" w:hAnsi="Arial"/>
                <w:sz w:val="15"/>
                <w:szCs w:val="15"/>
                <w:color w:val="auto"/>
              </w:rPr>
              <w:t>experts in data-driven insights to provide coaching, mentoring and</w:t>
            </w:r>
          </w:p>
        </w:tc>
        <w:tc>
          <w:tcPr>
            <w:tcW w:w="320" w:type="dxa"/>
            <w:vAlign w:val="bottom"/>
            <w:tcBorders>
              <w:right w:val="single" w:sz="8" w:color="BECFE1"/>
            </w:tcBorders>
          </w:tcPr>
          <w:p>
            <w:pPr>
              <w:spacing w:after="0"/>
              <w:rPr>
                <w:sz w:val="13"/>
                <w:szCs w:val="13"/>
                <w:color w:val="auto"/>
              </w:rPr>
            </w:pPr>
          </w:p>
        </w:tc>
        <w:tc>
          <w:tcPr>
            <w:tcW w:w="5160" w:type="dxa"/>
            <w:vAlign w:val="bottom"/>
            <w:tcBorders>
              <w:right w:val="single" w:sz="8" w:color="BECFE1"/>
            </w:tcBorders>
            <w:gridSpan w:val="5"/>
          </w:tcPr>
          <w:p>
            <w:pPr>
              <w:ind w:left="440"/>
              <w:spacing w:after="0" w:line="161" w:lineRule="exact"/>
              <w:rPr>
                <w:sz w:val="20"/>
                <w:szCs w:val="20"/>
                <w:color w:val="auto"/>
              </w:rPr>
            </w:pPr>
            <w:r>
              <w:rPr>
                <w:rFonts w:ascii="Arial" w:cs="Arial" w:eastAsia="Arial" w:hAnsi="Arial"/>
                <w:sz w:val="15"/>
                <w:szCs w:val="15"/>
                <w:color w:val="auto"/>
              </w:rPr>
              <w:t>pathways for in demand tech roles</w:t>
            </w:r>
          </w:p>
        </w:tc>
        <w:tc>
          <w:tcPr>
            <w:tcW w:w="0" w:type="dxa"/>
            <w:vAlign w:val="bottom"/>
          </w:tcPr>
          <w:p>
            <w:pPr>
              <w:spacing w:after="0"/>
              <w:rPr>
                <w:sz w:val="1"/>
                <w:szCs w:val="1"/>
                <w:color w:val="auto"/>
              </w:rPr>
            </w:pPr>
          </w:p>
        </w:tc>
      </w:tr>
      <w:tr>
        <w:trPr>
          <w:trHeight w:val="160"/>
        </w:trPr>
        <w:tc>
          <w:tcPr>
            <w:tcW w:w="5460" w:type="dxa"/>
            <w:vAlign w:val="bottom"/>
            <w:tcBorders>
              <w:left w:val="single" w:sz="8" w:color="CEDBE8"/>
              <w:right w:val="single" w:sz="8" w:color="CEDBE8"/>
            </w:tcBorders>
          </w:tcPr>
          <w:p>
            <w:pPr>
              <w:ind w:left="660"/>
              <w:spacing w:after="0" w:line="161" w:lineRule="exact"/>
              <w:rPr>
                <w:sz w:val="20"/>
                <w:szCs w:val="20"/>
                <w:color w:val="auto"/>
              </w:rPr>
            </w:pPr>
            <w:r>
              <w:rPr>
                <w:rFonts w:ascii="Arial" w:cs="Arial" w:eastAsia="Arial" w:hAnsi="Arial"/>
                <w:sz w:val="15"/>
                <w:szCs w:val="15"/>
                <w:color w:val="auto"/>
              </w:rPr>
              <w:t>assessment to our associates</w:t>
            </w:r>
          </w:p>
        </w:tc>
        <w:tc>
          <w:tcPr>
            <w:tcW w:w="320" w:type="dxa"/>
            <w:vAlign w:val="bottom"/>
            <w:tcBorders>
              <w:right w:val="single" w:sz="8" w:color="BECFE1"/>
            </w:tcBorders>
          </w:tcPr>
          <w:p>
            <w:pPr>
              <w:spacing w:after="0"/>
              <w:rPr>
                <w:sz w:val="13"/>
                <w:szCs w:val="13"/>
                <w:color w:val="auto"/>
              </w:rPr>
            </w:pPr>
          </w:p>
        </w:tc>
        <w:tc>
          <w:tcPr>
            <w:tcW w:w="5160" w:type="dxa"/>
            <w:vAlign w:val="bottom"/>
            <w:tcBorders>
              <w:right w:val="single" w:sz="8" w:color="BECFE1"/>
            </w:tcBorders>
            <w:gridSpan w:val="5"/>
          </w:tcPr>
          <w:p>
            <w:pPr>
              <w:ind w:left="320"/>
              <w:spacing w:after="0" w:line="161" w:lineRule="exact"/>
              <w:rPr>
                <w:sz w:val="20"/>
                <w:szCs w:val="20"/>
                <w:color w:val="auto"/>
              </w:rPr>
            </w:pPr>
            <w:r>
              <w:rPr>
                <w:rFonts w:ascii="Arial" w:cs="Arial" w:eastAsia="Arial" w:hAnsi="Arial"/>
                <w:sz w:val="15"/>
                <w:szCs w:val="15"/>
                <w:color w:val="auto"/>
              </w:rPr>
              <w:t>• Accelerating deployment of our PowerSuite</w:t>
            </w:r>
            <w:r>
              <w:rPr>
                <w:rFonts w:ascii="Arial" w:cs="Arial" w:eastAsia="Arial" w:hAnsi="Arial"/>
                <w:sz w:val="12"/>
                <w:szCs w:val="12"/>
                <w:color w:val="auto"/>
              </w:rPr>
              <w:t>TM</w:t>
            </w:r>
            <w:r>
              <w:rPr>
                <w:rFonts w:ascii="Arial" w:cs="Arial" w:eastAsia="Arial" w:hAnsi="Arial"/>
                <w:sz w:val="15"/>
                <w:szCs w:val="15"/>
                <w:color w:val="auto"/>
              </w:rPr>
              <w:t xml:space="preserve"> technology in front</w:t>
            </w:r>
          </w:p>
        </w:tc>
        <w:tc>
          <w:tcPr>
            <w:tcW w:w="0" w:type="dxa"/>
            <w:vAlign w:val="bottom"/>
          </w:tcPr>
          <w:p>
            <w:pPr>
              <w:spacing w:after="0"/>
              <w:rPr>
                <w:sz w:val="1"/>
                <w:szCs w:val="1"/>
                <w:color w:val="auto"/>
              </w:rPr>
            </w:pPr>
          </w:p>
        </w:tc>
      </w:tr>
      <w:tr>
        <w:trPr>
          <w:trHeight w:val="160"/>
        </w:trPr>
        <w:tc>
          <w:tcPr>
            <w:tcW w:w="5460" w:type="dxa"/>
            <w:vAlign w:val="bottom"/>
            <w:tcBorders>
              <w:left w:val="single" w:sz="8" w:color="CEDBE8"/>
              <w:right w:val="single" w:sz="8" w:color="CEDBE8"/>
            </w:tcBorders>
          </w:tcPr>
          <w:p>
            <w:pPr>
              <w:ind w:left="540"/>
              <w:spacing w:after="0" w:line="161" w:lineRule="exact"/>
              <w:rPr>
                <w:sz w:val="20"/>
                <w:szCs w:val="20"/>
                <w:color w:val="auto"/>
              </w:rPr>
            </w:pPr>
            <w:r>
              <w:rPr>
                <w:rFonts w:ascii="Arial" w:cs="Arial" w:eastAsia="Arial" w:hAnsi="Arial"/>
                <w:sz w:val="15"/>
                <w:szCs w:val="15"/>
                <w:color w:val="auto"/>
              </w:rPr>
              <w:t>• Partnering with JA Worldwide to deliver mentoring and upskilling to</w:t>
            </w:r>
          </w:p>
        </w:tc>
        <w:tc>
          <w:tcPr>
            <w:tcW w:w="320" w:type="dxa"/>
            <w:vAlign w:val="bottom"/>
            <w:tcBorders>
              <w:right w:val="single" w:sz="8" w:color="BECFE1"/>
            </w:tcBorders>
          </w:tcPr>
          <w:p>
            <w:pPr>
              <w:spacing w:after="0"/>
              <w:rPr>
                <w:sz w:val="13"/>
                <w:szCs w:val="13"/>
                <w:color w:val="auto"/>
              </w:rPr>
            </w:pPr>
          </w:p>
        </w:tc>
        <w:tc>
          <w:tcPr>
            <w:tcW w:w="5160" w:type="dxa"/>
            <w:vAlign w:val="bottom"/>
            <w:tcBorders>
              <w:right w:val="single" w:sz="8" w:color="BECFE1"/>
            </w:tcBorders>
            <w:gridSpan w:val="5"/>
          </w:tcPr>
          <w:p>
            <w:pPr>
              <w:ind w:left="440"/>
              <w:spacing w:after="0" w:line="161" w:lineRule="exact"/>
              <w:rPr>
                <w:sz w:val="20"/>
                <w:szCs w:val="20"/>
                <w:color w:val="auto"/>
              </w:rPr>
            </w:pPr>
            <w:r>
              <w:rPr>
                <w:rFonts w:ascii="Arial" w:cs="Arial" w:eastAsia="Arial" w:hAnsi="Arial"/>
                <w:sz w:val="15"/>
                <w:szCs w:val="15"/>
                <w:color w:val="auto"/>
              </w:rPr>
              <w:t>and middle office in 19 markets</w:t>
            </w:r>
          </w:p>
        </w:tc>
        <w:tc>
          <w:tcPr>
            <w:tcW w:w="0" w:type="dxa"/>
            <w:vAlign w:val="bottom"/>
          </w:tcPr>
          <w:p>
            <w:pPr>
              <w:spacing w:after="0"/>
              <w:rPr>
                <w:sz w:val="1"/>
                <w:szCs w:val="1"/>
                <w:color w:val="auto"/>
              </w:rPr>
            </w:pPr>
          </w:p>
        </w:tc>
      </w:tr>
      <w:tr>
        <w:trPr>
          <w:trHeight w:val="160"/>
        </w:trPr>
        <w:tc>
          <w:tcPr>
            <w:tcW w:w="5460" w:type="dxa"/>
            <w:vAlign w:val="bottom"/>
            <w:tcBorders>
              <w:left w:val="single" w:sz="8" w:color="CEDBE8"/>
              <w:right w:val="single" w:sz="8" w:color="CEDBE8"/>
            </w:tcBorders>
          </w:tcPr>
          <w:p>
            <w:pPr>
              <w:ind w:left="660"/>
              <w:spacing w:after="0" w:line="161" w:lineRule="exact"/>
              <w:rPr>
                <w:sz w:val="20"/>
                <w:szCs w:val="20"/>
                <w:color w:val="auto"/>
              </w:rPr>
            </w:pPr>
            <w:r>
              <w:rPr>
                <w:rFonts w:ascii="Arial" w:cs="Arial" w:eastAsia="Arial" w:hAnsi="Arial"/>
                <w:sz w:val="15"/>
                <w:szCs w:val="15"/>
                <w:color w:val="auto"/>
              </w:rPr>
              <w:t>get young people ready for work – impacting 8,000 students directly</w:t>
            </w:r>
          </w:p>
        </w:tc>
        <w:tc>
          <w:tcPr>
            <w:tcW w:w="320" w:type="dxa"/>
            <w:vAlign w:val="bottom"/>
            <w:tcBorders>
              <w:right w:val="single" w:sz="8" w:color="BECFE1"/>
            </w:tcBorders>
          </w:tcPr>
          <w:p>
            <w:pPr>
              <w:spacing w:after="0"/>
              <w:rPr>
                <w:sz w:val="13"/>
                <w:szCs w:val="13"/>
                <w:color w:val="auto"/>
              </w:rPr>
            </w:pPr>
          </w:p>
        </w:tc>
        <w:tc>
          <w:tcPr>
            <w:tcW w:w="5160" w:type="dxa"/>
            <w:vAlign w:val="bottom"/>
            <w:tcBorders>
              <w:right w:val="single" w:sz="8" w:color="BECFE1"/>
            </w:tcBorders>
            <w:gridSpan w:val="5"/>
          </w:tcPr>
          <w:p>
            <w:pPr>
              <w:ind w:left="320"/>
              <w:spacing w:after="0" w:line="161" w:lineRule="exact"/>
              <w:rPr>
                <w:sz w:val="20"/>
                <w:szCs w:val="20"/>
                <w:color w:val="auto"/>
              </w:rPr>
            </w:pPr>
            <w:r>
              <w:rPr>
                <w:rFonts w:ascii="Arial" w:cs="Arial" w:eastAsia="Arial" w:hAnsi="Arial"/>
                <w:sz w:val="15"/>
                <w:szCs w:val="15"/>
                <w:color w:val="auto"/>
              </w:rPr>
              <w:t>• Improving efficiency and productivity via global SAAS platforms,</w:t>
            </w:r>
          </w:p>
        </w:tc>
        <w:tc>
          <w:tcPr>
            <w:tcW w:w="0" w:type="dxa"/>
            <w:vAlign w:val="bottom"/>
          </w:tcPr>
          <w:p>
            <w:pPr>
              <w:spacing w:after="0"/>
              <w:rPr>
                <w:sz w:val="1"/>
                <w:szCs w:val="1"/>
                <w:color w:val="auto"/>
              </w:rPr>
            </w:pPr>
          </w:p>
        </w:tc>
      </w:tr>
      <w:tr>
        <w:trPr>
          <w:trHeight w:val="160"/>
        </w:trPr>
        <w:tc>
          <w:tcPr>
            <w:tcW w:w="5460" w:type="dxa"/>
            <w:vAlign w:val="bottom"/>
            <w:tcBorders>
              <w:left w:val="single" w:sz="8" w:color="CEDBE8"/>
              <w:right w:val="single" w:sz="8" w:color="CEDBE8"/>
            </w:tcBorders>
          </w:tcPr>
          <w:p>
            <w:pPr>
              <w:ind w:left="660"/>
              <w:spacing w:after="0" w:line="161" w:lineRule="exact"/>
              <w:rPr>
                <w:sz w:val="20"/>
                <w:szCs w:val="20"/>
                <w:color w:val="auto"/>
              </w:rPr>
            </w:pPr>
            <w:r>
              <w:rPr>
                <w:rFonts w:ascii="Arial" w:cs="Arial" w:eastAsia="Arial" w:hAnsi="Arial"/>
                <w:sz w:val="15"/>
                <w:szCs w:val="15"/>
                <w:color w:val="auto"/>
              </w:rPr>
              <w:t>across 26 European countries</w:t>
            </w:r>
          </w:p>
        </w:tc>
        <w:tc>
          <w:tcPr>
            <w:tcW w:w="320" w:type="dxa"/>
            <w:vAlign w:val="bottom"/>
            <w:tcBorders>
              <w:right w:val="single" w:sz="8" w:color="BECFE1"/>
            </w:tcBorders>
          </w:tcPr>
          <w:p>
            <w:pPr>
              <w:spacing w:after="0"/>
              <w:rPr>
                <w:sz w:val="13"/>
                <w:szCs w:val="13"/>
                <w:color w:val="auto"/>
              </w:rPr>
            </w:pPr>
          </w:p>
        </w:tc>
        <w:tc>
          <w:tcPr>
            <w:tcW w:w="5160" w:type="dxa"/>
            <w:vAlign w:val="bottom"/>
            <w:tcBorders>
              <w:right w:val="single" w:sz="8" w:color="BECFE1"/>
            </w:tcBorders>
            <w:gridSpan w:val="5"/>
          </w:tcPr>
          <w:p>
            <w:pPr>
              <w:ind w:left="440"/>
              <w:spacing w:after="0" w:line="161" w:lineRule="exact"/>
              <w:rPr>
                <w:sz w:val="20"/>
                <w:szCs w:val="20"/>
                <w:color w:val="auto"/>
              </w:rPr>
            </w:pPr>
            <w:r>
              <w:rPr>
                <w:rFonts w:ascii="Arial" w:cs="Arial" w:eastAsia="Arial" w:hAnsi="Arial"/>
                <w:sz w:val="15"/>
                <w:szCs w:val="15"/>
                <w:color w:val="auto"/>
              </w:rPr>
              <w:t>shifting more of our data to the cloud and using analytics to</w:t>
            </w:r>
          </w:p>
        </w:tc>
        <w:tc>
          <w:tcPr>
            <w:tcW w:w="0" w:type="dxa"/>
            <w:vAlign w:val="bottom"/>
          </w:tcPr>
          <w:p>
            <w:pPr>
              <w:spacing w:after="0"/>
              <w:rPr>
                <w:sz w:val="1"/>
                <w:szCs w:val="1"/>
                <w:color w:val="auto"/>
              </w:rPr>
            </w:pPr>
          </w:p>
        </w:tc>
      </w:tr>
      <w:tr>
        <w:trPr>
          <w:trHeight w:val="160"/>
        </w:trPr>
        <w:tc>
          <w:tcPr>
            <w:tcW w:w="5460" w:type="dxa"/>
            <w:vAlign w:val="bottom"/>
            <w:tcBorders>
              <w:left w:val="single" w:sz="8" w:color="CEDBE8"/>
              <w:right w:val="single" w:sz="8" w:color="CEDBE8"/>
            </w:tcBorders>
          </w:tcPr>
          <w:p>
            <w:pPr>
              <w:ind w:left="540"/>
              <w:spacing w:after="0" w:line="161" w:lineRule="exact"/>
              <w:rPr>
                <w:sz w:val="20"/>
                <w:szCs w:val="20"/>
                <w:color w:val="auto"/>
              </w:rPr>
            </w:pPr>
            <w:r>
              <w:rPr>
                <w:rFonts w:ascii="Arial" w:cs="Arial" w:eastAsia="Arial" w:hAnsi="Arial"/>
                <w:sz w:val="15"/>
                <w:szCs w:val="15"/>
                <w:color w:val="auto"/>
              </w:rPr>
              <w:t>• Boosting nextgen sales skills of 2,000+ employees throughout</w:t>
            </w:r>
          </w:p>
        </w:tc>
        <w:tc>
          <w:tcPr>
            <w:tcW w:w="320" w:type="dxa"/>
            <w:vAlign w:val="bottom"/>
            <w:tcBorders>
              <w:right w:val="single" w:sz="8" w:color="BECFE1"/>
            </w:tcBorders>
          </w:tcPr>
          <w:p>
            <w:pPr>
              <w:spacing w:after="0"/>
              <w:rPr>
                <w:sz w:val="13"/>
                <w:szCs w:val="13"/>
                <w:color w:val="auto"/>
              </w:rPr>
            </w:pPr>
          </w:p>
        </w:tc>
        <w:tc>
          <w:tcPr>
            <w:tcW w:w="5160" w:type="dxa"/>
            <w:vAlign w:val="bottom"/>
            <w:tcBorders>
              <w:right w:val="single" w:sz="8" w:color="BECFE1"/>
            </w:tcBorders>
            <w:gridSpan w:val="5"/>
          </w:tcPr>
          <w:p>
            <w:pPr>
              <w:ind w:left="440"/>
              <w:spacing w:after="0" w:line="161" w:lineRule="exact"/>
              <w:rPr>
                <w:sz w:val="20"/>
                <w:szCs w:val="20"/>
                <w:color w:val="auto"/>
              </w:rPr>
            </w:pPr>
            <w:r>
              <w:rPr>
                <w:rFonts w:ascii="Arial" w:cs="Arial" w:eastAsia="Arial" w:hAnsi="Arial"/>
                <w:sz w:val="15"/>
                <w:szCs w:val="15"/>
                <w:color w:val="auto"/>
              </w:rPr>
              <w:t>enable better insight, predict match and performance more</w:t>
            </w:r>
          </w:p>
        </w:tc>
        <w:tc>
          <w:tcPr>
            <w:tcW w:w="0" w:type="dxa"/>
            <w:vAlign w:val="bottom"/>
          </w:tcPr>
          <w:p>
            <w:pPr>
              <w:spacing w:after="0"/>
              <w:rPr>
                <w:sz w:val="1"/>
                <w:szCs w:val="1"/>
                <w:color w:val="auto"/>
              </w:rPr>
            </w:pPr>
          </w:p>
        </w:tc>
      </w:tr>
      <w:tr>
        <w:trPr>
          <w:trHeight w:val="181"/>
        </w:trPr>
        <w:tc>
          <w:tcPr>
            <w:tcW w:w="5460" w:type="dxa"/>
            <w:vAlign w:val="bottom"/>
            <w:tcBorders>
              <w:left w:val="single" w:sz="8" w:color="CEDBE8"/>
              <w:right w:val="single" w:sz="8" w:color="CEDBE8"/>
            </w:tcBorders>
          </w:tcPr>
          <w:p>
            <w:pPr>
              <w:ind w:left="660"/>
              <w:spacing w:after="0"/>
              <w:rPr>
                <w:sz w:val="20"/>
                <w:szCs w:val="20"/>
                <w:color w:val="auto"/>
              </w:rPr>
            </w:pPr>
            <w:r>
              <w:rPr>
                <w:rFonts w:ascii="Arial" w:cs="Arial" w:eastAsia="Arial" w:hAnsi="Arial"/>
                <w:sz w:val="15"/>
                <w:szCs w:val="15"/>
                <w:color w:val="auto"/>
              </w:rPr>
              <w:t>6,300+ courses in our Global Sales Academy</w:t>
            </w:r>
          </w:p>
        </w:tc>
        <w:tc>
          <w:tcPr>
            <w:tcW w:w="320" w:type="dxa"/>
            <w:vAlign w:val="bottom"/>
            <w:tcBorders>
              <w:right w:val="single" w:sz="8" w:color="BECFE1"/>
            </w:tcBorders>
          </w:tcPr>
          <w:p>
            <w:pPr>
              <w:spacing w:after="0"/>
              <w:rPr>
                <w:sz w:val="15"/>
                <w:szCs w:val="15"/>
                <w:color w:val="auto"/>
              </w:rPr>
            </w:pPr>
          </w:p>
        </w:tc>
        <w:tc>
          <w:tcPr>
            <w:tcW w:w="5160" w:type="dxa"/>
            <w:vAlign w:val="bottom"/>
            <w:tcBorders>
              <w:right w:val="single" w:sz="8" w:color="BECFE1"/>
            </w:tcBorders>
            <w:gridSpan w:val="5"/>
          </w:tcPr>
          <w:p>
            <w:pPr>
              <w:ind w:left="440"/>
              <w:spacing w:after="0"/>
              <w:rPr>
                <w:sz w:val="20"/>
                <w:szCs w:val="20"/>
                <w:color w:val="auto"/>
              </w:rPr>
            </w:pPr>
            <w:r>
              <w:rPr>
                <w:rFonts w:ascii="Arial" w:cs="Arial" w:eastAsia="Arial" w:hAnsi="Arial"/>
                <w:sz w:val="15"/>
                <w:szCs w:val="15"/>
                <w:color w:val="auto"/>
              </w:rPr>
              <w:t>accurately, and drive new value creation</w:t>
            </w:r>
          </w:p>
        </w:tc>
        <w:tc>
          <w:tcPr>
            <w:tcW w:w="0" w:type="dxa"/>
            <w:vAlign w:val="bottom"/>
          </w:tcPr>
          <w:p>
            <w:pPr>
              <w:spacing w:after="0"/>
              <w:rPr>
                <w:sz w:val="1"/>
                <w:szCs w:val="1"/>
                <w:color w:val="auto"/>
              </w:rPr>
            </w:pPr>
          </w:p>
        </w:tc>
      </w:tr>
      <w:tr>
        <w:trPr>
          <w:trHeight w:val="337"/>
        </w:trPr>
        <w:tc>
          <w:tcPr>
            <w:tcW w:w="5460" w:type="dxa"/>
            <w:vAlign w:val="bottom"/>
            <w:tcBorders>
              <w:left w:val="single" w:sz="8" w:color="CEDBE8"/>
              <w:bottom w:val="single" w:sz="8" w:color="CEDBE8"/>
              <w:right w:val="single" w:sz="8" w:color="CEDBE8"/>
            </w:tcBorders>
          </w:tcPr>
          <w:p>
            <w:pPr>
              <w:spacing w:after="0"/>
              <w:rPr>
                <w:sz w:val="24"/>
                <w:szCs w:val="24"/>
                <w:color w:val="auto"/>
              </w:rPr>
            </w:pPr>
          </w:p>
        </w:tc>
        <w:tc>
          <w:tcPr>
            <w:tcW w:w="320" w:type="dxa"/>
            <w:vAlign w:val="bottom"/>
            <w:tcBorders>
              <w:right w:val="single" w:sz="8" w:color="BECFE1"/>
            </w:tcBorders>
          </w:tcPr>
          <w:p>
            <w:pPr>
              <w:spacing w:after="0"/>
              <w:rPr>
                <w:sz w:val="24"/>
                <w:szCs w:val="24"/>
                <w:color w:val="auto"/>
              </w:rPr>
            </w:pPr>
          </w:p>
        </w:tc>
        <w:tc>
          <w:tcPr>
            <w:tcW w:w="1400" w:type="dxa"/>
            <w:vAlign w:val="bottom"/>
            <w:tcBorders>
              <w:bottom w:val="single" w:sz="8" w:color="BECFE1"/>
            </w:tcBorders>
          </w:tcPr>
          <w:p>
            <w:pPr>
              <w:spacing w:after="0"/>
              <w:rPr>
                <w:sz w:val="24"/>
                <w:szCs w:val="24"/>
                <w:color w:val="auto"/>
              </w:rPr>
            </w:pPr>
          </w:p>
        </w:tc>
        <w:tc>
          <w:tcPr>
            <w:tcW w:w="1820" w:type="dxa"/>
            <w:vAlign w:val="bottom"/>
            <w:tcBorders>
              <w:bottom w:val="single" w:sz="8" w:color="BECFE1"/>
            </w:tcBorders>
          </w:tcPr>
          <w:p>
            <w:pPr>
              <w:spacing w:after="0"/>
              <w:rPr>
                <w:sz w:val="24"/>
                <w:szCs w:val="24"/>
                <w:color w:val="auto"/>
              </w:rPr>
            </w:pPr>
          </w:p>
        </w:tc>
        <w:tc>
          <w:tcPr>
            <w:tcW w:w="20" w:type="dxa"/>
            <w:vAlign w:val="bottom"/>
            <w:tcBorders>
              <w:bottom w:val="single" w:sz="8" w:color="BECFE1"/>
            </w:tcBorders>
          </w:tcPr>
          <w:p>
            <w:pPr>
              <w:spacing w:after="0"/>
              <w:rPr>
                <w:sz w:val="24"/>
                <w:szCs w:val="24"/>
                <w:color w:val="auto"/>
              </w:rPr>
            </w:pPr>
          </w:p>
        </w:tc>
        <w:tc>
          <w:tcPr>
            <w:tcW w:w="80" w:type="dxa"/>
            <w:vAlign w:val="bottom"/>
            <w:tcBorders>
              <w:bottom w:val="single" w:sz="8" w:color="BECFE1"/>
            </w:tcBorders>
          </w:tcPr>
          <w:p>
            <w:pPr>
              <w:spacing w:after="0"/>
              <w:rPr>
                <w:sz w:val="24"/>
                <w:szCs w:val="24"/>
                <w:color w:val="auto"/>
              </w:rPr>
            </w:pPr>
          </w:p>
        </w:tc>
        <w:tc>
          <w:tcPr>
            <w:tcW w:w="1840" w:type="dxa"/>
            <w:vAlign w:val="bottom"/>
            <w:tcBorders>
              <w:bottom w:val="single" w:sz="8" w:color="BECFE1"/>
              <w:right w:val="single" w:sz="8" w:color="BECFE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6946900" cy="1019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6900" cy="1019175"/>
                    </a:xfrm>
                    <a:prstGeom prst="rect">
                      <a:avLst/>
                    </a:prstGeom>
                    <a:noFill/>
                  </pic:spPr>
                </pic:pic>
              </a:graphicData>
            </a:graphic>
          </wp:anchor>
        </w:drawing>
      </w:r>
    </w:p>
    <w:p>
      <w:pPr>
        <w:spacing w:after="0" w:line="35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5D89B4"/>
        </w:rPr>
        <w:t>Building Resilient Communities</w:t>
      </w:r>
    </w:p>
    <w:p>
      <w:pPr>
        <w:spacing w:after="0" w:line="138" w:lineRule="exact"/>
        <w:rPr>
          <w:sz w:val="20"/>
          <w:szCs w:val="20"/>
          <w:color w:val="auto"/>
        </w:rPr>
      </w:pPr>
    </w:p>
    <w:p>
      <w:pPr>
        <w:jc w:val="both"/>
        <w:ind w:left="380" w:right="400"/>
        <w:spacing w:after="0" w:line="237" w:lineRule="auto"/>
        <w:rPr>
          <w:sz w:val="20"/>
          <w:szCs w:val="20"/>
          <w:color w:val="auto"/>
        </w:rPr>
      </w:pPr>
      <w:r>
        <w:rPr>
          <w:rFonts w:ascii="Arial" w:cs="Arial" w:eastAsia="Arial" w:hAnsi="Arial"/>
          <w:sz w:val="15"/>
          <w:szCs w:val="15"/>
          <w:color w:val="5D89B4"/>
        </w:rPr>
        <w:t>Work, education, skills and aspiration are critical parts of community cohesion and inclusive growth. Last year, even when remote and hybrid, we stayed committed to the communities in which we operate and where our people live and work.</w:t>
      </w:r>
    </w:p>
    <w:p>
      <w:pPr>
        <w:spacing w:after="0" w:line="89" w:lineRule="exact"/>
        <w:rPr>
          <w:sz w:val="20"/>
          <w:szCs w:val="20"/>
          <w:color w:val="auto"/>
        </w:rPr>
      </w:pPr>
    </w:p>
    <w:p>
      <w:pPr>
        <w:ind w:left="480" w:hanging="101"/>
        <w:spacing w:after="0"/>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Reached more than 50 million job seekers with insights, advice and career guidance</w:t>
      </w:r>
    </w:p>
    <w:p>
      <w:pPr>
        <w:ind w:left="480" w:hanging="101"/>
        <w:spacing w:after="0" w:line="223"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Connected 2 million people to meaningful, sustainable work</w:t>
      </w:r>
    </w:p>
    <w:p>
      <w:pPr>
        <w:ind w:left="480" w:hanging="101"/>
        <w:spacing w:after="0"/>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Provided access to employment and opportunities to reskill and upskill 600,000 workers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6929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380"/>
        <w:spacing w:after="0"/>
        <w:tabs>
          <w:tab w:leader="none" w:pos="6000" w:val="left"/>
        </w:tabs>
        <w:rPr>
          <w:sz w:val="20"/>
          <w:szCs w:val="20"/>
          <w:color w:val="auto"/>
        </w:rPr>
      </w:pPr>
      <w:r>
        <w:rPr>
          <w:rFonts w:ascii="Arial" w:cs="Arial" w:eastAsia="Arial" w:hAnsi="Arial"/>
          <w:sz w:val="20"/>
          <w:szCs w:val="20"/>
          <w:b w:val="1"/>
          <w:bCs w:val="1"/>
          <w:color w:val="5D89B4"/>
        </w:rPr>
        <w:t>iv</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40"/>
          </w:cols>
          <w:pgMar w:left="480" w:top="254" w:right="479" w:bottom="1440" w:gutter="0" w:footer="0" w:header="0"/>
        </w:sectPr>
      </w:pPr>
    </w:p>
    <w:bookmarkStart w:id="10" w:name="page11"/>
    <w:bookmarkEnd w:id="10"/>
    <w:p>
      <w:pPr>
        <w:jc w:val="right"/>
        <w:spacing w:after="0"/>
        <w:rPr>
          <w:sz w:val="20"/>
          <w:szCs w:val="20"/>
          <w:color w:val="auto"/>
        </w:rPr>
      </w:pPr>
      <w:r>
        <w:rPr>
          <w:rFonts w:ascii="Arial" w:cs="Arial" w:eastAsia="Arial" w:hAnsi="Arial"/>
          <w:sz w:val="21"/>
          <w:szCs w:val="21"/>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2022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79375</wp:posOffset>
            </wp:positionV>
            <wp:extent cx="6946900" cy="256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0" cy="256476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301"/>
        <w:spacing w:after="0"/>
        <w:rPr>
          <w:sz w:val="20"/>
          <w:szCs w:val="20"/>
          <w:color w:val="auto"/>
        </w:rPr>
      </w:pPr>
      <w:r>
        <w:rPr>
          <w:rFonts w:ascii="Arial" w:cs="Arial" w:eastAsia="Arial" w:hAnsi="Arial"/>
          <w:sz w:val="27"/>
          <w:szCs w:val="27"/>
          <w:b w:val="1"/>
          <w:bCs w:val="1"/>
          <w:color w:val="468C60"/>
        </w:rPr>
        <w:t>PLANET</w:t>
      </w:r>
    </w:p>
    <w:p>
      <w:pPr>
        <w:spacing w:after="0" w:line="34" w:lineRule="exact"/>
        <w:rPr>
          <w:sz w:val="20"/>
          <w:szCs w:val="20"/>
          <w:color w:val="auto"/>
        </w:rPr>
      </w:pPr>
    </w:p>
    <w:p>
      <w:pPr>
        <w:ind w:left="1301" w:right="760"/>
        <w:spacing w:after="0" w:line="256" w:lineRule="auto"/>
        <w:rPr>
          <w:sz w:val="20"/>
          <w:szCs w:val="20"/>
          <w:color w:val="auto"/>
        </w:rPr>
      </w:pPr>
      <w:r>
        <w:rPr>
          <w:rFonts w:ascii="Arial" w:cs="Arial" w:eastAsia="Arial" w:hAnsi="Arial"/>
          <w:sz w:val="16"/>
          <w:szCs w:val="16"/>
          <w:b w:val="1"/>
          <w:bCs w:val="1"/>
          <w:color w:val="468C60"/>
        </w:rPr>
        <w:t>Laying out our path to net zero, committing to sustainable ways of working, and achieving bold, science-based ambitions to minimize our impact</w:t>
      </w:r>
    </w:p>
    <w:p>
      <w:pPr>
        <w:spacing w:after="0" w:line="200" w:lineRule="exact"/>
        <w:rPr>
          <w:sz w:val="20"/>
          <w:szCs w:val="20"/>
          <w:color w:val="auto"/>
        </w:rPr>
      </w:pPr>
    </w:p>
    <w:p>
      <w:pPr>
        <w:spacing w:after="0" w:line="218" w:lineRule="exact"/>
        <w:rPr>
          <w:sz w:val="20"/>
          <w:szCs w:val="20"/>
          <w:color w:val="auto"/>
        </w:rPr>
      </w:pPr>
    </w:p>
    <w:p>
      <w:pPr>
        <w:ind w:left="41" w:right="320"/>
        <w:spacing w:after="0" w:line="232" w:lineRule="auto"/>
        <w:rPr>
          <w:sz w:val="20"/>
          <w:szCs w:val="20"/>
          <w:color w:val="auto"/>
        </w:rPr>
      </w:pPr>
      <w:r>
        <w:rPr>
          <w:rFonts w:ascii="Arial" w:cs="Arial" w:eastAsia="Arial" w:hAnsi="Arial"/>
          <w:sz w:val="15"/>
          <w:szCs w:val="15"/>
          <w:color w:val="468C60"/>
        </w:rPr>
        <w:t>We believe the time for climate action is now. To accelerate the transition to a net-zero economy, we are continuing to measure, reduce and disclose our emissions, setting aggressive reduction targets and key levers for actions. We are embracing new hybrid and flexible work models, and retraining and reskilling people for meaningful, low-carbon, sustainable jobs.</w:t>
      </w:r>
    </w:p>
    <w:p>
      <w:pPr>
        <w:spacing w:after="0" w:line="102" w:lineRule="exact"/>
        <w:rPr>
          <w:sz w:val="20"/>
          <w:szCs w:val="20"/>
          <w:color w:val="auto"/>
        </w:rPr>
      </w:pPr>
    </w:p>
    <w:p>
      <w:pPr>
        <w:ind w:left="161" w:right="400" w:hanging="117"/>
        <w:spacing w:after="0" w:line="223" w:lineRule="auto"/>
        <w:tabs>
          <w:tab w:leader="none" w:pos="13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Committing to validated Science Based Targets to reduce operational emissions (Scope 1 &amp; 2) by 60% and supply chain emissions (Scope 3) by 30% by 2030</w:t>
      </w:r>
    </w:p>
    <w:p>
      <w:pPr>
        <w:ind w:left="161" w:right="660" w:hanging="117"/>
        <w:spacing w:after="0" w:line="223" w:lineRule="auto"/>
        <w:tabs>
          <w:tab w:leader="none" w:pos="13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Defining our route to net zero by 2045 or sooner as part of Climate Action Plan – identifying the primary levers and building action plans to reduce direct and indirect emissions across the entire value chain</w:t>
      </w:r>
    </w:p>
    <w:p>
      <w:pPr>
        <w:ind w:left="161" w:right="620" w:hanging="117"/>
        <w:spacing w:after="0" w:line="223" w:lineRule="auto"/>
        <w:tabs>
          <w:tab w:leader="none" w:pos="13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Increasing our score from B- in 2020 to B in our 2021 Carbon Disclosure Project (CDP) response, scoring higher than industry, regional and global average and the only one among our direct competitors to show consistent improvement in 3 consecutive years</w:t>
      </w:r>
    </w:p>
    <w:p>
      <w:pPr>
        <w:ind w:left="141" w:hanging="97"/>
        <w:spacing w:after="0" w:line="223" w:lineRule="auto"/>
        <w:tabs>
          <w:tab w:leader="none" w:pos="141" w:val="left"/>
        </w:tabs>
        <w:numPr>
          <w:ilvl w:val="0"/>
          <w:numId w:val="12"/>
        </w:numPr>
        <w:rPr>
          <w:rFonts w:ascii="Arial" w:cs="Arial" w:eastAsia="Arial" w:hAnsi="Arial"/>
          <w:sz w:val="15"/>
          <w:szCs w:val="15"/>
          <w:color w:val="auto"/>
        </w:rPr>
      </w:pPr>
      <w:r>
        <w:rPr>
          <w:rFonts w:ascii="Arial" w:cs="Arial" w:eastAsia="Arial" w:hAnsi="Arial"/>
          <w:sz w:val="15"/>
          <w:szCs w:val="15"/>
          <w:color w:val="auto"/>
        </w:rPr>
        <w:t>Establishing Planet Teams in all of our key markets – cross functional teams responsible for data collection and local execution of Planet Strategy</w:t>
      </w:r>
    </w:p>
    <w:p>
      <w:pPr>
        <w:ind w:left="161" w:right="420" w:hanging="117"/>
        <w:spacing w:after="0" w:line="223" w:lineRule="auto"/>
        <w:tabs>
          <w:tab w:leader="none" w:pos="122" w:val="left"/>
        </w:tabs>
        <w:numPr>
          <w:ilvl w:val="0"/>
          <w:numId w:val="12"/>
        </w:numPr>
        <w:rPr>
          <w:rFonts w:ascii="Arial" w:cs="Arial" w:eastAsia="Arial" w:hAnsi="Arial"/>
          <w:sz w:val="15"/>
          <w:szCs w:val="15"/>
          <w:color w:val="auto"/>
        </w:rPr>
      </w:pPr>
      <w:r>
        <w:rPr>
          <w:rFonts w:ascii="Arial" w:cs="Arial" w:eastAsia="Arial" w:hAnsi="Arial"/>
          <w:sz w:val="15"/>
          <w:szCs w:val="15"/>
          <w:color w:val="auto"/>
        </w:rPr>
        <w:t>Actively engaging in WEF CEO Action Group to advance the Paris Agreement and European Green Deal through activities like signing the COP 26 Open Letter pushing for ambitious climate action aligned with a 1.5°C future and supporting innovative lighthouse projects to build sustainability skills</w:t>
      </w:r>
    </w:p>
    <w:p>
      <w:pPr>
        <w:ind w:left="141" w:hanging="97"/>
        <w:spacing w:after="0"/>
        <w:tabs>
          <w:tab w:leader="none" w:pos="141"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Committing to transparency on climate, disclosing CDP for a decade, and now aligning with TCFD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376555</wp:posOffset>
            </wp:positionV>
            <wp:extent cx="6946900" cy="2743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69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81"/>
        <w:spacing w:after="0"/>
        <w:rPr>
          <w:sz w:val="20"/>
          <w:szCs w:val="20"/>
          <w:color w:val="auto"/>
        </w:rPr>
      </w:pPr>
      <w:r>
        <w:rPr>
          <w:rFonts w:ascii="Arial" w:cs="Arial" w:eastAsia="Arial" w:hAnsi="Arial"/>
          <w:sz w:val="27"/>
          <w:szCs w:val="27"/>
          <w:b w:val="1"/>
          <w:bCs w:val="1"/>
          <w:color w:val="E26800"/>
        </w:rPr>
        <w:t>PRINCIPLES OF GOVERNANCE</w:t>
      </w:r>
    </w:p>
    <w:p>
      <w:pPr>
        <w:spacing w:after="0" w:line="34" w:lineRule="exact"/>
        <w:rPr>
          <w:sz w:val="20"/>
          <w:szCs w:val="20"/>
          <w:color w:val="auto"/>
        </w:rPr>
      </w:pPr>
    </w:p>
    <w:p>
      <w:pPr>
        <w:ind w:left="1901"/>
        <w:spacing w:after="0"/>
        <w:rPr>
          <w:sz w:val="20"/>
          <w:szCs w:val="20"/>
          <w:color w:val="auto"/>
        </w:rPr>
      </w:pPr>
      <w:r>
        <w:rPr>
          <w:rFonts w:ascii="Arial" w:cs="Arial" w:eastAsia="Arial" w:hAnsi="Arial"/>
          <w:sz w:val="16"/>
          <w:szCs w:val="16"/>
          <w:b w:val="1"/>
          <w:bCs w:val="1"/>
          <w:color w:val="E26800"/>
        </w:rPr>
        <w:t>Running a responsible, transparent business and setting high ethical standards for our industry</w:t>
      </w:r>
    </w:p>
    <w:p>
      <w:pPr>
        <w:sectPr>
          <w:pgSz w:w="11900" w:h="16838" w:orient="portrait"/>
          <w:cols w:equalWidth="0" w:num="1">
            <w:col w:w="10541"/>
          </w:cols>
          <w:pgMar w:left="859" w:top="254" w:right="49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E26800"/>
        </w:rPr>
        <w:t>Governance &amp; Reporting</w:t>
      </w:r>
    </w:p>
    <w:p>
      <w:pPr>
        <w:spacing w:after="0" w:line="138" w:lineRule="exact"/>
        <w:rPr>
          <w:sz w:val="20"/>
          <w:szCs w:val="20"/>
          <w:color w:val="auto"/>
        </w:rPr>
      </w:pPr>
    </w:p>
    <w:p>
      <w:pPr>
        <w:jc w:val="both"/>
        <w:ind w:left="41" w:right="174"/>
        <w:spacing w:after="0" w:line="232" w:lineRule="auto"/>
        <w:rPr>
          <w:sz w:val="20"/>
          <w:szCs w:val="20"/>
          <w:color w:val="auto"/>
        </w:rPr>
      </w:pPr>
      <w:r>
        <w:rPr>
          <w:rFonts w:ascii="Arial" w:cs="Arial" w:eastAsia="Arial" w:hAnsi="Arial"/>
          <w:sz w:val="15"/>
          <w:szCs w:val="15"/>
          <w:color w:val="E26800"/>
        </w:rPr>
        <w:t>Trust, transparency and accountability in our governance and reporting are foundational to delivering on our purpose and our promise to create value for all stakeholders.</w:t>
      </w:r>
    </w:p>
    <w:p>
      <w:pPr>
        <w:spacing w:after="0" w:line="90" w:lineRule="exact"/>
        <w:rPr>
          <w:sz w:val="20"/>
          <w:szCs w:val="20"/>
          <w:color w:val="auto"/>
        </w:rPr>
      </w:pPr>
    </w:p>
    <w:p>
      <w:pPr>
        <w:ind w:left="161" w:hanging="99"/>
        <w:spacing w:after="0"/>
        <w:tabs>
          <w:tab w:leader="none" w:pos="161"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Releasing our </w:t>
      </w:r>
      <w:r>
        <w:rPr>
          <w:rFonts w:ascii="Arial" w:cs="Arial" w:eastAsia="Arial" w:hAnsi="Arial"/>
          <w:sz w:val="15"/>
          <w:szCs w:val="15"/>
          <w:u w:val="single" w:color="auto"/>
          <w:color w:val="5D89B4"/>
        </w:rPr>
        <w:t>2020-2021 ESG Report</w:t>
      </w:r>
    </w:p>
    <w:p>
      <w:pPr>
        <w:ind w:left="181" w:right="174" w:hanging="119"/>
        <w:spacing w:after="0" w:line="223" w:lineRule="auto"/>
        <w:tabs>
          <w:tab w:leader="none" w:pos="1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Renamed our Board’s nominating and governance committee as Governance and Sustainability, in light of enhanced oversight of ESG issues</w:t>
      </w:r>
    </w:p>
    <w:p>
      <w:pPr>
        <w:ind w:left="181" w:right="974" w:hanging="119"/>
        <w:spacing w:after="0" w:line="223" w:lineRule="auto"/>
        <w:tabs>
          <w:tab w:leader="none" w:pos="1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Establishing Executive Steering Committee with oversight accountability for global ESG strategy and progress</w:t>
      </w:r>
    </w:p>
    <w:p>
      <w:pPr>
        <w:ind w:left="181" w:right="254" w:hanging="119"/>
        <w:spacing w:after="0" w:line="223" w:lineRule="auto"/>
        <w:tabs>
          <w:tab w:leader="none" w:pos="1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Publishing our stakeholder engagement model and reported on issues most material to us and where we can make the most impact</w:t>
      </w:r>
    </w:p>
    <w:p>
      <w:pPr>
        <w:ind w:left="181" w:right="194" w:hanging="119"/>
        <w:spacing w:after="0" w:line="230" w:lineRule="auto"/>
        <w:tabs>
          <w:tab w:leader="none" w:pos="15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Completing 10th CDP response and aligned reporting to Global Reporting Initiative (GRI), Sustainability Accounting Standards Board (SASB) and World Economic Forum IBC Stakeholder Capitalism Metrics reporting frameworks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321310</wp:posOffset>
            </wp:positionV>
            <wp:extent cx="6946900" cy="11125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6900" cy="1112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E26800"/>
        </w:rPr>
        <w:t>Ethical &amp; Responsible Business Practices</w:t>
      </w:r>
    </w:p>
    <w:p>
      <w:pPr>
        <w:spacing w:after="0" w:line="138" w:lineRule="exact"/>
        <w:rPr>
          <w:sz w:val="20"/>
          <w:szCs w:val="20"/>
          <w:color w:val="auto"/>
        </w:rPr>
      </w:pPr>
    </w:p>
    <w:p>
      <w:pPr>
        <w:jc w:val="both"/>
        <w:ind w:left="6" w:right="400"/>
        <w:spacing w:after="0" w:line="232" w:lineRule="auto"/>
        <w:rPr>
          <w:sz w:val="20"/>
          <w:szCs w:val="20"/>
          <w:color w:val="auto"/>
        </w:rPr>
      </w:pPr>
      <w:r>
        <w:rPr>
          <w:rFonts w:ascii="Arial" w:cs="Arial" w:eastAsia="Arial" w:hAnsi="Arial"/>
          <w:sz w:val="15"/>
          <w:szCs w:val="15"/>
          <w:color w:val="E26800"/>
        </w:rPr>
        <w:t>We are proud to set a high standard for our industry and advocate for ethical business conduct and responsible employment across our global network.</w:t>
      </w:r>
    </w:p>
    <w:p>
      <w:pPr>
        <w:spacing w:after="0" w:line="102" w:lineRule="exact"/>
        <w:rPr>
          <w:sz w:val="20"/>
          <w:szCs w:val="20"/>
          <w:color w:val="auto"/>
        </w:rPr>
      </w:pPr>
    </w:p>
    <w:p>
      <w:pPr>
        <w:ind w:left="126" w:right="280" w:hanging="126"/>
        <w:spacing w:after="0" w:line="223" w:lineRule="auto"/>
        <w:tabs>
          <w:tab w:leader="none" w:pos="95"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Publishing global </w:t>
      </w:r>
      <w:r>
        <w:rPr>
          <w:rFonts w:ascii="Arial" w:cs="Arial" w:eastAsia="Arial" w:hAnsi="Arial"/>
          <w:sz w:val="15"/>
          <w:szCs w:val="15"/>
          <w:u w:val="single" w:color="auto"/>
          <w:color w:val="5D89B4"/>
        </w:rPr>
        <w:t>Human Rights Policy</w:t>
      </w:r>
      <w:r>
        <w:rPr>
          <w:rFonts w:ascii="Arial" w:cs="Arial" w:eastAsia="Arial" w:hAnsi="Arial"/>
          <w:sz w:val="15"/>
          <w:szCs w:val="15"/>
          <w:color w:val="auto"/>
        </w:rPr>
        <w:t xml:space="preserve"> reinforcing our industry leadership to advocate for ethical recruitment practices, employment flexibility balanced with security, and opportunities for under-represented and vulnerable populations to develop in-demand skills and participate in the formal economy</w:t>
      </w:r>
    </w:p>
    <w:p>
      <w:pPr>
        <w:spacing w:after="0" w:line="1" w:lineRule="exact"/>
        <w:rPr>
          <w:rFonts w:ascii="Arial" w:cs="Arial" w:eastAsia="Arial" w:hAnsi="Arial"/>
          <w:sz w:val="15"/>
          <w:szCs w:val="15"/>
          <w:color w:val="auto"/>
        </w:rPr>
      </w:pPr>
    </w:p>
    <w:p>
      <w:pPr>
        <w:ind w:left="126" w:right="580" w:hanging="126"/>
        <w:spacing w:after="0" w:line="223" w:lineRule="auto"/>
        <w:tabs>
          <w:tab w:leader="none" w:pos="95"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Providing ethics and compliance training for all 30,000+ of our people globally</w:t>
      </w:r>
    </w:p>
    <w:p>
      <w:pPr>
        <w:ind w:left="126" w:right="460" w:hanging="126"/>
        <w:spacing w:after="0" w:line="223" w:lineRule="auto"/>
        <w:tabs>
          <w:tab w:leader="none" w:pos="95" w:val="left"/>
        </w:tabs>
        <w:numPr>
          <w:ilvl w:val="0"/>
          <w:numId w:val="14"/>
        </w:numPr>
        <w:rPr>
          <w:rFonts w:ascii="Arial" w:cs="Arial" w:eastAsia="Arial" w:hAnsi="Arial"/>
          <w:sz w:val="15"/>
          <w:szCs w:val="15"/>
          <w:color w:val="auto"/>
        </w:rPr>
      </w:pPr>
      <w:r>
        <w:rPr>
          <w:rFonts w:ascii="Arial" w:cs="Arial" w:eastAsia="Arial" w:hAnsi="Arial"/>
          <w:sz w:val="15"/>
          <w:szCs w:val="15"/>
          <w:color w:val="auto"/>
        </w:rPr>
        <w:t>Publicly providing Ethics and Compliance Hotline for employees and others to report concerns or seek guidance</w:t>
      </w:r>
    </w:p>
    <w:p>
      <w:pPr>
        <w:jc w:val="both"/>
        <w:ind w:left="126" w:right="620" w:hanging="126"/>
        <w:spacing w:after="0" w:line="232" w:lineRule="auto"/>
        <w:tabs>
          <w:tab w:leader="none" w:pos="95" w:val="left"/>
        </w:tabs>
        <w:numPr>
          <w:ilvl w:val="0"/>
          <w:numId w:val="14"/>
        </w:numPr>
        <w:rPr>
          <w:rFonts w:ascii="Arial" w:cs="Arial" w:eastAsia="Arial" w:hAnsi="Arial"/>
          <w:sz w:val="15"/>
          <w:szCs w:val="15"/>
          <w:color w:val="auto"/>
        </w:rPr>
      </w:pPr>
      <w:r>
        <w:rPr>
          <w:rFonts w:ascii="Arial" w:cs="Arial" w:eastAsia="Arial" w:hAnsi="Arial"/>
          <w:sz w:val="15"/>
          <w:szCs w:val="15"/>
          <w:color w:val="auto"/>
        </w:rPr>
        <w:t>Sharing cyber security and data privacy tips and training with employees to strengthen defenses while working remote and hybrid</w:t>
      </w:r>
    </w:p>
    <w:p>
      <w:pPr>
        <w:spacing w:after="0" w:line="200" w:lineRule="exact"/>
        <w:rPr>
          <w:sz w:val="20"/>
          <w:szCs w:val="20"/>
          <w:color w:val="auto"/>
        </w:rPr>
      </w:pPr>
    </w:p>
    <w:p>
      <w:pPr>
        <w:sectPr>
          <w:pgSz w:w="11900" w:h="16838" w:orient="portrait"/>
          <w:cols w:equalWidth="0" w:num="2">
            <w:col w:w="4995" w:space="720"/>
            <w:col w:w="4826"/>
          </w:cols>
          <w:pgMar w:left="859" w:top="254" w:right="49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E26800"/>
        </w:rPr>
        <w:t>Awards &amp; Recognition</w:t>
      </w:r>
    </w:p>
    <w:p>
      <w:pPr>
        <w:spacing w:after="0" w:line="219" w:lineRule="exact"/>
        <w:rPr>
          <w:sz w:val="20"/>
          <w:szCs w:val="20"/>
          <w:color w:val="auto"/>
        </w:rPr>
      </w:pPr>
    </w:p>
    <w:p>
      <w:pPr>
        <w:ind w:left="1"/>
        <w:spacing w:after="0"/>
        <w:rPr>
          <w:sz w:val="20"/>
          <w:szCs w:val="20"/>
          <w:color w:val="auto"/>
        </w:rPr>
      </w:pPr>
      <w:r>
        <w:rPr>
          <w:rFonts w:ascii="Arial" w:cs="Arial" w:eastAsia="Arial" w:hAnsi="Arial"/>
          <w:sz w:val="15"/>
          <w:szCs w:val="15"/>
          <w:color w:val="E26800"/>
        </w:rPr>
        <w:t>Our people are consistently recognized for delivering solutions in innovative ways and with the highest degree of ethical and responsible practice.</w:t>
      </w:r>
    </w:p>
    <w:p>
      <w:pPr>
        <w:spacing w:after="0" w:line="177" w:lineRule="exact"/>
        <w:rPr>
          <w:sz w:val="20"/>
          <w:szCs w:val="20"/>
          <w:color w:val="auto"/>
        </w:rPr>
      </w:pPr>
    </w:p>
    <w:p>
      <w:pPr>
        <w:ind w:left="101" w:hanging="101"/>
        <w:spacing w:after="0"/>
        <w:tabs>
          <w:tab w:leader="none" w:pos="101" w:val="left"/>
        </w:tabs>
        <w:numPr>
          <w:ilvl w:val="0"/>
          <w:numId w:val="15"/>
        </w:numPr>
        <w:rPr>
          <w:rFonts w:ascii="Arial" w:cs="Arial" w:eastAsia="Arial" w:hAnsi="Arial"/>
          <w:sz w:val="15"/>
          <w:szCs w:val="15"/>
          <w:color w:val="auto"/>
        </w:rPr>
      </w:pPr>
      <w:r>
        <w:rPr>
          <w:rFonts w:ascii="Arial" w:cs="Arial" w:eastAsia="Arial" w:hAnsi="Arial"/>
          <w:sz w:val="15"/>
          <w:szCs w:val="15"/>
          <w:color w:val="auto"/>
        </w:rPr>
        <w:t>Named a World’s Most Ethical Company by Ethisphere for the 12</w:t>
      </w:r>
      <w:r>
        <w:rPr>
          <w:rFonts w:ascii="Arial" w:cs="Arial" w:eastAsia="Arial" w:hAnsi="Arial"/>
          <w:sz w:val="12"/>
          <w:szCs w:val="12"/>
          <w:color w:val="auto"/>
        </w:rPr>
        <w:t>th</w:t>
      </w:r>
      <w:r>
        <w:rPr>
          <w:rFonts w:ascii="Arial" w:cs="Arial" w:eastAsia="Arial" w:hAnsi="Arial"/>
          <w:sz w:val="15"/>
          <w:szCs w:val="15"/>
          <w:color w:val="auto"/>
        </w:rPr>
        <w:t xml:space="preserve"> year</w:t>
      </w:r>
    </w:p>
    <w:p>
      <w:pPr>
        <w:ind w:left="101" w:hanging="101"/>
        <w:spacing w:after="0" w:line="223" w:lineRule="auto"/>
        <w:tabs>
          <w:tab w:leader="none" w:pos="101" w:val="left"/>
        </w:tabs>
        <w:numPr>
          <w:ilvl w:val="0"/>
          <w:numId w:val="15"/>
        </w:numPr>
        <w:rPr>
          <w:rFonts w:ascii="Arial" w:cs="Arial" w:eastAsia="Arial" w:hAnsi="Arial"/>
          <w:sz w:val="15"/>
          <w:szCs w:val="15"/>
          <w:color w:val="auto"/>
        </w:rPr>
      </w:pPr>
      <w:r>
        <w:rPr>
          <w:rFonts w:ascii="Arial" w:cs="Arial" w:eastAsia="Arial" w:hAnsi="Arial"/>
          <w:sz w:val="15"/>
          <w:szCs w:val="15"/>
          <w:color w:val="auto"/>
        </w:rPr>
        <w:t>Named to the Dow Jones Sustainability Index for the 13</w:t>
      </w:r>
      <w:r>
        <w:rPr>
          <w:rFonts w:ascii="Arial" w:cs="Arial" w:eastAsia="Arial" w:hAnsi="Arial"/>
          <w:sz w:val="12"/>
          <w:szCs w:val="12"/>
          <w:color w:val="auto"/>
        </w:rPr>
        <w:t>th</w:t>
      </w:r>
      <w:r>
        <w:rPr>
          <w:rFonts w:ascii="Arial" w:cs="Arial" w:eastAsia="Arial" w:hAnsi="Arial"/>
          <w:sz w:val="15"/>
          <w:szCs w:val="15"/>
          <w:color w:val="auto"/>
        </w:rPr>
        <w:t xml:space="preserve"> year</w:t>
      </w:r>
    </w:p>
    <w:p>
      <w:pPr>
        <w:ind w:left="121" w:right="820" w:hanging="121"/>
        <w:spacing w:after="0" w:line="237" w:lineRule="auto"/>
        <w:tabs>
          <w:tab w:leader="none" w:pos="9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Earned new EcoVadis ratings in 7 countries in 2021, bringing our cumulative total of Platinum, Gold and Silver EcoVadis ratings to more than 24 countries and at the Global level 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244475</wp:posOffset>
            </wp:positionV>
            <wp:extent cx="69297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041"/>
        <w:spacing w:after="0"/>
        <w:tabs>
          <w:tab w:leader="none" w:pos="5621" w:val="left"/>
        </w:tabs>
        <w:rPr>
          <w:sz w:val="20"/>
          <w:szCs w:val="20"/>
          <w:color w:val="auto"/>
        </w:rPr>
      </w:pPr>
      <w:r>
        <w:rPr>
          <w:rFonts w:ascii="Arial" w:cs="Arial" w:eastAsia="Arial" w:hAnsi="Arial"/>
          <w:sz w:val="20"/>
          <w:szCs w:val="20"/>
          <w:b w:val="1"/>
          <w:bCs w:val="1"/>
          <w:color w:val="5D89B4"/>
        </w:rPr>
        <w:t>v</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-117475</wp:posOffset>
            </wp:positionV>
            <wp:extent cx="934085" cy="169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541"/>
          </w:cols>
          <w:pgMar w:left="859" w:top="254" w:right="4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1"/>
          <w:szCs w:val="21"/>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2022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929755"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Key Compensation and Governance Policies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The people, culture and compensation committee continually reviews the Company’s executive compensation program to maintain compensation practices that are in the best interests of our shareholders. Some of our key policies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6938010" cy="4551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38010" cy="4551680"/>
                    </a:xfrm>
                    <a:prstGeom prst="rect">
                      <a:avLst/>
                    </a:prstGeom>
                    <a:noFill/>
                  </pic:spPr>
                </pic:pic>
              </a:graphicData>
            </a:graphic>
          </wp:anchor>
        </w:drawing>
      </w:r>
    </w:p>
    <w:p>
      <w:pPr>
        <w:spacing w:after="0" w:line="342" w:lineRule="exact"/>
        <w:rPr>
          <w:sz w:val="20"/>
          <w:szCs w:val="20"/>
          <w:color w:val="auto"/>
        </w:rPr>
      </w:pPr>
    </w:p>
    <w:p>
      <w:pPr>
        <w:ind w:left="600"/>
        <w:spacing w:after="0"/>
        <w:rPr>
          <w:sz w:val="20"/>
          <w:szCs w:val="20"/>
          <w:color w:val="auto"/>
        </w:rPr>
      </w:pPr>
      <w:r>
        <w:rPr>
          <w:rFonts w:ascii="Arial" w:cs="Arial" w:eastAsia="Arial" w:hAnsi="Arial"/>
          <w:sz w:val="32"/>
          <w:szCs w:val="32"/>
          <w:b w:val="1"/>
          <w:bCs w:val="1"/>
          <w:color w:val="5D89B4"/>
        </w:rPr>
        <w:t>What We Do</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tie executive pay to performance.</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set challenging performance objectives that align with company performance.</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appropriately balance short-term and long-term incentives.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have caps on the potential payouts under the PSU grants and our annual incentive program.</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use double triggers in our severance agreements and our equity awards.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maintain significant stock ownership guidelines for our NEOs.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have a clawback policy for our cash incentive and equity awards.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Committee engages an independent compensation consultant.</w:t>
      </w:r>
    </w:p>
    <w:p>
      <w:pPr>
        <w:spacing w:after="0" w:line="135" w:lineRule="exact"/>
        <w:rPr>
          <w:sz w:val="20"/>
          <w:szCs w:val="20"/>
          <w:color w:val="auto"/>
        </w:rPr>
      </w:pPr>
    </w:p>
    <w:p>
      <w:pPr>
        <w:ind w:left="920" w:right="540"/>
        <w:spacing w:after="0" w:line="237" w:lineRule="auto"/>
        <w:rPr>
          <w:sz w:val="20"/>
          <w:szCs w:val="20"/>
          <w:color w:val="auto"/>
        </w:rPr>
      </w:pPr>
      <w:r>
        <w:rPr>
          <w:rFonts w:ascii="Arial" w:cs="Arial" w:eastAsia="Arial" w:hAnsi="Arial"/>
          <w:sz w:val="15"/>
          <w:szCs w:val="15"/>
          <w:color w:val="auto"/>
        </w:rPr>
        <w:t>We use appropriate peer groups when establishing compensation which the Committee devotes considerable effort in re-evaluating on an annual basis.</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regularly reach out to leading shareholders and their advisory firms to discuss our governance and executive compensation.</w:t>
      </w:r>
    </w:p>
    <w:p>
      <w:pPr>
        <w:spacing w:after="0" w:line="316" w:lineRule="exact"/>
        <w:rPr>
          <w:sz w:val="20"/>
          <w:szCs w:val="20"/>
          <w:color w:val="auto"/>
        </w:rPr>
      </w:pPr>
    </w:p>
    <w:p>
      <w:pPr>
        <w:ind w:left="600"/>
        <w:spacing w:after="0"/>
        <w:rPr>
          <w:sz w:val="20"/>
          <w:szCs w:val="20"/>
          <w:color w:val="auto"/>
        </w:rPr>
      </w:pPr>
      <w:r>
        <w:rPr>
          <w:rFonts w:ascii="Arial" w:cs="Arial" w:eastAsia="Arial" w:hAnsi="Arial"/>
          <w:sz w:val="32"/>
          <w:szCs w:val="32"/>
          <w:b w:val="1"/>
          <w:bCs w:val="1"/>
          <w:color w:val="5D89B4"/>
        </w:rPr>
        <w:t>What We Don’t Do</w:t>
      </w:r>
    </w:p>
    <w:p>
      <w:pPr>
        <w:spacing w:after="0" w:line="146" w:lineRule="exact"/>
        <w:rPr>
          <w:sz w:val="20"/>
          <w:szCs w:val="20"/>
          <w:color w:val="auto"/>
        </w:rPr>
      </w:pPr>
    </w:p>
    <w:p>
      <w:pPr>
        <w:ind w:left="920" w:right="280"/>
        <w:spacing w:after="0" w:line="232" w:lineRule="auto"/>
        <w:rPr>
          <w:sz w:val="20"/>
          <w:szCs w:val="20"/>
          <w:color w:val="auto"/>
        </w:rPr>
      </w:pPr>
      <w:r>
        <w:rPr>
          <w:rFonts w:ascii="Arial" w:cs="Arial" w:eastAsia="Arial" w:hAnsi="Arial"/>
          <w:sz w:val="15"/>
          <w:szCs w:val="15"/>
          <w:color w:val="auto"/>
        </w:rPr>
        <w:t>We do not use Total Shareholder Return (“TSR”) as a performance metric for our NEOs. In our experience, TSR captures fluctuations in stock price, rather than measuring the performance of our executive team in operating our business. Our stock price can be sensitive to perceived changes in the global business climate, with fluctuations in stock price that are often de-coupled from the fundamentals of our business.</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provide tax gross up payments for any amounts considered excess parachute payments.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pay dividends or dividend equivalents prior to vesting.</w:t>
      </w:r>
    </w:p>
    <w:p>
      <w:pPr>
        <w:spacing w:after="0" w:line="135" w:lineRule="exact"/>
        <w:rPr>
          <w:sz w:val="20"/>
          <w:szCs w:val="20"/>
          <w:color w:val="auto"/>
        </w:rPr>
      </w:pPr>
    </w:p>
    <w:p>
      <w:pPr>
        <w:ind w:left="920" w:right="280"/>
        <w:spacing w:after="0" w:line="237" w:lineRule="auto"/>
        <w:rPr>
          <w:sz w:val="20"/>
          <w:szCs w:val="20"/>
          <w:color w:val="auto"/>
        </w:rPr>
      </w:pPr>
      <w:r>
        <w:rPr>
          <w:rFonts w:ascii="Arial" w:cs="Arial" w:eastAsia="Arial" w:hAnsi="Arial"/>
          <w:sz w:val="15"/>
          <w:szCs w:val="15"/>
          <w:color w:val="auto"/>
        </w:rPr>
        <w:t>We do not encourage undue risk taking in our compensation plans. By using varied financial metrics and setting caps on potential payouts the company mitigates undue risk taking.</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permit the repricing of stock options without prior shareholder approval, except in connection with a transaction.</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allow hedging or pledging of ManpowerGroup stock.</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do not provide excessive perquisites to our NEOs or provide tax gross up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6929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80"/>
        <w:spacing w:after="0"/>
        <w:tabs>
          <w:tab w:leader="none" w:pos="6000" w:val="left"/>
        </w:tabs>
        <w:rPr>
          <w:sz w:val="20"/>
          <w:szCs w:val="20"/>
          <w:color w:val="auto"/>
        </w:rPr>
      </w:pPr>
      <w:r>
        <w:rPr>
          <w:rFonts w:ascii="Arial" w:cs="Arial" w:eastAsia="Arial" w:hAnsi="Arial"/>
          <w:sz w:val="20"/>
          <w:szCs w:val="20"/>
          <w:b w:val="1"/>
          <w:bCs w:val="1"/>
          <w:color w:val="5D89B4"/>
        </w:rPr>
        <w:t>vi</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680"/>
          </w:cols>
          <w:pgMar w:left="480" w:top="254" w:right="739" w:bottom="1440" w:gutter="0" w:footer="0" w:header="0"/>
        </w:sectPr>
      </w:pPr>
    </w:p>
    <w:bookmarkStart w:id="12" w:name="page13"/>
    <w:bookmarkEnd w:id="12"/>
    <w:p>
      <w:pPr>
        <w:spacing w:after="0"/>
        <w:rPr>
          <w:sz w:val="20"/>
          <w:szCs w:val="20"/>
          <w:color w:val="auto"/>
        </w:rPr>
      </w:pPr>
      <w:r>
        <w:rPr>
          <w:rFonts w:ascii="Arial" w:cs="Arial" w:eastAsia="Arial" w:hAnsi="Arial"/>
          <w:sz w:val="42"/>
          <w:szCs w:val="42"/>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Director Nominee Biographies</w:t>
      </w:r>
    </w:p>
    <w:p>
      <w:pPr>
        <w:sectPr>
          <w:pgSz w:w="11900" w:h="16838" w:orient="portrait"/>
          <w:cols w:equalWidth="0" w:num="1">
            <w:col w:w="10900"/>
          </w:cols>
          <w:pgMar w:left="480" w:top="125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32"/>
          <w:szCs w:val="32"/>
          <w:b w:val="1"/>
          <w:bCs w:val="1"/>
          <w:color w:val="5D89B4"/>
        </w:rPr>
        <w:t>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-1772285</wp:posOffset>
            </wp:positionV>
            <wp:extent cx="1485900" cy="1485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47" w:lineRule="exact"/>
        <w:rPr>
          <w:sz w:val="20"/>
          <w:szCs w:val="20"/>
          <w:color w:val="auto"/>
        </w:rPr>
      </w:pPr>
    </w:p>
    <w:p>
      <w:pPr>
        <w:jc w:val="center"/>
        <w:ind w:left="280"/>
        <w:spacing w:after="0"/>
        <w:rPr>
          <w:sz w:val="20"/>
          <w:szCs w:val="20"/>
          <w:color w:val="auto"/>
        </w:rPr>
      </w:pPr>
      <w:r>
        <w:rPr>
          <w:rFonts w:ascii="Arial" w:cs="Arial" w:eastAsia="Arial" w:hAnsi="Arial"/>
          <w:sz w:val="23"/>
          <w:szCs w:val="23"/>
          <w:color w:val="5D89B4"/>
        </w:rPr>
        <w:t>Joined the board 2007</w:t>
      </w:r>
    </w:p>
    <w:p>
      <w:pPr>
        <w:spacing w:after="0" w:line="16" w:lineRule="exact"/>
        <w:rPr>
          <w:sz w:val="20"/>
          <w:szCs w:val="20"/>
          <w:color w:val="auto"/>
        </w:rPr>
      </w:pPr>
    </w:p>
    <w:p>
      <w:pPr>
        <w:jc w:val="center"/>
        <w:ind w:left="280"/>
        <w:spacing w:after="0"/>
        <w:rPr>
          <w:sz w:val="20"/>
          <w:szCs w:val="20"/>
          <w:color w:val="auto"/>
        </w:rPr>
      </w:pPr>
      <w:r>
        <w:rPr>
          <w:rFonts w:ascii="Arial" w:cs="Arial" w:eastAsia="Arial" w:hAnsi="Arial"/>
          <w:sz w:val="23"/>
          <w:szCs w:val="23"/>
          <w:color w:val="5D89B4"/>
        </w:rPr>
        <w:t>Age 59</w:t>
      </w:r>
    </w:p>
    <w:p>
      <w:pPr>
        <w:spacing w:after="0" w:line="16" w:lineRule="exact"/>
        <w:rPr>
          <w:sz w:val="20"/>
          <w:szCs w:val="20"/>
          <w:color w:val="auto"/>
        </w:rPr>
      </w:pPr>
    </w:p>
    <w:p>
      <w:pPr>
        <w:jc w:val="center"/>
        <w:ind w:left="280"/>
        <w:spacing w:after="0" w:line="266" w:lineRule="auto"/>
        <w:rPr>
          <w:sz w:val="20"/>
          <w:szCs w:val="20"/>
          <w:color w:val="auto"/>
        </w:rPr>
      </w:pPr>
      <w:r>
        <w:rPr>
          <w:rFonts w:ascii="Arial" w:cs="Arial" w:eastAsia="Arial" w:hAnsi="Arial"/>
          <w:sz w:val="23"/>
          <w:szCs w:val="23"/>
          <w:color w:val="auto"/>
        </w:rPr>
        <w:t>Committees: Audit; Governance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60" w:hanging="179"/>
        <w:spacing w:after="0" w:line="223" w:lineRule="auto"/>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President, US Customer Development at Unilever, a global food, personal care and household products company, from 2017 to September 2019</w:t>
      </w:r>
    </w:p>
    <w:p>
      <w:pPr>
        <w:ind w:left="140" w:hanging="139"/>
        <w:spacing w:after="0" w:line="223" w:lineRule="auto"/>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General Manager, U.K. and Ireland, at Unilever from 2015 to May 2017</w:t>
      </w:r>
    </w:p>
    <w:p>
      <w:pPr>
        <w:ind w:left="140" w:hanging="139"/>
        <w:spacing w:after="0" w:line="223" w:lineRule="auto"/>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Executive Vice President, Personal Care, at Unilever from 2011 to 2015</w:t>
      </w:r>
    </w:p>
    <w:p>
      <w:pPr>
        <w:ind w:left="180" w:right="60" w:hanging="179"/>
        <w:spacing w:after="0" w:line="223" w:lineRule="auto"/>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President, Global Brands, of Alberto-Culver Company, a consumer goods company, from 2008 to 2011</w:t>
      </w:r>
    </w:p>
    <w:p>
      <w:pPr>
        <w:ind w:left="140" w:hanging="139"/>
        <w:spacing w:after="0" w:line="223" w:lineRule="auto"/>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Chief Operating Officer-North America of Avon Products, Inc. from 2005 to 2007</w:t>
      </w:r>
    </w:p>
    <w:p>
      <w:pPr>
        <w:ind w:left="140" w:hanging="139"/>
        <w:spacing w:after="0" w:line="223" w:lineRule="auto"/>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 executive with Ford Motor Company from 1999 to 2003</w:t>
      </w:r>
    </w:p>
    <w:p>
      <w:pPr>
        <w:ind w:left="140" w:hanging="139"/>
        <w:spacing w:after="0" w:line="223" w:lineRule="auto"/>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Director of Wolverine Worldwide, Inc. (since 2013)</w:t>
      </w:r>
    </w:p>
    <w:p>
      <w:pPr>
        <w:ind w:left="140" w:hanging="139"/>
        <w:spacing w:after="0"/>
        <w:tabs>
          <w:tab w:leader="none" w:pos="1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Director of Acco Brands Corporation (since March 2022)</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180" w:hanging="179"/>
        <w:spacing w:after="0" w:line="223" w:lineRule="auto"/>
        <w:tabs>
          <w:tab w:leader="none" w:pos="1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Significant international, managerial, strategic, operational and global expertise as a result of the various senior leadership positions held</w:t>
      </w:r>
    </w:p>
    <w:p>
      <w:pPr>
        <w:ind w:left="140" w:hanging="139"/>
        <w:spacing w:after="0" w:line="223" w:lineRule="auto"/>
        <w:tabs>
          <w:tab w:leader="none" w:pos="1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Strong background in finance and accounting matters</w:t>
      </w:r>
    </w:p>
    <w:p>
      <w:pPr>
        <w:ind w:left="180" w:hanging="179"/>
        <w:spacing w:after="0" w:line="223" w:lineRule="auto"/>
        <w:tabs>
          <w:tab w:leader="none" w:pos="1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Many years’ experience in marketing, branding and consumer behavior from her involvement in the consumer goods and personal care industries</w:t>
      </w:r>
    </w:p>
    <w:p>
      <w:pPr>
        <w:ind w:left="140" w:hanging="139"/>
        <w:spacing w:after="0"/>
        <w:tabs>
          <w:tab w:leader="none" w:pos="1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Brings an important perspective from her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436245</wp:posOffset>
            </wp:positionV>
            <wp:extent cx="422084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929" w:lineRule="exact"/>
        <w:rPr>
          <w:sz w:val="20"/>
          <w:szCs w:val="20"/>
          <w:color w:val="auto"/>
        </w:rPr>
      </w:pPr>
    </w:p>
    <w:p>
      <w:pPr>
        <w:sectPr>
          <w:pgSz w:w="11900" w:h="16838" w:orient="portrait"/>
          <w:cols w:equalWidth="0" w:num="2">
            <w:col w:w="4000" w:space="380"/>
            <w:col w:w="6520"/>
          </w:cols>
          <w:pgMar w:left="480" w:top="125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00"/>
        <w:spacing w:after="0"/>
        <w:rPr>
          <w:sz w:val="20"/>
          <w:szCs w:val="20"/>
          <w:color w:val="auto"/>
        </w:rPr>
      </w:pPr>
      <w:r>
        <w:rPr>
          <w:rFonts w:ascii="Arial" w:cs="Arial" w:eastAsia="Arial" w:hAnsi="Arial"/>
          <w:sz w:val="31"/>
          <w:szCs w:val="31"/>
          <w:b w:val="1"/>
          <w:bCs w:val="1"/>
          <w:color w:val="5D89B4"/>
        </w:rPr>
        <w:t>Jean-Philippe Courtois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-1790700</wp:posOffset>
            </wp:positionV>
            <wp:extent cx="1511935" cy="1511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159"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Joined the board 2020</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Age 61</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auto"/>
        </w:rPr>
        <w:t>Committees: Audit</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640" w:hanging="179"/>
        <w:spacing w:after="0" w:line="223" w:lineRule="auto"/>
        <w:tabs>
          <w:tab w:leader="none" w:pos="1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Executive Vice President, National Transformation Partnerships, at Microsoft, a global technology provider, since July 2021</w:t>
      </w:r>
    </w:p>
    <w:p>
      <w:pPr>
        <w:ind w:left="180" w:right="80" w:hanging="179"/>
        <w:spacing w:after="0" w:line="223" w:lineRule="auto"/>
        <w:tabs>
          <w:tab w:leader="none" w:pos="1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Executive Vice President, President Global Sales, Marketing and Operations at Microsoft from 2016 to July 2021</w:t>
      </w:r>
    </w:p>
    <w:p>
      <w:pPr>
        <w:ind w:left="140" w:hanging="139"/>
        <w:spacing w:after="0" w:line="223" w:lineRule="auto"/>
        <w:tabs>
          <w:tab w:leader="none" w:pos="1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President, Microsoft International from 2005 to 2016</w:t>
      </w:r>
    </w:p>
    <w:p>
      <w:pPr>
        <w:ind w:left="140" w:hanging="139"/>
        <w:spacing w:after="0" w:line="223" w:lineRule="auto"/>
        <w:tabs>
          <w:tab w:leader="none" w:pos="1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CEO, Microsoft EMEA from 2003 to 2005</w:t>
      </w:r>
    </w:p>
    <w:p>
      <w:pPr>
        <w:ind w:left="140" w:hanging="139"/>
        <w:spacing w:after="0"/>
        <w:tabs>
          <w:tab w:leader="none" w:pos="1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Former Director of AstraZeneca plc (2008 to 2016)</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ind w:left="140" w:hanging="139"/>
        <w:spacing w:after="0" w:line="234" w:lineRule="auto"/>
        <w:tabs>
          <w:tab w:leader="none" w:pos="1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Significant managerial, strategic and marketing expertise in international business</w:t>
      </w:r>
    </w:p>
    <w:p>
      <w:pPr>
        <w:ind w:left="180" w:right="140" w:hanging="179"/>
        <w:spacing w:after="0" w:line="223" w:lineRule="auto"/>
        <w:tabs>
          <w:tab w:leader="none" w:pos="1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Extensive experience in the technology industry developed over his more than three decades career with Microsoft, including global enterprise sales</w:t>
      </w:r>
    </w:p>
    <w:p>
      <w:pPr>
        <w:ind w:left="140" w:hanging="139"/>
        <w:spacing w:after="0" w:line="223" w:lineRule="auto"/>
        <w:tabs>
          <w:tab w:leader="none" w:pos="1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Global operational expertise and branding insight from multiple senior leadership roles</w:t>
      </w:r>
    </w:p>
    <w:p>
      <w:pPr>
        <w:ind w:left="180" w:right="240" w:hanging="179"/>
        <w:spacing w:after="0" w:line="237" w:lineRule="auto"/>
        <w:tabs>
          <w:tab w:leader="none" w:pos="1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Brings an important perspective from his prior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745490</wp:posOffset>
            </wp:positionV>
            <wp:extent cx="69297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21" w:lineRule="exact"/>
        <w:rPr>
          <w:sz w:val="20"/>
          <w:szCs w:val="20"/>
          <w:color w:val="auto"/>
        </w:rPr>
      </w:pPr>
    </w:p>
    <w:p>
      <w:pPr>
        <w:sectPr>
          <w:pgSz w:w="11900" w:h="16838" w:orient="portrait"/>
          <w:cols w:equalWidth="0" w:num="2">
            <w:col w:w="3880" w:space="500"/>
            <w:col w:w="6520"/>
          </w:cols>
          <w:pgMar w:left="480" w:top="1250" w:right="519" w:bottom="1440" w:gutter="0" w:footer="0" w:header="0"/>
          <w:type w:val="continuous"/>
        </w:sectPr>
      </w:pPr>
    </w:p>
    <w:p>
      <w:pPr>
        <w:spacing w:after="0" w:line="203" w:lineRule="exact"/>
        <w:rPr>
          <w:sz w:val="20"/>
          <w:szCs w:val="20"/>
          <w:color w:val="auto"/>
        </w:rPr>
      </w:pPr>
    </w:p>
    <w:p>
      <w:pPr>
        <w:ind w:left="6020" w:hanging="604"/>
        <w:spacing w:after="0"/>
        <w:tabs>
          <w:tab w:leader="none" w:pos="6020" w:val="left"/>
        </w:tabs>
        <w:numPr>
          <w:ilvl w:val="0"/>
          <w:numId w:val="20"/>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50" w:right="5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106680</wp:posOffset>
            </wp:positionV>
            <wp:extent cx="1485900" cy="1485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440"/>
        <w:spacing w:after="0"/>
        <w:rPr>
          <w:sz w:val="20"/>
          <w:szCs w:val="20"/>
          <w:color w:val="auto"/>
        </w:rPr>
      </w:pPr>
      <w:r>
        <w:rPr>
          <w:rFonts w:ascii="Arial" w:cs="Arial" w:eastAsia="Arial" w:hAnsi="Arial"/>
          <w:sz w:val="32"/>
          <w:szCs w:val="32"/>
          <w:b w:val="1"/>
          <w:bCs w:val="1"/>
          <w:color w:val="5D89B4"/>
        </w:rPr>
        <w:t>William Downe</w:t>
      </w:r>
    </w:p>
    <w:p>
      <w:pPr>
        <w:spacing w:after="0" w:line="167" w:lineRule="exact"/>
        <w:rPr>
          <w:sz w:val="20"/>
          <w:szCs w:val="20"/>
          <w:color w:val="auto"/>
        </w:rPr>
      </w:pPr>
    </w:p>
    <w:p>
      <w:pPr>
        <w:jc w:val="center"/>
        <w:ind w:left="440" w:right="540"/>
        <w:spacing w:after="0" w:line="254" w:lineRule="auto"/>
        <w:rPr>
          <w:sz w:val="20"/>
          <w:szCs w:val="20"/>
          <w:color w:val="auto"/>
        </w:rPr>
      </w:pPr>
      <w:r>
        <w:rPr>
          <w:rFonts w:ascii="Arial" w:cs="Arial" w:eastAsia="Arial" w:hAnsi="Arial"/>
          <w:sz w:val="23"/>
          <w:szCs w:val="23"/>
          <w:color w:val="5D89B4"/>
        </w:rPr>
        <w:t>Lead Director Joined the board 2011 Age 69</w:t>
      </w:r>
    </w:p>
    <w:p>
      <w:pPr>
        <w:spacing w:after="0" w:line="3"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auto"/>
        </w:rPr>
        <w:t>Committees: People, Culture and</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440690</wp:posOffset>
            </wp:positionV>
            <wp:extent cx="1485900" cy="14859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40"/>
        <w:spacing w:after="0"/>
        <w:rPr>
          <w:sz w:val="20"/>
          <w:szCs w:val="20"/>
          <w:color w:val="auto"/>
        </w:rPr>
      </w:pPr>
      <w:r>
        <w:rPr>
          <w:rFonts w:ascii="Arial" w:cs="Arial" w:eastAsia="Arial" w:hAnsi="Arial"/>
          <w:sz w:val="32"/>
          <w:szCs w:val="32"/>
          <w:b w:val="1"/>
          <w:bCs w:val="1"/>
          <w:color w:val="5D89B4"/>
        </w:rPr>
        <w:t>John F. Ferraro</w:t>
      </w:r>
    </w:p>
    <w:p>
      <w:pPr>
        <w:spacing w:after="0" w:line="167"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5D89B4"/>
        </w:rPr>
        <w:t>Joined the board 2016</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5D89B4"/>
        </w:rPr>
        <w:t>Age 66</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auto"/>
        </w:rPr>
        <w:t>Committees: Audit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-1002665</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-416560</wp:posOffset>
            </wp:positionV>
            <wp:extent cx="6929755"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-909320</wp:posOffset>
            </wp:positionV>
            <wp:extent cx="6929755" cy="4076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ind w:left="180" w:right="580" w:hanging="179"/>
        <w:spacing w:after="0" w:line="223" w:lineRule="auto"/>
        <w:tabs>
          <w:tab w:leader="none" w:pos="1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Non-Executive Chairman of Trans Mountain Corporation, an oil pipeline operator, since November 2018</w:t>
      </w:r>
    </w:p>
    <w:p>
      <w:pPr>
        <w:ind w:left="180" w:right="80" w:hanging="179"/>
        <w:spacing w:after="0" w:line="223" w:lineRule="auto"/>
        <w:tabs>
          <w:tab w:leader="none" w:pos="1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Chief Executive Officer of BMO Financial Group (“BMO”), a highly diversified financial services provider based in North America, from 2007 to October 2017</w:t>
      </w:r>
    </w:p>
    <w:p>
      <w:pPr>
        <w:ind w:left="140" w:hanging="139"/>
        <w:spacing w:after="0" w:line="223" w:lineRule="auto"/>
        <w:tabs>
          <w:tab w:leader="none" w:pos="1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Chief Operating Officer of BMO from 2006 to 2007</w:t>
      </w:r>
    </w:p>
    <w:p>
      <w:pPr>
        <w:ind w:left="180" w:right="60" w:hanging="179"/>
        <w:spacing w:after="0" w:line="223" w:lineRule="auto"/>
        <w:tabs>
          <w:tab w:leader="none" w:pos="1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Deputy Chair of BMO and Chief Executive Officer, BMO Nesbitt Burns and Head of Investment Banking Group from 2001 to 2006</w:t>
      </w:r>
    </w:p>
    <w:p>
      <w:pPr>
        <w:ind w:left="140" w:hanging="139"/>
        <w:spacing w:after="0" w:line="223" w:lineRule="auto"/>
        <w:tabs>
          <w:tab w:leader="none" w:pos="1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Director of Loblaw Companies Limited (since 2018)</w:t>
      </w:r>
    </w:p>
    <w:p>
      <w:pPr>
        <w:ind w:left="140" w:hanging="139"/>
        <w:spacing w:after="0"/>
        <w:tabs>
          <w:tab w:leader="none" w:pos="1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Former Director of BMO (2007 to 2017)</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hanging="179"/>
        <w:spacing w:after="0" w:line="223" w:lineRule="auto"/>
        <w:tabs>
          <w:tab w:leader="none" w:pos="1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Deep knowledge of the financial services industry and investment community based on his long tenure at BMO</w:t>
      </w:r>
    </w:p>
    <w:p>
      <w:pPr>
        <w:ind w:left="180" w:right="280" w:hanging="179"/>
        <w:spacing w:after="0" w:line="223" w:lineRule="auto"/>
        <w:tabs>
          <w:tab w:leader="none" w:pos="1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Benefits the board through the significant managerial, operational and global experience he gained during his career at BMO and serving on its Board</w:t>
      </w:r>
    </w:p>
    <w:p>
      <w:pPr>
        <w:ind w:left="140" w:hanging="139"/>
        <w:spacing w:after="0" w:line="223" w:lineRule="auto"/>
        <w:tabs>
          <w:tab w:leader="none" w:pos="1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Extensive expertise in compliance and risk oversight leading a company in a regulated industry</w:t>
      </w:r>
    </w:p>
    <w:p>
      <w:pPr>
        <w:ind w:left="140" w:hanging="139"/>
        <w:spacing w:after="0"/>
        <w:tabs>
          <w:tab w:leader="none" w:pos="1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Provides a unique perspective to the boardroom as a long-serving CEO and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784225</wp:posOffset>
            </wp:positionV>
            <wp:extent cx="4220845"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680" w:hanging="179"/>
        <w:spacing w:after="0" w:line="223" w:lineRule="auto"/>
        <w:tabs>
          <w:tab w:leader="none" w:pos="1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Global Chief Operating Officer of Ernst &amp; Young (“EY”), a global professional services organization, from 2007 to 2015</w:t>
      </w:r>
    </w:p>
    <w:p>
      <w:pPr>
        <w:ind w:left="140" w:hanging="139"/>
        <w:spacing w:after="0" w:line="223" w:lineRule="auto"/>
        <w:tabs>
          <w:tab w:leader="none" w:pos="1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Held several senior leadership positions at EY, including Global Vice Chair Audit</w:t>
      </w:r>
    </w:p>
    <w:p>
      <w:pPr>
        <w:ind w:left="140" w:hanging="139"/>
        <w:spacing w:after="0" w:line="223" w:lineRule="auto"/>
        <w:tabs>
          <w:tab w:leader="none" w:pos="1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Served as a member of EY’s Global Executive board for more than 10 years</w:t>
      </w:r>
    </w:p>
    <w:p>
      <w:pPr>
        <w:ind w:left="180" w:right="420" w:hanging="179"/>
        <w:spacing w:after="0" w:line="223" w:lineRule="auto"/>
        <w:tabs>
          <w:tab w:leader="none" w:pos="1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Executive Vice President, Strategy and Sales of Aquilon Energy Services, a software and services company for the energy industry, from February 2019 to July 2019</w:t>
      </w:r>
    </w:p>
    <w:p>
      <w:pPr>
        <w:ind w:left="140" w:hanging="139"/>
        <w:spacing w:after="0" w:line="223" w:lineRule="auto"/>
        <w:tabs>
          <w:tab w:leader="none" w:pos="1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Director of Advance Auto Parts (since 2015)</w:t>
      </w:r>
    </w:p>
    <w:p>
      <w:pPr>
        <w:ind w:left="140" w:hanging="139"/>
        <w:spacing w:after="0"/>
        <w:tabs>
          <w:tab w:leader="none" w:pos="1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Director of International Flavor and Fragrances, Inc. (since 2015)</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ind w:left="140" w:hanging="139"/>
        <w:spacing w:after="0" w:line="234" w:lineRule="auto"/>
        <w:tabs>
          <w:tab w:leader="none" w:pos="1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Significant depth in both finance and global operations management through his experience at</w:t>
      </w:r>
    </w:p>
    <w:p>
      <w:pPr>
        <w:ind w:left="180"/>
        <w:spacing w:after="0" w:line="223" w:lineRule="auto"/>
        <w:rPr>
          <w:rFonts w:ascii="Arial" w:cs="Arial" w:eastAsia="Arial" w:hAnsi="Arial"/>
          <w:sz w:val="15"/>
          <w:szCs w:val="15"/>
          <w:color w:val="auto"/>
        </w:rPr>
      </w:pPr>
      <w:r>
        <w:rPr>
          <w:rFonts w:ascii="Arial" w:cs="Arial" w:eastAsia="Arial" w:hAnsi="Arial"/>
          <w:sz w:val="15"/>
          <w:szCs w:val="15"/>
          <w:color w:val="auto"/>
        </w:rPr>
        <w:t>EY</w:t>
      </w:r>
    </w:p>
    <w:p>
      <w:pPr>
        <w:ind w:left="180" w:right="440" w:hanging="179"/>
        <w:spacing w:after="0" w:line="223" w:lineRule="auto"/>
        <w:tabs>
          <w:tab w:leader="none" w:pos="1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Background includes many years as a manger and executive in the professional services industry</w:t>
      </w:r>
    </w:p>
    <w:p>
      <w:pPr>
        <w:ind w:left="140" w:hanging="139"/>
        <w:spacing w:after="0" w:line="223" w:lineRule="auto"/>
        <w:tabs>
          <w:tab w:leader="none" w:pos="1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Experience in accounting, financial oversight, compliance and risk management</w:t>
      </w:r>
    </w:p>
    <w:p>
      <w:pPr>
        <w:ind w:left="140" w:hanging="139"/>
        <w:spacing w:after="0"/>
        <w:tabs>
          <w:tab w:leader="none" w:pos="1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Brings an important perspective from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589280</wp:posOffset>
            </wp:positionV>
            <wp:extent cx="69297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28" w:lineRule="exact"/>
        <w:rPr>
          <w:sz w:val="20"/>
          <w:szCs w:val="20"/>
          <w:color w:val="auto"/>
        </w:rPr>
      </w:pPr>
    </w:p>
    <w:p>
      <w:pPr>
        <w:sectPr>
          <w:pgSz w:w="11900" w:h="16838" w:orient="portrait"/>
          <w:cols w:equalWidth="0" w:num="2">
            <w:col w:w="3840" w:space="540"/>
            <w:col w:w="6540"/>
          </w:cols>
          <w:pgMar w:left="480" w:top="1165" w:right="499" w:bottom="1440" w:gutter="0" w:footer="0" w:header="0"/>
        </w:sectPr>
      </w:pPr>
    </w:p>
    <w:p>
      <w:pPr>
        <w:spacing w:after="0" w:line="136" w:lineRule="exact"/>
        <w:rPr>
          <w:sz w:val="20"/>
          <w:szCs w:val="20"/>
          <w:color w:val="auto"/>
        </w:rPr>
      </w:pPr>
    </w:p>
    <w:p>
      <w:pPr>
        <w:ind w:left="6020" w:hanging="604"/>
        <w:spacing w:after="0"/>
        <w:tabs>
          <w:tab w:leader="none" w:pos="6020" w:val="left"/>
        </w:tabs>
        <w:numPr>
          <w:ilvl w:val="0"/>
          <w:numId w:val="25"/>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1116330</wp:posOffset>
            </wp:positionV>
            <wp:extent cx="1511935" cy="1511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5D89B4"/>
        </w:rPr>
        <w:t>William P. Gipson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3"/>
          <w:szCs w:val="23"/>
          <w:color w:val="5D89B4"/>
        </w:rPr>
        <w:t>Joined the board 2020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3"/>
          <w:szCs w:val="23"/>
          <w:color w:val="5D89B4"/>
        </w:rPr>
        <w:t>Age 64</w:t>
      </w:r>
    </w:p>
    <w:p>
      <w:pPr>
        <w:spacing w:after="0" w:line="16" w:lineRule="exact"/>
        <w:rPr>
          <w:sz w:val="20"/>
          <w:szCs w:val="20"/>
          <w:color w:val="auto"/>
        </w:rPr>
      </w:pPr>
    </w:p>
    <w:p>
      <w:pPr>
        <w:jc w:val="center"/>
        <w:spacing w:after="0" w:line="266" w:lineRule="auto"/>
        <w:rPr>
          <w:sz w:val="20"/>
          <w:szCs w:val="20"/>
          <w:color w:val="auto"/>
        </w:rPr>
      </w:pPr>
      <w:r>
        <w:rPr>
          <w:rFonts w:ascii="Arial" w:cs="Arial" w:eastAsia="Arial" w:hAnsi="Arial"/>
          <w:sz w:val="23"/>
          <w:szCs w:val="23"/>
          <w:color w:val="auto"/>
        </w:rPr>
        <w:t>Committees: People, Culture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627380</wp:posOffset>
            </wp:positionV>
            <wp:extent cx="1485900" cy="1485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5D89B4"/>
        </w:rPr>
        <w:t>Patricia Hemingway Hall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3"/>
          <w:szCs w:val="23"/>
          <w:color w:val="5D89B4"/>
        </w:rPr>
        <w:t>Joined the board 2011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3"/>
          <w:szCs w:val="23"/>
          <w:color w:val="5D89B4"/>
        </w:rPr>
        <w:t>Age 69</w:t>
      </w:r>
    </w:p>
    <w:p>
      <w:pPr>
        <w:spacing w:after="0" w:line="16" w:lineRule="exact"/>
        <w:rPr>
          <w:sz w:val="20"/>
          <w:szCs w:val="20"/>
          <w:color w:val="auto"/>
        </w:rPr>
      </w:pPr>
    </w:p>
    <w:p>
      <w:pPr>
        <w:jc w:val="center"/>
        <w:spacing w:after="0" w:line="266" w:lineRule="auto"/>
        <w:rPr>
          <w:sz w:val="20"/>
          <w:szCs w:val="20"/>
          <w:color w:val="auto"/>
        </w:rPr>
      </w:pPr>
      <w:r>
        <w:rPr>
          <w:rFonts w:ascii="Arial" w:cs="Arial" w:eastAsia="Arial" w:hAnsi="Arial"/>
          <w:sz w:val="23"/>
          <w:szCs w:val="23"/>
          <w:color w:val="auto"/>
        </w:rPr>
        <w:t>Committees: Audit; Governance and Sustainability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-767080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-180975</wp:posOffset>
            </wp:positionV>
            <wp:extent cx="6929755"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-673735</wp:posOffset>
            </wp:positionV>
            <wp:extent cx="6929755" cy="407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60" w:hanging="179"/>
        <w:spacing w:after="0" w:line="223" w:lineRule="auto"/>
        <w:tabs>
          <w:tab w:leader="none" w:pos="1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President, Enterprise Packaging Transformation of Procter &amp; Gamble (“P&amp;G”), a leading global provider of branded consumer packaged goods, from 2017 to June 2019</w:t>
      </w:r>
    </w:p>
    <w:p>
      <w:pPr>
        <w:ind w:left="140" w:hanging="139"/>
        <w:spacing w:after="0" w:line="223" w:lineRule="auto"/>
        <w:tabs>
          <w:tab w:leader="none" w:pos="1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Senior Vice President, Research &amp; Development for Asia at P&amp;G from 2015 to May 2017</w:t>
      </w:r>
    </w:p>
    <w:p>
      <w:pPr>
        <w:ind w:left="180" w:right="420" w:hanging="179"/>
        <w:spacing w:after="0" w:line="223" w:lineRule="auto"/>
        <w:tabs>
          <w:tab w:leader="none" w:pos="1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Senior Vice President, Research &amp; Development for the Global Hair Care/Color &amp; Overall Beauty Sector at P&amp;G from 2011 to 2015</w:t>
      </w:r>
    </w:p>
    <w:p>
      <w:pPr>
        <w:ind w:left="180" w:right="540" w:hanging="179"/>
        <w:spacing w:after="0" w:line="223" w:lineRule="auto"/>
        <w:tabs>
          <w:tab w:leader="none" w:pos="1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Senior Vice President, Corporate Chief Diversity Officer for P&amp;G from 2011- June 2019, simultaneously served</w:t>
      </w:r>
    </w:p>
    <w:p>
      <w:pPr>
        <w:ind w:left="140" w:hanging="139"/>
        <w:spacing w:after="0"/>
        <w:tabs>
          <w:tab w:leader="none" w:pos="1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director of Rockwell Automation, Inc. (since November 2020)</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160" w:hanging="179"/>
        <w:spacing w:after="0" w:line="223" w:lineRule="auto"/>
        <w:tabs>
          <w:tab w:leader="none" w:pos="1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Significant international, managerial and operational experience from his tenure as President, Enterprise Packaging and Transformation of P&amp;G</w:t>
      </w:r>
    </w:p>
    <w:p>
      <w:pPr>
        <w:ind w:left="180" w:right="480" w:hanging="179"/>
        <w:spacing w:after="0" w:line="223" w:lineRule="auto"/>
        <w:tabs>
          <w:tab w:leader="none" w:pos="1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Experience with research and business development at a leading international company, including multiple international postings</w:t>
      </w:r>
    </w:p>
    <w:p>
      <w:pPr>
        <w:ind w:left="180" w:right="20" w:hanging="179"/>
        <w:spacing w:after="0" w:line="237" w:lineRule="auto"/>
        <w:tabs>
          <w:tab w:leader="none" w:pos="1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Brings a unique perspective to the board from his tenure as Chief Diversity Officer for Procter &amp;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941070</wp:posOffset>
            </wp:positionV>
            <wp:extent cx="4220845" cy="33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140" w:hanging="179"/>
        <w:spacing w:after="0" w:line="223" w:lineRule="auto"/>
        <w:tabs>
          <w:tab w:leader="none" w:pos="1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President and Chief Executive Officer of Health Care Service Corporation (“HCSC”), a mutual health insurer, from 2008 to December 2015</w:t>
      </w:r>
    </w:p>
    <w:p>
      <w:pPr>
        <w:ind w:left="140" w:hanging="139"/>
        <w:spacing w:after="0" w:line="223" w:lineRule="auto"/>
        <w:tabs>
          <w:tab w:leader="none" w:pos="1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President and Chief Operating Officer of HCSC from 2007 to 2008</w:t>
      </w:r>
    </w:p>
    <w:p>
      <w:pPr>
        <w:ind w:left="140" w:hanging="139"/>
        <w:spacing w:after="0" w:line="223" w:lineRule="auto"/>
        <w:tabs>
          <w:tab w:leader="none" w:pos="1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Executive Vice President of Internal Operations of HCSC from 2006 to 2007</w:t>
      </w:r>
    </w:p>
    <w:p>
      <w:pPr>
        <w:ind w:left="140" w:hanging="139"/>
        <w:spacing w:after="0" w:line="223" w:lineRule="auto"/>
        <w:tabs>
          <w:tab w:leader="none" w:pos="1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Director of Cardinal Health (since 2013)</w:t>
      </w:r>
    </w:p>
    <w:p>
      <w:pPr>
        <w:ind w:left="140" w:hanging="139"/>
        <w:spacing w:after="0" w:line="223" w:lineRule="auto"/>
        <w:tabs>
          <w:tab w:leader="none" w:pos="1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Director of Halliburton (since 2019)</w:t>
      </w:r>
    </w:p>
    <w:p>
      <w:pPr>
        <w:ind w:left="140" w:hanging="139"/>
        <w:spacing w:after="0"/>
        <w:tabs>
          <w:tab w:leader="none" w:pos="1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Former Director of Celgene Corporation (2018-2019)</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20" w:hanging="179"/>
        <w:spacing w:after="0" w:line="223" w:lineRule="auto"/>
        <w:tabs>
          <w:tab w:leader="none" w:pos="1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Significant managerial, operational, sales, marketing and government relations experience as a result of the various senior positions she held during her tenure with HCSC, including as its Chief Executive Officer</w:t>
      </w:r>
    </w:p>
    <w:p>
      <w:pPr>
        <w:ind w:left="140" w:hanging="139"/>
        <w:spacing w:after="0" w:line="223" w:lineRule="auto"/>
        <w:tabs>
          <w:tab w:leader="none" w:pos="1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Strong background in corporate governance and corporate administration</w:t>
      </w:r>
    </w:p>
    <w:p>
      <w:pPr>
        <w:ind w:left="180" w:right="80" w:hanging="179"/>
        <w:spacing w:after="0" w:line="237" w:lineRule="auto"/>
        <w:tabs>
          <w:tab w:leader="none" w:pos="1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Brings an important perspective gained from her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864235</wp:posOffset>
            </wp:positionV>
            <wp:extent cx="69297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2" w:lineRule="exact"/>
        <w:rPr>
          <w:sz w:val="20"/>
          <w:szCs w:val="20"/>
          <w:color w:val="auto"/>
        </w:rPr>
      </w:pPr>
    </w:p>
    <w:p>
      <w:pPr>
        <w:sectPr>
          <w:pgSz w:w="11900" w:h="16838" w:orient="portrait"/>
          <w:cols w:equalWidth="0" w:num="2">
            <w:col w:w="3720" w:space="380"/>
            <w:col w:w="6540"/>
          </w:cols>
          <w:pgMar w:left="760" w:top="1165" w:right="499" w:bottom="1440" w:gutter="0" w:footer="0" w:header="0"/>
        </w:sectPr>
      </w:pPr>
    </w:p>
    <w:p>
      <w:pPr>
        <w:spacing w:after="0" w:line="96" w:lineRule="exact"/>
        <w:rPr>
          <w:sz w:val="20"/>
          <w:szCs w:val="20"/>
          <w:color w:val="auto"/>
        </w:rPr>
      </w:pPr>
    </w:p>
    <w:p>
      <w:pPr>
        <w:ind w:left="5740" w:hanging="604"/>
        <w:spacing w:after="0"/>
        <w:tabs>
          <w:tab w:leader="none" w:pos="5740" w:val="left"/>
        </w:tabs>
        <w:numPr>
          <w:ilvl w:val="0"/>
          <w:numId w:val="30"/>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-123190</wp:posOffset>
            </wp:positionV>
            <wp:extent cx="934085" cy="169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640"/>
          </w:cols>
          <w:pgMar w:left="760" w:top="1165" w:right="4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106680</wp:posOffset>
            </wp:positionV>
            <wp:extent cx="1485900" cy="1485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20"/>
        <w:spacing w:after="0"/>
        <w:rPr>
          <w:sz w:val="20"/>
          <w:szCs w:val="20"/>
          <w:color w:val="auto"/>
        </w:rPr>
      </w:pPr>
      <w:r>
        <w:rPr>
          <w:rFonts w:ascii="Arial" w:cs="Arial" w:eastAsia="Arial" w:hAnsi="Arial"/>
          <w:sz w:val="32"/>
          <w:szCs w:val="32"/>
          <w:b w:val="1"/>
          <w:bCs w:val="1"/>
          <w:color w:val="5D89B4"/>
        </w:rPr>
        <w:t>Julie M. Howard</w:t>
      </w:r>
    </w:p>
    <w:p>
      <w:pPr>
        <w:spacing w:after="0" w:line="167"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5D89B4"/>
        </w:rPr>
        <w:t>Joined the board 2016</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5D89B4"/>
        </w:rPr>
        <w:t>Age 59</w:t>
      </w:r>
    </w:p>
    <w:p>
      <w:pPr>
        <w:spacing w:after="0" w:line="16" w:lineRule="exact"/>
        <w:rPr>
          <w:sz w:val="20"/>
          <w:szCs w:val="20"/>
          <w:color w:val="auto"/>
        </w:rPr>
      </w:pPr>
    </w:p>
    <w:p>
      <w:pPr>
        <w:jc w:val="center"/>
        <w:ind w:left="440"/>
        <w:spacing w:after="0" w:line="260" w:lineRule="auto"/>
        <w:rPr>
          <w:sz w:val="20"/>
          <w:szCs w:val="20"/>
          <w:color w:val="auto"/>
        </w:rPr>
      </w:pPr>
      <w:r>
        <w:rPr>
          <w:rFonts w:ascii="Arial" w:cs="Arial" w:eastAsia="Arial" w:hAnsi="Arial"/>
          <w:sz w:val="23"/>
          <w:szCs w:val="23"/>
          <w:color w:val="auto"/>
        </w:rPr>
        <w:t>Committees: People, Culture and Compensation; Governance and Sustainability</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-1002665</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-416560</wp:posOffset>
            </wp:positionV>
            <wp:extent cx="6929755"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-909320</wp:posOffset>
            </wp:positionV>
            <wp:extent cx="6929755" cy="4076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ind w:left="180" w:right="480" w:hanging="179"/>
        <w:spacing w:after="0" w:line="223" w:lineRule="auto"/>
        <w:tabs>
          <w:tab w:leader="none" w:pos="1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Chief Executive Officer of Riveron Consulting, LLC (“Riveron”), a business advisory firm specializing in accounting, finance, technology, and operations, since March 2021</w:t>
      </w:r>
    </w:p>
    <w:p>
      <w:pPr>
        <w:ind w:left="180" w:right="660" w:hanging="179"/>
        <w:spacing w:after="0" w:line="223" w:lineRule="auto"/>
        <w:tabs>
          <w:tab w:leader="none" w:pos="1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Chief Executive Officer of Navigant Consulting, Inc. (“Navigant”), a specialized global professional services firm, from 2012 to October 2019</w:t>
      </w:r>
    </w:p>
    <w:p>
      <w:pPr>
        <w:ind w:left="140" w:hanging="139"/>
        <w:spacing w:after="0" w:line="223" w:lineRule="auto"/>
        <w:tabs>
          <w:tab w:leader="none" w:pos="1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Chairman of the Board of Navigant from 2014 to October 2019</w:t>
      </w:r>
    </w:p>
    <w:p>
      <w:pPr>
        <w:ind w:left="180" w:right="540" w:hanging="179"/>
        <w:spacing w:after="0" w:line="223" w:lineRule="auto"/>
        <w:tabs>
          <w:tab w:leader="none" w:pos="1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Prior thereto, Ms. Howard held several leadership positions at Navigant including Chief Operating Officer</w:t>
      </w:r>
    </w:p>
    <w:p>
      <w:pPr>
        <w:ind w:left="140" w:hanging="139"/>
        <w:spacing w:after="0" w:line="223" w:lineRule="auto"/>
        <w:tabs>
          <w:tab w:leader="none" w:pos="1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Director of Sleep Number Corporation (since May 2020)</w:t>
      </w:r>
    </w:p>
    <w:p>
      <w:pPr>
        <w:ind w:left="140" w:hanging="139"/>
        <w:spacing w:after="0"/>
        <w:tabs>
          <w:tab w:leader="none" w:pos="1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Former Director of InnerWorkings, Inc. (2012-2019)</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ind w:left="140" w:hanging="139"/>
        <w:spacing w:after="0" w:line="234" w:lineRule="auto"/>
        <w:tabs>
          <w:tab w:leader="none" w:pos="1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Deep knowledge in the global professional services industry</w:t>
      </w:r>
    </w:p>
    <w:p>
      <w:pPr>
        <w:ind w:left="140" w:hanging="139"/>
        <w:spacing w:after="0" w:line="223" w:lineRule="auto"/>
        <w:tabs>
          <w:tab w:leader="none" w:pos="1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Significant managerial, transactional and operational experience</w:t>
      </w:r>
    </w:p>
    <w:p>
      <w:pPr>
        <w:ind w:left="180" w:hanging="179"/>
        <w:spacing w:after="0" w:line="223" w:lineRule="auto"/>
        <w:tabs>
          <w:tab w:leader="none" w:pos="1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Experience with technology and innovation, including with private enterprises and public-sector clients</w:t>
      </w:r>
    </w:p>
    <w:p>
      <w:pPr>
        <w:ind w:left="140" w:hanging="139"/>
        <w:spacing w:after="0"/>
        <w:tabs>
          <w:tab w:leader="none" w:pos="1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Brings an important perspective from her service as a director of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945515</wp:posOffset>
            </wp:positionV>
            <wp:extent cx="4220845" cy="33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1523" w:lineRule="exact"/>
        <w:rPr>
          <w:sz w:val="20"/>
          <w:szCs w:val="20"/>
          <w:color w:val="auto"/>
        </w:rPr>
      </w:pPr>
    </w:p>
    <w:p>
      <w:pPr>
        <w:sectPr>
          <w:pgSz w:w="11900" w:h="16838" w:orient="portrait"/>
          <w:cols w:equalWidth="0" w:num="2">
            <w:col w:w="3840" w:space="540"/>
            <w:col w:w="6480"/>
          </w:cols>
          <w:pgMar w:left="480" w:top="116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60"/>
        <w:spacing w:after="0"/>
        <w:rPr>
          <w:sz w:val="20"/>
          <w:szCs w:val="20"/>
          <w:color w:val="auto"/>
        </w:rPr>
      </w:pPr>
      <w:r>
        <w:rPr>
          <w:rFonts w:ascii="Arial" w:cs="Arial" w:eastAsia="Arial" w:hAnsi="Arial"/>
          <w:sz w:val="32"/>
          <w:szCs w:val="32"/>
          <w:b w:val="1"/>
          <w:bCs w:val="1"/>
          <w:color w:val="5D89B4"/>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-1772920</wp:posOffset>
            </wp:positionV>
            <wp:extent cx="1485900" cy="1485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47" w:lineRule="exact"/>
        <w:rPr>
          <w:sz w:val="20"/>
          <w:szCs w:val="20"/>
          <w:color w:val="auto"/>
        </w:rPr>
      </w:pPr>
    </w:p>
    <w:p>
      <w:pPr>
        <w:jc w:val="center"/>
        <w:ind w:left="280"/>
        <w:spacing w:after="0"/>
        <w:rPr>
          <w:sz w:val="20"/>
          <w:szCs w:val="20"/>
          <w:color w:val="auto"/>
        </w:rPr>
      </w:pPr>
      <w:r>
        <w:rPr>
          <w:rFonts w:ascii="Arial" w:cs="Arial" w:eastAsia="Arial" w:hAnsi="Arial"/>
          <w:sz w:val="23"/>
          <w:szCs w:val="23"/>
          <w:color w:val="5D89B4"/>
        </w:rPr>
        <w:t>Joined the board 2007</w:t>
      </w:r>
    </w:p>
    <w:p>
      <w:pPr>
        <w:spacing w:after="0" w:line="16" w:lineRule="exact"/>
        <w:rPr>
          <w:sz w:val="20"/>
          <w:szCs w:val="20"/>
          <w:color w:val="auto"/>
        </w:rPr>
      </w:pPr>
    </w:p>
    <w:p>
      <w:pPr>
        <w:jc w:val="center"/>
        <w:ind w:left="280"/>
        <w:spacing w:after="0"/>
        <w:rPr>
          <w:sz w:val="20"/>
          <w:szCs w:val="20"/>
          <w:color w:val="auto"/>
        </w:rPr>
      </w:pPr>
      <w:r>
        <w:rPr>
          <w:rFonts w:ascii="Arial" w:cs="Arial" w:eastAsia="Arial" w:hAnsi="Arial"/>
          <w:sz w:val="23"/>
          <w:szCs w:val="23"/>
          <w:color w:val="5D89B4"/>
        </w:rPr>
        <w:t>Age 66</w:t>
      </w:r>
    </w:p>
    <w:p>
      <w:pPr>
        <w:spacing w:after="0" w:line="16" w:lineRule="exact"/>
        <w:rPr>
          <w:sz w:val="20"/>
          <w:szCs w:val="20"/>
          <w:color w:val="auto"/>
        </w:rPr>
      </w:pPr>
    </w:p>
    <w:p>
      <w:pPr>
        <w:jc w:val="center"/>
        <w:ind w:left="280"/>
        <w:spacing w:after="0" w:line="266" w:lineRule="auto"/>
        <w:rPr>
          <w:sz w:val="20"/>
          <w:szCs w:val="20"/>
          <w:color w:val="auto"/>
        </w:rPr>
      </w:pPr>
      <w:r>
        <w:rPr>
          <w:rFonts w:ascii="Arial" w:cs="Arial" w:eastAsia="Arial" w:hAnsi="Arial"/>
          <w:sz w:val="23"/>
          <w:szCs w:val="23"/>
          <w:color w:val="auto"/>
        </w:rPr>
        <w:t>Committees: Audit; Governance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740" w:hanging="179"/>
        <w:spacing w:after="0" w:line="223" w:lineRule="auto"/>
        <w:tabs>
          <w:tab w:leader="none" w:pos="1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President and Managing Member of Addison-Clifton, LLC, a provider of global trade compliance advisory services, since 2004</w:t>
      </w:r>
    </w:p>
    <w:p>
      <w:pPr>
        <w:ind w:left="140" w:hanging="139"/>
        <w:spacing w:after="0" w:line="223" w:lineRule="auto"/>
        <w:tabs>
          <w:tab w:leader="none" w:pos="1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Chief Executive Officer of the Milwaukee Brewers Baseball Club from 2002 to 2003</w:t>
      </w:r>
    </w:p>
    <w:p>
      <w:pPr>
        <w:ind w:left="140" w:hanging="139"/>
        <w:spacing w:after="0" w:line="223" w:lineRule="auto"/>
        <w:tabs>
          <w:tab w:leader="none" w:pos="1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Partner with the law firm Foley &amp; Lardner LLP from 1998 to 2002</w:t>
      </w:r>
    </w:p>
    <w:p>
      <w:pPr>
        <w:ind w:left="140" w:hanging="139"/>
        <w:spacing w:after="0" w:line="223" w:lineRule="auto"/>
        <w:tabs>
          <w:tab w:leader="none" w:pos="1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Director of WEC Energy Group, Inc. (formerly Wisconsin Energy Corporation) (since 2003)</w:t>
      </w:r>
    </w:p>
    <w:p>
      <w:pPr>
        <w:ind w:left="140" w:hanging="139"/>
        <w:spacing w:after="0" w:line="223" w:lineRule="auto"/>
        <w:tabs>
          <w:tab w:leader="none" w:pos="1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Director of Foot Locker, Inc. (since 2016)</w:t>
      </w:r>
    </w:p>
    <w:p>
      <w:pPr>
        <w:ind w:left="140" w:hanging="139"/>
        <w:spacing w:after="0"/>
        <w:tabs>
          <w:tab w:leader="none" w:pos="1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Former Trustee of The Northwestern Mutual Life Insurance Company (2005-2018)</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80" w:hanging="179"/>
        <w:spacing w:after="0" w:line="223" w:lineRule="auto"/>
        <w:tabs>
          <w:tab w:leader="none" w:pos="1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Significant managerial, operational, financial and global experience as a result of many senior positions he has held including as President of Addison-Clifton, LLC</w:t>
      </w:r>
    </w:p>
    <w:p>
      <w:pPr>
        <w:ind w:left="140" w:hanging="139"/>
        <w:spacing w:after="0" w:line="223" w:lineRule="auto"/>
        <w:tabs>
          <w:tab w:leader="none" w:pos="1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Deep understanding of global business trends and international business</w:t>
      </w:r>
    </w:p>
    <w:p>
      <w:pPr>
        <w:ind w:left="140" w:hanging="139"/>
        <w:spacing w:after="0"/>
        <w:tabs>
          <w:tab w:leader="none" w:pos="1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Brings an important perspective from his service as a director of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1115695</wp:posOffset>
            </wp:positionV>
            <wp:extent cx="69297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31" w:lineRule="exact"/>
        <w:rPr>
          <w:sz w:val="20"/>
          <w:szCs w:val="20"/>
          <w:color w:val="auto"/>
        </w:rPr>
      </w:pPr>
    </w:p>
    <w:p>
      <w:pPr>
        <w:sectPr>
          <w:pgSz w:w="11900" w:h="16838" w:orient="portrait"/>
          <w:cols w:equalWidth="0" w:num="2">
            <w:col w:w="4000" w:space="380"/>
            <w:col w:w="6480"/>
          </w:cols>
          <w:pgMar w:left="480" w:top="1165" w:right="559" w:bottom="1440" w:gutter="0" w:footer="0" w:header="0"/>
          <w:type w:val="continuous"/>
        </w:sectPr>
      </w:pPr>
    </w:p>
    <w:p>
      <w:pPr>
        <w:spacing w:after="0" w:line="162" w:lineRule="exact"/>
        <w:rPr>
          <w:sz w:val="20"/>
          <w:szCs w:val="20"/>
          <w:color w:val="auto"/>
        </w:rPr>
      </w:pPr>
    </w:p>
    <w:p>
      <w:pPr>
        <w:ind w:left="6020" w:hanging="604"/>
        <w:spacing w:after="0"/>
        <w:tabs>
          <w:tab w:leader="none" w:pos="6020" w:val="left"/>
        </w:tabs>
        <w:numPr>
          <w:ilvl w:val="0"/>
          <w:numId w:val="35"/>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60"/>
          </w:cols>
          <w:pgMar w:left="480" w:top="1165" w:right="55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920750</wp:posOffset>
            </wp:positionH>
            <wp:positionV relativeFrom="page">
              <wp:posOffset>963930</wp:posOffset>
            </wp:positionV>
            <wp:extent cx="1485900" cy="1485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5D89B4"/>
        </w:rPr>
        <w:t>Jonas Prising</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23"/>
          <w:szCs w:val="23"/>
          <w:color w:val="5D89B4"/>
        </w:rPr>
        <w:t>Joined the board 2014</w:t>
      </w:r>
    </w:p>
    <w:p>
      <w:pPr>
        <w:spacing w:after="0" w:line="16" w:lineRule="exact"/>
        <w:rPr>
          <w:sz w:val="20"/>
          <w:szCs w:val="20"/>
          <w:color w:val="auto"/>
        </w:rPr>
      </w:pPr>
    </w:p>
    <w:p>
      <w:pPr>
        <w:jc w:val="center"/>
        <w:ind w:right="180"/>
        <w:spacing w:after="0"/>
        <w:rPr>
          <w:sz w:val="20"/>
          <w:szCs w:val="20"/>
          <w:color w:val="auto"/>
        </w:rPr>
      </w:pPr>
      <w:r>
        <w:rPr>
          <w:rFonts w:ascii="Arial" w:cs="Arial" w:eastAsia="Arial" w:hAnsi="Arial"/>
          <w:sz w:val="23"/>
          <w:szCs w:val="23"/>
          <w:color w:val="5D89B4"/>
        </w:rPr>
        <w:t>Age 57</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3"/>
          <w:szCs w:val="23"/>
          <w:color w:val="auto"/>
        </w:rPr>
        <w:t>Committees: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755015</wp:posOffset>
            </wp:positionV>
            <wp:extent cx="1485900" cy="1485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5D89B4"/>
        </w:rPr>
        <w:t>Paul Read</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23"/>
          <w:szCs w:val="23"/>
          <w:color w:val="5D89B4"/>
        </w:rPr>
        <w:t>Joined the board 2014</w:t>
      </w:r>
    </w:p>
    <w:p>
      <w:pPr>
        <w:spacing w:after="0" w:line="16" w:lineRule="exact"/>
        <w:rPr>
          <w:sz w:val="20"/>
          <w:szCs w:val="20"/>
          <w:color w:val="auto"/>
        </w:rPr>
      </w:pPr>
    </w:p>
    <w:p>
      <w:pPr>
        <w:jc w:val="center"/>
        <w:ind w:right="180"/>
        <w:spacing w:after="0"/>
        <w:rPr>
          <w:sz w:val="20"/>
          <w:szCs w:val="20"/>
          <w:color w:val="auto"/>
        </w:rPr>
      </w:pPr>
      <w:r>
        <w:rPr>
          <w:rFonts w:ascii="Arial" w:cs="Arial" w:eastAsia="Arial" w:hAnsi="Arial"/>
          <w:sz w:val="23"/>
          <w:szCs w:val="23"/>
          <w:color w:val="5D89B4"/>
        </w:rPr>
        <w:t>Age 55</w:t>
      </w:r>
    </w:p>
    <w:p>
      <w:pPr>
        <w:spacing w:after="0" w:line="16" w:lineRule="exact"/>
        <w:rPr>
          <w:sz w:val="20"/>
          <w:szCs w:val="20"/>
          <w:color w:val="auto"/>
        </w:rPr>
      </w:pPr>
    </w:p>
    <w:p>
      <w:pPr>
        <w:spacing w:after="0"/>
        <w:rPr>
          <w:sz w:val="20"/>
          <w:szCs w:val="20"/>
          <w:color w:val="auto"/>
        </w:rPr>
      </w:pPr>
      <w:r>
        <w:rPr>
          <w:rFonts w:ascii="Arial" w:cs="Arial" w:eastAsia="Arial" w:hAnsi="Arial"/>
          <w:sz w:val="23"/>
          <w:szCs w:val="23"/>
          <w:color w:val="auto"/>
        </w:rPr>
        <w:t>Committees: Audit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-767080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-180975</wp:posOffset>
            </wp:positionV>
            <wp:extent cx="6929755" cy="33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-673735</wp:posOffset>
            </wp:positionV>
            <wp:extent cx="6929755" cy="4076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ind w:left="140" w:hanging="139"/>
        <w:spacing w:after="0" w:line="234" w:lineRule="auto"/>
        <w:tabs>
          <w:tab w:leader="none" w:pos="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Chief Executive Officer of ManpowerGroup since 2014</w:t>
      </w:r>
    </w:p>
    <w:p>
      <w:pPr>
        <w:ind w:left="140" w:hanging="139"/>
        <w:spacing w:after="0" w:line="223" w:lineRule="auto"/>
        <w:tabs>
          <w:tab w:leader="none" w:pos="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Chairman of ManpowerGroup since 2015</w:t>
      </w:r>
    </w:p>
    <w:p>
      <w:pPr>
        <w:ind w:left="140" w:hanging="139"/>
        <w:spacing w:after="0" w:line="223" w:lineRule="auto"/>
        <w:tabs>
          <w:tab w:leader="none" w:pos="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ManpowerGroup President from 2012 to 2014</w:t>
      </w:r>
    </w:p>
    <w:p>
      <w:pPr>
        <w:ind w:left="140" w:hanging="139"/>
        <w:spacing w:after="0" w:line="223" w:lineRule="auto"/>
        <w:tabs>
          <w:tab w:leader="none" w:pos="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Executive Vice President, President of ManpowerGroup - The Americas from 2009 to 2012</w:t>
      </w:r>
    </w:p>
    <w:p>
      <w:pPr>
        <w:ind w:left="180" w:right="640" w:hanging="179"/>
        <w:spacing w:after="0" w:line="223" w:lineRule="auto"/>
        <w:tabs>
          <w:tab w:leader="none" w:pos="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Executive Vice President, President of ManpowerGroup - United States and Canadian Operations from 2006 to 2008</w:t>
      </w:r>
    </w:p>
    <w:p>
      <w:pPr>
        <w:ind w:left="140" w:hanging="139"/>
        <w:spacing w:after="0" w:line="223" w:lineRule="auto"/>
        <w:tabs>
          <w:tab w:leader="none" w:pos="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Prior thereto, held other positions with increasing responsibility at ManpowerGroup since 1999</w:t>
      </w:r>
    </w:p>
    <w:p>
      <w:pPr>
        <w:ind w:left="140" w:hanging="139"/>
        <w:spacing w:after="0"/>
        <w:tabs>
          <w:tab w:leader="none" w:pos="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Director of Kohl’s Corporation (since 2015)</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220" w:hanging="179"/>
        <w:spacing w:after="0" w:line="223"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Extensive and specific knowledge of ManpowerGroup and its operations, including playing a significant role in shaping the Company’s long-term business strategy</w:t>
      </w:r>
    </w:p>
    <w:p>
      <w:pPr>
        <w:ind w:left="140" w:hanging="139"/>
        <w:spacing w:after="0" w:line="223"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Brings a deep understanding of our industry and the competitive environment</w:t>
      </w:r>
    </w:p>
    <w:p>
      <w:pPr>
        <w:ind w:left="180" w:right="260" w:hanging="179"/>
        <w:spacing w:after="0" w:line="237" w:lineRule="auto"/>
        <w:tabs>
          <w:tab w:leader="none" w:pos="1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Provides a global perspective and strong knowledge of the relevant marketplaces in Europe and Asia, as well as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941070</wp:posOffset>
            </wp:positionV>
            <wp:extent cx="4220845" cy="3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500" w:hanging="179"/>
        <w:spacing w:after="0" w:line="223" w:lineRule="auto"/>
        <w:tabs>
          <w:tab w:leader="none" w:pos="1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President and Chief Operating Officer of Ingram Micro, Inc., a technology distributor and supply-chain services provider, from 2013 to 2016</w:t>
      </w:r>
    </w:p>
    <w:p>
      <w:pPr>
        <w:ind w:left="180" w:right="140" w:hanging="179"/>
        <w:spacing w:after="0" w:line="237" w:lineRule="auto"/>
        <w:tabs>
          <w:tab w:leader="none" w:pos="1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Chief Financial Officer of Flextronics International, Ltd., an electronics manufacturing services provider, from 2008 to 2013</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140" w:hanging="179"/>
        <w:spacing w:after="0" w:line="223" w:lineRule="auto"/>
        <w:tabs>
          <w:tab w:leader="none" w:pos="1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Significant managerial, operational and global experience as a result of many senior positions he has held, including his tenure as President and Chief Operating Officer of Ingram Micro, Inc.</w:t>
      </w:r>
    </w:p>
    <w:p>
      <w:pPr>
        <w:ind w:left="140" w:hanging="139"/>
        <w:spacing w:after="0" w:line="223" w:lineRule="auto"/>
        <w:tabs>
          <w:tab w:leader="none" w:pos="1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Extensive background in finance and accounting matters</w:t>
      </w:r>
    </w:p>
    <w:p>
      <w:pPr>
        <w:ind w:left="140" w:hanging="139"/>
        <w:spacing w:after="0"/>
        <w:tabs>
          <w:tab w:leader="none" w:pos="1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Extensive information security and technology industry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1226185</wp:posOffset>
            </wp:positionV>
            <wp:extent cx="6929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4" w:lineRule="exact"/>
        <w:rPr>
          <w:sz w:val="20"/>
          <w:szCs w:val="20"/>
          <w:color w:val="auto"/>
        </w:rPr>
      </w:pPr>
    </w:p>
    <w:p>
      <w:pPr>
        <w:sectPr>
          <w:pgSz w:w="11900" w:h="16838" w:orient="portrait"/>
          <w:cols w:equalWidth="0" w:num="2">
            <w:col w:w="2860" w:space="720"/>
            <w:col w:w="6540"/>
          </w:cols>
          <w:pgMar w:left="1280" w:top="1165" w:right="499" w:bottom="1440" w:gutter="0" w:footer="0" w:header="0"/>
        </w:sectPr>
      </w:pPr>
    </w:p>
    <w:p>
      <w:pPr>
        <w:spacing w:after="0" w:line="203" w:lineRule="exact"/>
        <w:rPr>
          <w:sz w:val="20"/>
          <w:szCs w:val="20"/>
          <w:color w:val="auto"/>
        </w:rPr>
      </w:pPr>
    </w:p>
    <w:p>
      <w:pPr>
        <w:ind w:left="5220" w:hanging="604"/>
        <w:spacing w:after="0"/>
        <w:tabs>
          <w:tab w:leader="none" w:pos="5220" w:val="left"/>
        </w:tabs>
        <w:numPr>
          <w:ilvl w:val="0"/>
          <w:numId w:val="40"/>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-123190</wp:posOffset>
            </wp:positionV>
            <wp:extent cx="934085" cy="169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120"/>
          </w:cols>
          <w:pgMar w:left="1280" w:top="1165" w:right="4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106680</wp:posOffset>
            </wp:positionV>
            <wp:extent cx="1485900" cy="14859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440"/>
        <w:spacing w:after="0"/>
        <w:rPr>
          <w:sz w:val="20"/>
          <w:szCs w:val="20"/>
          <w:color w:val="auto"/>
        </w:rPr>
      </w:pPr>
      <w:r>
        <w:rPr>
          <w:rFonts w:ascii="Arial" w:cs="Arial" w:eastAsia="Arial" w:hAnsi="Arial"/>
          <w:sz w:val="32"/>
          <w:szCs w:val="32"/>
          <w:b w:val="1"/>
          <w:bCs w:val="1"/>
          <w:color w:val="5D89B4"/>
        </w:rPr>
        <w:t>Elizabeth P. Sartain</w:t>
      </w:r>
    </w:p>
    <w:p>
      <w:pPr>
        <w:spacing w:after="0" w:line="167"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5D89B4"/>
        </w:rPr>
        <w:t>Joined the board 2010</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5D89B4"/>
        </w:rPr>
        <w:t>Age 67</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auto"/>
        </w:rPr>
        <w:t>Committees: People, Culture and</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auto"/>
        </w:rPr>
        <w:t>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1434465</wp:posOffset>
            </wp:positionV>
            <wp:extent cx="1485900" cy="1485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440"/>
        <w:spacing w:after="0"/>
        <w:rPr>
          <w:sz w:val="20"/>
          <w:szCs w:val="20"/>
          <w:color w:val="auto"/>
        </w:rPr>
      </w:pPr>
      <w:r>
        <w:rPr>
          <w:rFonts w:ascii="Arial" w:cs="Arial" w:eastAsia="Arial" w:hAnsi="Arial"/>
          <w:sz w:val="32"/>
          <w:szCs w:val="32"/>
          <w:b w:val="1"/>
          <w:bCs w:val="1"/>
          <w:color w:val="5D89B4"/>
        </w:rPr>
        <w:t>Michael J. Van Handel</w:t>
      </w:r>
    </w:p>
    <w:p>
      <w:pPr>
        <w:spacing w:after="0" w:line="167"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5D89B4"/>
        </w:rPr>
        <w:t>Joined the board 2017</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5D89B4"/>
        </w:rPr>
        <w:t>Age 62</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auto"/>
        </w:rPr>
        <w:t>Committees: Governance and</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23"/>
          <w:szCs w:val="23"/>
          <w:color w:val="auto"/>
        </w:rPr>
        <w:t>Sustainability</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-1002665</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-416560</wp:posOffset>
            </wp:positionV>
            <wp:extent cx="6929755" cy="336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-909320</wp:posOffset>
            </wp:positionV>
            <wp:extent cx="6929755" cy="407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ind w:left="140" w:hanging="139"/>
        <w:spacing w:after="0" w:line="234" w:lineRule="auto"/>
        <w:tabs>
          <w:tab w:leader="none" w:pos="1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Independent Human Resource Advisor and Consultant since 2008</w:t>
      </w:r>
    </w:p>
    <w:p>
      <w:pPr>
        <w:ind w:left="140" w:hanging="139"/>
        <w:spacing w:after="0" w:line="223" w:lineRule="auto"/>
        <w:tabs>
          <w:tab w:leader="none" w:pos="1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Executive Vice President and Chief People Officer at Yahoo! Inc. from 2001 to 2008</w:t>
      </w:r>
    </w:p>
    <w:p>
      <w:pPr>
        <w:ind w:left="140" w:hanging="139"/>
        <w:spacing w:after="0" w:line="223" w:lineRule="auto"/>
        <w:tabs>
          <w:tab w:leader="none" w:pos="1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 executive with Southwest Airlines serving in various positions from 1988 to 2001</w:t>
      </w:r>
    </w:p>
    <w:p>
      <w:pPr>
        <w:ind w:left="140" w:hanging="139"/>
        <w:spacing w:after="0"/>
        <w:tabs>
          <w:tab w:leader="none" w:pos="1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Former Director of Shutterfly Inc. (2016 to 2019)</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ind w:left="140" w:hanging="139"/>
        <w:spacing w:after="0" w:line="234" w:lineRule="auto"/>
        <w:tabs>
          <w:tab w:leader="none" w:pos="1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Experience in executive compensation, organizational design and human capital management</w:t>
      </w:r>
    </w:p>
    <w:p>
      <w:pPr>
        <w:ind w:left="180" w:right="80" w:hanging="179"/>
        <w:spacing w:after="0" w:line="223" w:lineRule="auto"/>
        <w:tabs>
          <w:tab w:leader="none" w:pos="1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Significant human resources experience as a result of senior management positions she held at several prominent companies</w:t>
      </w:r>
    </w:p>
    <w:p>
      <w:pPr>
        <w:ind w:left="180" w:hanging="179"/>
        <w:spacing w:after="0" w:line="237" w:lineRule="auto"/>
        <w:tabs>
          <w:tab w:leader="none" w:pos="1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Brings an important perspective gained from her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2205990</wp:posOffset>
            </wp:positionV>
            <wp:extent cx="4220845"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ind w:left="140" w:hanging="139"/>
        <w:spacing w:after="0" w:line="234" w:lineRule="auto"/>
        <w:tabs>
          <w:tab w:leader="none" w:pos="1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Senior Executive Vice President of ManpowerGroup from 2016 to February 2017</w:t>
      </w:r>
    </w:p>
    <w:p>
      <w:pPr>
        <w:ind w:left="140" w:hanging="139"/>
        <w:spacing w:after="0" w:line="223" w:lineRule="auto"/>
        <w:tabs>
          <w:tab w:leader="none" w:pos="1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Chief Financial Officer of ManpowerGroup from 1998 to 2016</w:t>
      </w:r>
    </w:p>
    <w:p>
      <w:pPr>
        <w:ind w:left="140" w:hanging="139"/>
        <w:spacing w:after="0" w:line="223" w:lineRule="auto"/>
        <w:tabs>
          <w:tab w:leader="none" w:pos="1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Several other senior finance and accounting positions within ManpowerGroup since 1989</w:t>
      </w:r>
    </w:p>
    <w:p>
      <w:pPr>
        <w:ind w:left="140" w:hanging="139"/>
        <w:spacing w:after="0" w:line="223" w:lineRule="auto"/>
        <w:tabs>
          <w:tab w:leader="none" w:pos="1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Director of BMO Financial Corporation, a subsidiary of BMO Financial Group (since 2006)</w:t>
      </w:r>
    </w:p>
    <w:p>
      <w:pPr>
        <w:ind w:left="140" w:hanging="139"/>
        <w:spacing w:after="0"/>
        <w:tabs>
          <w:tab w:leader="none" w:pos="1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Director of ICF International (since 2017)</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580" w:hanging="179"/>
        <w:spacing w:after="0" w:line="223" w:lineRule="auto"/>
        <w:tabs>
          <w:tab w:leader="none" w:pos="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Deep knowledge of ManpowerGroup developed over many years of experience at the Company, including nearly two decades as CFO</w:t>
      </w:r>
    </w:p>
    <w:p>
      <w:pPr>
        <w:ind w:left="180" w:right="40" w:hanging="179"/>
        <w:spacing w:after="0" w:line="223" w:lineRule="auto"/>
        <w:tabs>
          <w:tab w:leader="none" w:pos="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Significant managerial, operational, transactional and financial markets experience relevant to our business</w:t>
      </w:r>
    </w:p>
    <w:p>
      <w:pPr>
        <w:ind w:left="180" w:right="20" w:hanging="179"/>
        <w:spacing w:after="0" w:line="237" w:lineRule="auto"/>
        <w:tabs>
          <w:tab w:leader="none" w:pos="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Brings an important perspective gained from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1068070</wp:posOffset>
            </wp:positionV>
            <wp:extent cx="692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82" w:lineRule="exact"/>
        <w:rPr>
          <w:sz w:val="20"/>
          <w:szCs w:val="20"/>
          <w:color w:val="auto"/>
        </w:rPr>
      </w:pPr>
    </w:p>
    <w:p>
      <w:pPr>
        <w:sectPr>
          <w:pgSz w:w="11900" w:h="16838" w:orient="portrait"/>
          <w:cols w:equalWidth="0" w:num="2">
            <w:col w:w="3840" w:space="540"/>
            <w:col w:w="6460"/>
          </w:cols>
          <w:pgMar w:left="480" w:top="1165" w:right="579" w:bottom="1440" w:gutter="0" w:footer="0" w:header="0"/>
        </w:sectPr>
      </w:pPr>
    </w:p>
    <w:p>
      <w:pPr>
        <w:spacing w:after="0" w:line="136" w:lineRule="exact"/>
        <w:rPr>
          <w:sz w:val="20"/>
          <w:szCs w:val="20"/>
          <w:color w:val="auto"/>
        </w:rPr>
      </w:pPr>
    </w:p>
    <w:p>
      <w:pPr>
        <w:ind w:left="6020" w:hanging="604"/>
        <w:spacing w:after="0"/>
        <w:tabs>
          <w:tab w:leader="none" w:pos="6020" w:val="left"/>
        </w:tabs>
        <w:numPr>
          <w:ilvl w:val="0"/>
          <w:numId w:val="45"/>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40"/>
          </w:cols>
          <w:pgMar w:left="480" w:top="1165" w:right="579" w:bottom="1440" w:gutter="0" w:footer="0" w:header="0"/>
          <w:type w:val="continuous"/>
        </w:sectPr>
      </w:pPr>
    </w:p>
    <w:bookmarkStart w:id="18" w:name="page19"/>
    <w:bookmarkEnd w:id="18"/>
    <w:p>
      <w:pPr>
        <w:ind w:left="8120"/>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DIRECTOR NOMINEE BIOGRAPHIES</w:t>
      </w:r>
    </w:p>
    <w:p>
      <w:pPr>
        <w:spacing w:after="0" w:line="165" w:lineRule="exact"/>
        <w:rPr>
          <w:sz w:val="20"/>
          <w:szCs w:val="20"/>
          <w:color w:val="auto"/>
        </w:rPr>
      </w:pPr>
    </w:p>
    <w:p>
      <w:pPr>
        <w:ind w:right="380"/>
        <w:spacing w:after="0" w:line="237" w:lineRule="auto"/>
        <w:rPr>
          <w:sz w:val="20"/>
          <w:szCs w:val="20"/>
          <w:color w:val="auto"/>
        </w:rPr>
      </w:pPr>
      <w:r>
        <w:rPr>
          <w:rFonts w:ascii="Arial" w:cs="Arial" w:eastAsia="Arial" w:hAnsi="Arial"/>
          <w:sz w:val="15"/>
          <w:szCs w:val="15"/>
          <w:color w:val="auto"/>
        </w:rPr>
        <w:t>Each director attended at least 75% of the board meetings and meetings of committees on which he or she served in 2021. The board of directors held seven meetings during 2021. The board of directors did not take any action by written consent during 2021.</w:t>
      </w:r>
    </w:p>
    <w:p>
      <w:pPr>
        <w:spacing w:after="0" w:line="127" w:lineRule="exact"/>
        <w:rPr>
          <w:sz w:val="20"/>
          <w:szCs w:val="20"/>
          <w:color w:val="auto"/>
        </w:rPr>
      </w:pPr>
    </w:p>
    <w:p>
      <w:pPr>
        <w:ind w:right="80"/>
        <w:spacing w:after="0" w:line="237" w:lineRule="auto"/>
        <w:rPr>
          <w:sz w:val="20"/>
          <w:szCs w:val="20"/>
          <w:color w:val="auto"/>
        </w:rPr>
      </w:pPr>
      <w:r>
        <w:rPr>
          <w:rFonts w:ascii="Arial" w:cs="Arial" w:eastAsia="Arial" w:hAnsi="Arial"/>
          <w:sz w:val="15"/>
          <w:szCs w:val="15"/>
          <w:color w:val="auto"/>
        </w:rPr>
        <w:t>Under the Company’s corporate governance guidelines, an individual cannot be nominated for election to the board of directors after his or her 72nd birthday. Any director who turns 72 during his or her normal term will continue in office until the expiration of that term.</w:t>
      </w:r>
    </w:p>
    <w:p>
      <w:pPr>
        <w:spacing w:after="0" w:line="127" w:lineRule="exact"/>
        <w:rPr>
          <w:sz w:val="20"/>
          <w:szCs w:val="20"/>
          <w:color w:val="auto"/>
        </w:rPr>
      </w:pPr>
    </w:p>
    <w:p>
      <w:pPr>
        <w:ind w:right="60"/>
        <w:spacing w:after="0" w:line="228" w:lineRule="auto"/>
        <w:rPr>
          <w:sz w:val="20"/>
          <w:szCs w:val="20"/>
          <w:color w:val="auto"/>
        </w:rPr>
      </w:pPr>
      <w:r>
        <w:rPr>
          <w:rFonts w:ascii="Arial" w:cs="Arial" w:eastAsia="Arial" w:hAnsi="Arial"/>
          <w:sz w:val="15"/>
          <w:szCs w:val="15"/>
          <w:color w:val="auto"/>
        </w:rPr>
        <w:t>Under ManpowerGroup’s bylaws, nominations, other than those made by the board of directors or the governance and sustainability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13" w:lineRule="exact"/>
        <w:rPr>
          <w:sz w:val="20"/>
          <w:szCs w:val="20"/>
          <w:color w:val="auto"/>
        </w:rPr>
      </w:pPr>
    </w:p>
    <w:p>
      <w:pPr>
        <w:ind w:right="200"/>
        <w:spacing w:after="0" w:line="232" w:lineRule="auto"/>
        <w:rPr>
          <w:sz w:val="20"/>
          <w:szCs w:val="20"/>
          <w:color w:val="auto"/>
        </w:rPr>
      </w:pPr>
      <w:r>
        <w:rPr>
          <w:rFonts w:ascii="Arial" w:cs="Arial" w:eastAsia="Arial" w:hAnsi="Arial"/>
          <w:sz w:val="15"/>
          <w:szCs w:val="15"/>
          <w:color w:val="auto"/>
        </w:rPr>
        <w:t>In addition to satisfying the foregoing requirements under our bylaws, to comply with the universal proxy rules for annual shareholder meetings held after August 31, 2022, shareholders who intend to solicit proxies in support of director nominees other than the Company’s nominees must generally provide notice no later than 60 days prior to the anniversary of the previous year’s annual meeting date in accordance with Rule 14a-19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92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20"/>
          <w:szCs w:val="20"/>
          <w:b w:val="1"/>
          <w:bCs w:val="1"/>
          <w:color w:val="5D89B4"/>
        </w:rPr>
        <w:t>7</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19" w:name="page20"/>
    <w:bookmarkEnd w:id="19"/>
    <w:p>
      <w:pPr>
        <w:spacing w:after="0"/>
        <w:rPr>
          <w:sz w:val="20"/>
          <w:szCs w:val="20"/>
          <w:color w:val="auto"/>
        </w:rPr>
      </w:pPr>
      <w:r>
        <w:rPr>
          <w:rFonts w:ascii="Arial" w:cs="Arial" w:eastAsia="Arial" w:hAnsi="Arial"/>
          <w:sz w:val="39"/>
          <w:szCs w:val="39"/>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Composition and Qualifications of Board Members</w:t>
      </w:r>
    </w:p>
    <w:p>
      <w:pPr>
        <w:spacing w:after="0" w:line="368" w:lineRule="exact"/>
        <w:rPr>
          <w:sz w:val="20"/>
          <w:szCs w:val="20"/>
          <w:color w:val="auto"/>
        </w:rPr>
      </w:pPr>
    </w:p>
    <w:p>
      <w:pPr>
        <w:ind w:right="100"/>
        <w:spacing w:after="0" w:line="232" w:lineRule="auto"/>
        <w:rPr>
          <w:sz w:val="20"/>
          <w:szCs w:val="20"/>
          <w:color w:val="auto"/>
        </w:rPr>
      </w:pPr>
      <w:r>
        <w:rPr>
          <w:rFonts w:ascii="Arial" w:cs="Arial" w:eastAsia="Arial" w:hAnsi="Arial"/>
          <w:sz w:val="15"/>
          <w:szCs w:val="15"/>
          <w:color w:val="auto"/>
        </w:rPr>
        <w:t>In connection with its consideration of possible candidates for board membership, the governance and sustainability committee also has identified areas of experience that members of the board should as a goal collectively possess. The below graphic lists these skills and attributes for each of the 12 nominees, and shows which ones each nominee has identified as being part of his or her own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6929755" cy="747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74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5D89B4"/>
        </w:rPr>
        <w:t>SKILLS, ATTRIBUTES &amp;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-93345</wp:posOffset>
            </wp:positionV>
            <wp:extent cx="4933950" cy="144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33950" cy="144145"/>
                    </a:xfrm>
                    <a:prstGeom prst="rect">
                      <a:avLst/>
                    </a:prstGeom>
                    <a:noFill/>
                  </pic:spPr>
                </pic:pic>
              </a:graphicData>
            </a:graphic>
          </wp:anchor>
        </w:drawing>
      </w:r>
    </w:p>
    <w:p>
      <w:pPr>
        <w:spacing w:after="0" w:line="113" w:lineRule="exact"/>
        <w:rPr>
          <w:sz w:val="20"/>
          <w:szCs w:val="20"/>
          <w:color w:val="auto"/>
        </w:rPr>
      </w:pPr>
    </w:p>
    <w:p>
      <w:pPr>
        <w:ind w:left="80" w:right="8040"/>
        <w:spacing w:after="0" w:line="281" w:lineRule="auto"/>
        <w:rPr>
          <w:sz w:val="20"/>
          <w:szCs w:val="20"/>
          <w:color w:val="auto"/>
        </w:rPr>
      </w:pPr>
      <w:r>
        <w:rPr>
          <w:rFonts w:ascii="Arial" w:cs="Arial" w:eastAsia="Arial" w:hAnsi="Arial"/>
          <w:sz w:val="14"/>
          <w:szCs w:val="14"/>
          <w:b w:val="1"/>
          <w:bCs w:val="1"/>
          <w:color w:val="5D89B4"/>
        </w:rPr>
        <w:t xml:space="preserve">Previous Board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serving as a</w:t>
      </w:r>
      <w:r>
        <w:rPr>
          <w:rFonts w:ascii="Arial" w:cs="Arial" w:eastAsia="Arial" w:hAnsi="Arial"/>
          <w:sz w:val="14"/>
          <w:szCs w:val="14"/>
          <w:b w:val="1"/>
          <w:bCs w:val="1"/>
          <w:color w:val="5D89B4"/>
        </w:rPr>
        <w:t xml:space="preserve"> </w:t>
      </w:r>
      <w:r>
        <w:rPr>
          <w:rFonts w:ascii="Arial" w:cs="Arial" w:eastAsia="Arial" w:hAnsi="Arial"/>
          <w:sz w:val="14"/>
          <w:szCs w:val="14"/>
          <w:color w:val="000000"/>
        </w:rPr>
        <w:t>director of another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-162560</wp:posOffset>
            </wp:positionV>
            <wp:extent cx="5080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-162560</wp:posOffset>
            </wp:positionV>
            <wp:extent cx="5080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-162560</wp:posOffset>
            </wp:positionV>
            <wp:extent cx="50800"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-162560</wp:posOffset>
            </wp:positionV>
            <wp:extent cx="5080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-162560</wp:posOffset>
            </wp:positionV>
            <wp:extent cx="5080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-162560</wp:posOffset>
            </wp:positionV>
            <wp:extent cx="50800"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-162560</wp:posOffset>
            </wp:positionV>
            <wp:extent cx="50800"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-162560</wp:posOffset>
            </wp:positionV>
            <wp:extent cx="50800"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-162560</wp:posOffset>
            </wp:positionV>
            <wp:extent cx="5080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-162560</wp:posOffset>
            </wp:positionV>
            <wp:extent cx="5080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5080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-162560</wp:posOffset>
            </wp:positionV>
            <wp:extent cx="5080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58" w:lineRule="exact"/>
        <w:rPr>
          <w:sz w:val="20"/>
          <w:szCs w:val="20"/>
          <w:color w:val="auto"/>
        </w:rPr>
      </w:pPr>
    </w:p>
    <w:p>
      <w:pPr>
        <w:ind w:left="80" w:right="7720"/>
        <w:spacing w:after="0" w:line="260" w:lineRule="auto"/>
        <w:rPr>
          <w:sz w:val="20"/>
          <w:szCs w:val="20"/>
          <w:color w:val="auto"/>
        </w:rPr>
      </w:pPr>
      <w:r>
        <w:rPr>
          <w:rFonts w:ascii="Arial" w:cs="Arial" w:eastAsia="Arial" w:hAnsi="Arial"/>
          <w:sz w:val="14"/>
          <w:szCs w:val="14"/>
          <w:b w:val="1"/>
          <w:bCs w:val="1"/>
          <w:color w:val="5D89B4"/>
        </w:rPr>
        <w:t xml:space="preserve">International Business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in diverse</w:t>
      </w:r>
      <w:r>
        <w:rPr>
          <w:rFonts w:ascii="Arial" w:cs="Arial" w:eastAsia="Arial" w:hAnsi="Arial"/>
          <w:sz w:val="14"/>
          <w:szCs w:val="14"/>
          <w:b w:val="1"/>
          <w:bCs w:val="1"/>
          <w:color w:val="5D89B4"/>
        </w:rPr>
        <w:t xml:space="preserve"> </w:t>
      </w:r>
      <w:r>
        <w:rPr>
          <w:rFonts w:ascii="Arial" w:cs="Arial" w:eastAsia="Arial" w:hAnsi="Arial"/>
          <w:sz w:val="14"/>
          <w:szCs w:val="14"/>
          <w:color w:val="000000"/>
        </w:rPr>
        <w:t>geographic, political and regulatory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6929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-204470</wp:posOffset>
            </wp:positionV>
            <wp:extent cx="5080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-204470</wp:posOffset>
            </wp:positionV>
            <wp:extent cx="5080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-204470</wp:posOffset>
            </wp:positionV>
            <wp:extent cx="5080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-204470</wp:posOffset>
            </wp:positionV>
            <wp:extent cx="50800"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-204470</wp:posOffset>
            </wp:positionV>
            <wp:extent cx="50800"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-204470</wp:posOffset>
            </wp:positionV>
            <wp:extent cx="50800"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-204470</wp:posOffset>
            </wp:positionV>
            <wp:extent cx="5080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-204470</wp:posOffset>
            </wp:positionV>
            <wp:extent cx="5080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-204470</wp:posOffset>
            </wp:positionV>
            <wp:extent cx="50800"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-204470</wp:posOffset>
            </wp:positionV>
            <wp:extent cx="50800"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-204470</wp:posOffset>
            </wp:positionV>
            <wp:extent cx="5080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80" w:right="7720"/>
        <w:spacing w:after="0" w:line="281" w:lineRule="auto"/>
        <w:rPr>
          <w:sz w:val="20"/>
          <w:szCs w:val="20"/>
          <w:color w:val="auto"/>
        </w:rPr>
      </w:pPr>
      <w:r>
        <w:rPr>
          <w:rFonts w:ascii="Arial" w:cs="Arial" w:eastAsia="Arial" w:hAnsi="Arial"/>
          <w:sz w:val="14"/>
          <w:szCs w:val="14"/>
          <w:b w:val="1"/>
          <w:bCs w:val="1"/>
          <w:color w:val="5D89B4"/>
        </w:rPr>
        <w:t xml:space="preserve">Corporate Governance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Supports our goals of</w:t>
      </w:r>
      <w:r>
        <w:rPr>
          <w:rFonts w:ascii="Arial" w:cs="Arial" w:eastAsia="Arial" w:hAnsi="Arial"/>
          <w:sz w:val="14"/>
          <w:szCs w:val="14"/>
          <w:b w:val="1"/>
          <w:bCs w:val="1"/>
          <w:color w:val="5D89B4"/>
        </w:rPr>
        <w:t xml:space="preserve"> </w:t>
      </w:r>
      <w:r>
        <w:rPr>
          <w:rFonts w:ascii="Arial" w:cs="Arial" w:eastAsia="Arial" w:hAnsi="Arial"/>
          <w:sz w:val="14"/>
          <w:szCs w:val="14"/>
          <w:color w:val="000000"/>
        </w:rPr>
        <w:t>strong Board and management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-162560</wp:posOffset>
            </wp:positionV>
            <wp:extent cx="5080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-162560</wp:posOffset>
            </wp:positionV>
            <wp:extent cx="5080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-162560</wp:posOffset>
            </wp:positionV>
            <wp:extent cx="5080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-162560</wp:posOffset>
            </wp:positionV>
            <wp:extent cx="50800"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-162560</wp:posOffset>
            </wp:positionV>
            <wp:extent cx="50800"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-162560</wp:posOffset>
            </wp:positionV>
            <wp:extent cx="50800"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-162560</wp:posOffset>
            </wp:positionV>
            <wp:extent cx="50800"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-162560</wp:posOffset>
            </wp:positionV>
            <wp:extent cx="5080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-162560</wp:posOffset>
            </wp:positionV>
            <wp:extent cx="50800"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-162560</wp:posOffset>
            </wp:positionV>
            <wp:extent cx="50800"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5080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-162560</wp:posOffset>
            </wp:positionV>
            <wp:extent cx="5080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58" w:lineRule="exact"/>
        <w:rPr>
          <w:sz w:val="20"/>
          <w:szCs w:val="20"/>
          <w:color w:val="auto"/>
        </w:rPr>
      </w:pPr>
    </w:p>
    <w:p>
      <w:pPr>
        <w:jc w:val="both"/>
        <w:ind w:left="80" w:right="7780"/>
        <w:spacing w:after="0" w:line="260" w:lineRule="auto"/>
        <w:rPr>
          <w:sz w:val="20"/>
          <w:szCs w:val="20"/>
          <w:color w:val="auto"/>
        </w:rPr>
      </w:pPr>
      <w:r>
        <w:rPr>
          <w:rFonts w:ascii="Arial" w:cs="Arial" w:eastAsia="Arial" w:hAnsi="Arial"/>
          <w:sz w:val="14"/>
          <w:szCs w:val="14"/>
          <w:b w:val="1"/>
          <w:bCs w:val="1"/>
          <w:color w:val="5D89B4"/>
        </w:rPr>
        <w:t xml:space="preserve">Active or Former CEO/Chairperson or other C-Suite Officer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Served in a senior leadership</w:t>
      </w:r>
      <w:r>
        <w:rPr>
          <w:rFonts w:ascii="Arial" w:cs="Arial" w:eastAsia="Arial" w:hAnsi="Arial"/>
          <w:sz w:val="14"/>
          <w:szCs w:val="14"/>
          <w:b w:val="1"/>
          <w:bCs w:val="1"/>
          <w:color w:val="5D89B4"/>
        </w:rPr>
        <w:t xml:space="preserve"> </w:t>
      </w:r>
      <w:r>
        <w:rPr>
          <w:rFonts w:ascii="Arial" w:cs="Arial" w:eastAsia="Arial" w:hAnsi="Arial"/>
          <w:sz w:val="14"/>
          <w:szCs w:val="14"/>
          <w:color w:val="000000"/>
        </w:rPr>
        <w:t>role at a large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6929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-204470</wp:posOffset>
            </wp:positionV>
            <wp:extent cx="5080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-204470</wp:posOffset>
            </wp:positionV>
            <wp:extent cx="50800"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-204470</wp:posOffset>
            </wp:positionV>
            <wp:extent cx="50800"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-204470</wp:posOffset>
            </wp:positionV>
            <wp:extent cx="50800"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-204470</wp:posOffset>
            </wp:positionV>
            <wp:extent cx="50800"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-204470</wp:posOffset>
            </wp:positionV>
            <wp:extent cx="50800"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-204470</wp:posOffset>
            </wp:positionV>
            <wp:extent cx="50800"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-204470</wp:posOffset>
            </wp:positionV>
            <wp:extent cx="50800"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-204470</wp:posOffset>
            </wp:positionV>
            <wp:extent cx="50800"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-204470</wp:posOffset>
            </wp:positionV>
            <wp:extent cx="50800"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-204470</wp:posOffset>
            </wp:positionV>
            <wp:extent cx="5080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-204470</wp:posOffset>
            </wp:positionV>
            <wp:extent cx="50800"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80" w:right="7980"/>
        <w:spacing w:after="0" w:line="281" w:lineRule="auto"/>
        <w:rPr>
          <w:sz w:val="20"/>
          <w:szCs w:val="20"/>
          <w:color w:val="auto"/>
        </w:rPr>
      </w:pPr>
      <w:r>
        <w:rPr>
          <w:rFonts w:ascii="Arial" w:cs="Arial" w:eastAsia="Arial" w:hAnsi="Arial"/>
          <w:sz w:val="14"/>
          <w:szCs w:val="14"/>
          <w:b w:val="1"/>
          <w:bCs w:val="1"/>
          <w:color w:val="5D89B4"/>
        </w:rPr>
        <w:t xml:space="preserve">Sales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developing strategies to</w:t>
      </w:r>
      <w:r>
        <w:rPr>
          <w:rFonts w:ascii="Arial" w:cs="Arial" w:eastAsia="Arial" w:hAnsi="Arial"/>
          <w:sz w:val="14"/>
          <w:szCs w:val="14"/>
          <w:b w:val="1"/>
          <w:bCs w:val="1"/>
          <w:color w:val="5D89B4"/>
        </w:rPr>
        <w:t xml:space="preserve"> </w:t>
      </w:r>
      <w:r>
        <w:rPr>
          <w:rFonts w:ascii="Arial" w:cs="Arial" w:eastAsia="Arial" w:hAnsi="Arial"/>
          <w:sz w:val="14"/>
          <w:szCs w:val="14"/>
          <w:color w:val="000000"/>
        </w:rPr>
        <w:t>grow sales and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-162560</wp:posOffset>
            </wp:positionV>
            <wp:extent cx="50800"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-162560</wp:posOffset>
            </wp:positionV>
            <wp:extent cx="50800"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-162560</wp:posOffset>
            </wp:positionV>
            <wp:extent cx="50800"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-162560</wp:posOffset>
            </wp:positionV>
            <wp:extent cx="50800"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-162560</wp:posOffset>
            </wp:positionV>
            <wp:extent cx="50800"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-162560</wp:posOffset>
            </wp:positionV>
            <wp:extent cx="50800"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-162560</wp:posOffset>
            </wp:positionV>
            <wp:extent cx="50800"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-162560</wp:posOffset>
            </wp:positionV>
            <wp:extent cx="50800"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-162560</wp:posOffset>
            </wp:positionV>
            <wp:extent cx="50800"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-162560</wp:posOffset>
            </wp:positionV>
            <wp:extent cx="50800"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-162560</wp:posOffset>
            </wp:positionV>
            <wp:extent cx="50800"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58" w:lineRule="exact"/>
        <w:rPr>
          <w:sz w:val="20"/>
          <w:szCs w:val="20"/>
          <w:color w:val="auto"/>
        </w:rPr>
      </w:pPr>
    </w:p>
    <w:p>
      <w:pPr>
        <w:ind w:left="80" w:right="7820"/>
        <w:spacing w:after="0" w:line="281" w:lineRule="auto"/>
        <w:rPr>
          <w:sz w:val="20"/>
          <w:szCs w:val="20"/>
          <w:color w:val="auto"/>
        </w:rPr>
      </w:pPr>
      <w:r>
        <w:rPr>
          <w:rFonts w:ascii="Arial" w:cs="Arial" w:eastAsia="Arial" w:hAnsi="Arial"/>
          <w:sz w:val="14"/>
          <w:szCs w:val="14"/>
          <w:b w:val="1"/>
          <w:bCs w:val="1"/>
          <w:color w:val="5D89B4"/>
        </w:rPr>
        <w:t xml:space="preserve">Government Relations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Understanding of</w:t>
      </w:r>
      <w:r>
        <w:rPr>
          <w:rFonts w:ascii="Arial" w:cs="Arial" w:eastAsia="Arial" w:hAnsi="Arial"/>
          <w:sz w:val="14"/>
          <w:szCs w:val="14"/>
          <w:b w:val="1"/>
          <w:bCs w:val="1"/>
          <w:color w:val="5D89B4"/>
        </w:rPr>
        <w:t xml:space="preserve"> </w:t>
      </w:r>
      <w:r>
        <w:rPr>
          <w:rFonts w:ascii="Arial" w:cs="Arial" w:eastAsia="Arial" w:hAnsi="Arial"/>
          <w:sz w:val="14"/>
          <w:szCs w:val="14"/>
          <w:color w:val="000000"/>
        </w:rPr>
        <w:t>government regulations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-162560</wp:posOffset>
            </wp:positionV>
            <wp:extent cx="50800"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-162560</wp:posOffset>
            </wp:positionV>
            <wp:extent cx="50800"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-162560</wp:posOffset>
            </wp:positionV>
            <wp:extent cx="50800"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-162560</wp:posOffset>
            </wp:positionV>
            <wp:extent cx="50800"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-162560</wp:posOffset>
            </wp:positionV>
            <wp:extent cx="50800"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-162560</wp:posOffset>
            </wp:positionV>
            <wp:extent cx="50800"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-162560</wp:posOffset>
            </wp:positionV>
            <wp:extent cx="50800"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-162560</wp:posOffset>
            </wp:positionV>
            <wp:extent cx="50800"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-162560</wp:posOffset>
            </wp:positionV>
            <wp:extent cx="50800"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50800"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-162560</wp:posOffset>
            </wp:positionV>
            <wp:extent cx="50800"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58" w:lineRule="exact"/>
        <w:rPr>
          <w:sz w:val="20"/>
          <w:szCs w:val="20"/>
          <w:color w:val="auto"/>
        </w:rPr>
      </w:pPr>
    </w:p>
    <w:p>
      <w:pPr>
        <w:ind w:left="80" w:right="8000"/>
        <w:spacing w:after="0" w:line="281" w:lineRule="auto"/>
        <w:rPr>
          <w:sz w:val="20"/>
          <w:szCs w:val="20"/>
          <w:color w:val="auto"/>
        </w:rPr>
      </w:pPr>
      <w:r>
        <w:rPr>
          <w:rFonts w:ascii="Arial" w:cs="Arial" w:eastAsia="Arial" w:hAnsi="Arial"/>
          <w:sz w:val="14"/>
          <w:szCs w:val="14"/>
          <w:b w:val="1"/>
          <w:bCs w:val="1"/>
          <w:color w:val="5D89B4"/>
        </w:rPr>
        <w:t xml:space="preserve">Human Resources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building</w:t>
      </w:r>
      <w:r>
        <w:rPr>
          <w:rFonts w:ascii="Arial" w:cs="Arial" w:eastAsia="Arial" w:hAnsi="Arial"/>
          <w:sz w:val="14"/>
          <w:szCs w:val="14"/>
          <w:b w:val="1"/>
          <w:bCs w:val="1"/>
          <w:color w:val="5D89B4"/>
        </w:rPr>
        <w:t xml:space="preserve"> </w:t>
      </w:r>
      <w:r>
        <w:rPr>
          <w:rFonts w:ascii="Arial" w:cs="Arial" w:eastAsia="Arial" w:hAnsi="Arial"/>
          <w:sz w:val="14"/>
          <w:szCs w:val="14"/>
          <w:color w:val="000000"/>
        </w:rPr>
        <w:t>knowledge, skills and abilities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-162560</wp:posOffset>
            </wp:positionV>
            <wp:extent cx="50800" cy="596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-162560</wp:posOffset>
            </wp:positionV>
            <wp:extent cx="50800"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-162560</wp:posOffset>
            </wp:positionV>
            <wp:extent cx="50800"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-162560</wp:posOffset>
            </wp:positionV>
            <wp:extent cx="50800"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-162560</wp:posOffset>
            </wp:positionV>
            <wp:extent cx="50800"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-162560</wp:posOffset>
            </wp:positionV>
            <wp:extent cx="5080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-162560</wp:posOffset>
            </wp:positionV>
            <wp:extent cx="5080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-162560</wp:posOffset>
            </wp:positionV>
            <wp:extent cx="50800" cy="59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-162560</wp:posOffset>
            </wp:positionV>
            <wp:extent cx="50800"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-162560</wp:posOffset>
            </wp:positionV>
            <wp:extent cx="50800"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50800"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-162560</wp:posOffset>
            </wp:positionV>
            <wp:extent cx="50800"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58" w:lineRule="exact"/>
        <w:rPr>
          <w:sz w:val="20"/>
          <w:szCs w:val="20"/>
          <w:color w:val="auto"/>
        </w:rPr>
      </w:pPr>
    </w:p>
    <w:p>
      <w:pPr>
        <w:ind w:left="80" w:right="8000"/>
        <w:spacing w:after="0" w:line="260" w:lineRule="auto"/>
        <w:rPr>
          <w:sz w:val="20"/>
          <w:szCs w:val="20"/>
          <w:color w:val="auto"/>
        </w:rPr>
      </w:pPr>
      <w:r>
        <w:rPr>
          <w:rFonts w:ascii="Arial" w:cs="Arial" w:eastAsia="Arial" w:hAnsi="Arial"/>
          <w:sz w:val="14"/>
          <w:szCs w:val="14"/>
          <w:b w:val="1"/>
          <w:bCs w:val="1"/>
          <w:color w:val="5D89B4"/>
        </w:rPr>
        <w:t xml:space="preserve">Marketing and Branding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in a</w:t>
      </w:r>
      <w:r>
        <w:rPr>
          <w:rFonts w:ascii="Arial" w:cs="Arial" w:eastAsia="Arial" w:hAnsi="Arial"/>
          <w:sz w:val="14"/>
          <w:szCs w:val="14"/>
          <w:b w:val="1"/>
          <w:bCs w:val="1"/>
          <w:color w:val="5D89B4"/>
        </w:rPr>
        <w:t xml:space="preserve"> </w:t>
      </w:r>
      <w:r>
        <w:rPr>
          <w:rFonts w:ascii="Arial" w:cs="Arial" w:eastAsia="Arial" w:hAnsi="Arial"/>
          <w:sz w:val="14"/>
          <w:szCs w:val="14"/>
          <w:color w:val="000000"/>
        </w:rPr>
        <w:t>senior management position managing marketing/ branding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6929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-204470</wp:posOffset>
            </wp:positionV>
            <wp:extent cx="50800"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-204470</wp:posOffset>
            </wp:positionV>
            <wp:extent cx="50800"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-204470</wp:posOffset>
            </wp:positionV>
            <wp:extent cx="50800"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-204470</wp:posOffset>
            </wp:positionV>
            <wp:extent cx="50800"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-204470</wp:posOffset>
            </wp:positionV>
            <wp:extent cx="50800"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-204470</wp:posOffset>
            </wp:positionV>
            <wp:extent cx="50800"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-204470</wp:posOffset>
            </wp:positionV>
            <wp:extent cx="50800"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-204470</wp:posOffset>
            </wp:positionV>
            <wp:extent cx="50800"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-204470</wp:posOffset>
            </wp:positionV>
            <wp:extent cx="50800"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80" w:right="8060"/>
        <w:spacing w:after="0" w:line="260" w:lineRule="auto"/>
        <w:rPr>
          <w:sz w:val="20"/>
          <w:szCs w:val="20"/>
          <w:color w:val="auto"/>
        </w:rPr>
      </w:pPr>
      <w:r>
        <w:rPr>
          <w:rFonts w:ascii="Arial" w:cs="Arial" w:eastAsia="Arial" w:hAnsi="Arial"/>
          <w:sz w:val="14"/>
          <w:szCs w:val="14"/>
          <w:b w:val="1"/>
          <w:bCs w:val="1"/>
          <w:color w:val="5D89B4"/>
        </w:rPr>
        <w:t xml:space="preserve">Technology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with technology,</w:t>
      </w:r>
      <w:r>
        <w:rPr>
          <w:rFonts w:ascii="Arial" w:cs="Arial" w:eastAsia="Arial" w:hAnsi="Arial"/>
          <w:sz w:val="14"/>
          <w:szCs w:val="14"/>
          <w:b w:val="1"/>
          <w:bCs w:val="1"/>
          <w:color w:val="5D89B4"/>
        </w:rPr>
        <w:t xml:space="preserve"> </w:t>
      </w:r>
      <w:r>
        <w:rPr>
          <w:rFonts w:ascii="Arial" w:cs="Arial" w:eastAsia="Arial" w:hAnsi="Arial"/>
          <w:sz w:val="14"/>
          <w:szCs w:val="14"/>
          <w:color w:val="000000"/>
        </w:rPr>
        <w:t>cybersecurity, information systems/data management or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-204470</wp:posOffset>
            </wp:positionV>
            <wp:extent cx="50800"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-204470</wp:posOffset>
            </wp:positionV>
            <wp:extent cx="50800"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-204470</wp:posOffset>
            </wp:positionV>
            <wp:extent cx="50800"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-204470</wp:posOffset>
            </wp:positionV>
            <wp:extent cx="50800"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-204470</wp:posOffset>
            </wp:positionV>
            <wp:extent cx="50800"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-204470</wp:posOffset>
            </wp:positionV>
            <wp:extent cx="50800"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-204470</wp:posOffset>
            </wp:positionV>
            <wp:extent cx="50800"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-204470</wp:posOffset>
            </wp:positionV>
            <wp:extent cx="50800"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-204470</wp:posOffset>
            </wp:positionV>
            <wp:extent cx="50800"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-204470</wp:posOffset>
            </wp:positionV>
            <wp:extent cx="50800"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-204470</wp:posOffset>
            </wp:positionV>
            <wp:extent cx="50800"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80" w:right="8200"/>
        <w:spacing w:after="0" w:line="260" w:lineRule="auto"/>
        <w:rPr>
          <w:sz w:val="20"/>
          <w:szCs w:val="20"/>
          <w:color w:val="auto"/>
        </w:rPr>
      </w:pPr>
      <w:r>
        <w:rPr>
          <w:rFonts w:ascii="Arial" w:cs="Arial" w:eastAsia="Arial" w:hAnsi="Arial"/>
          <w:sz w:val="14"/>
          <w:szCs w:val="14"/>
          <w:b w:val="1"/>
          <w:bCs w:val="1"/>
          <w:color w:val="5D89B4"/>
        </w:rPr>
        <w:t xml:space="preserve">Accounting or Financial Oversight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to provide valuable insight in overseeing finances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69297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-204470</wp:posOffset>
            </wp:positionV>
            <wp:extent cx="50800"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-204470</wp:posOffset>
            </wp:positionV>
            <wp:extent cx="50800"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-204470</wp:posOffset>
            </wp:positionV>
            <wp:extent cx="50800"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-204470</wp:posOffset>
            </wp:positionV>
            <wp:extent cx="50800"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-204470</wp:posOffset>
            </wp:positionV>
            <wp:extent cx="50800"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-204470</wp:posOffset>
            </wp:positionV>
            <wp:extent cx="50800"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-204470</wp:posOffset>
            </wp:positionV>
            <wp:extent cx="50800"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-204470</wp:posOffset>
            </wp:positionV>
            <wp:extent cx="50800"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-204470</wp:posOffset>
            </wp:positionV>
            <wp:extent cx="50800"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-204470</wp:posOffset>
            </wp:positionV>
            <wp:extent cx="50800"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-204470</wp:posOffset>
            </wp:positionV>
            <wp:extent cx="50800"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80" w:right="7960"/>
        <w:spacing w:after="0" w:line="281" w:lineRule="auto"/>
        <w:rPr>
          <w:sz w:val="20"/>
          <w:szCs w:val="20"/>
          <w:color w:val="auto"/>
        </w:rPr>
      </w:pPr>
      <w:r>
        <w:rPr>
          <w:rFonts w:ascii="Arial" w:cs="Arial" w:eastAsia="Arial" w:hAnsi="Arial"/>
          <w:sz w:val="14"/>
          <w:szCs w:val="14"/>
          <w:b w:val="1"/>
          <w:bCs w:val="1"/>
          <w:color w:val="5D89B4"/>
        </w:rPr>
        <w:t xml:space="preserve">Operations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with our business,</w:t>
      </w:r>
      <w:r>
        <w:rPr>
          <w:rFonts w:ascii="Arial" w:cs="Arial" w:eastAsia="Arial" w:hAnsi="Arial"/>
          <w:sz w:val="14"/>
          <w:szCs w:val="14"/>
          <w:b w:val="1"/>
          <w:bCs w:val="1"/>
          <w:color w:val="5D89B4"/>
        </w:rPr>
        <w:t xml:space="preserve"> </w:t>
      </w:r>
      <w:r>
        <w:rPr>
          <w:rFonts w:ascii="Arial" w:cs="Arial" w:eastAsia="Arial" w:hAnsi="Arial"/>
          <w:sz w:val="14"/>
          <w:szCs w:val="14"/>
          <w:color w:val="000000"/>
        </w:rPr>
        <w:t>strategy and marketplace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-162560</wp:posOffset>
            </wp:positionV>
            <wp:extent cx="50800"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-162560</wp:posOffset>
            </wp:positionV>
            <wp:extent cx="50800"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-162560</wp:posOffset>
            </wp:positionV>
            <wp:extent cx="50800"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-162560</wp:posOffset>
            </wp:positionV>
            <wp:extent cx="50800"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-162560</wp:posOffset>
            </wp:positionV>
            <wp:extent cx="50800"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-162560</wp:posOffset>
            </wp:positionV>
            <wp:extent cx="50800"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-162560</wp:posOffset>
            </wp:positionV>
            <wp:extent cx="50800"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-162560</wp:posOffset>
            </wp:positionV>
            <wp:extent cx="50800"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-162560</wp:posOffset>
            </wp:positionV>
            <wp:extent cx="50800"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-162560</wp:posOffset>
            </wp:positionV>
            <wp:extent cx="50800"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-162560</wp:posOffset>
            </wp:positionV>
            <wp:extent cx="50800"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228"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The governance and sustainability committee has adopted, and the board of directors has approved, guidelines for selecting board candidates that the committee considers when evaluating candidates for nomination as directors including candidates recommended by shareholders. The guidelines call for the following with respect to the composition of the board:</w:t>
      </w:r>
    </w:p>
    <w:p>
      <w:pPr>
        <w:sectPr>
          <w:pgSz w:w="11900" w:h="16838" w:orient="portrait"/>
          <w:cols w:equalWidth="0" w:num="1">
            <w:col w:w="10820"/>
          </w:cols>
          <w:pgMar w:left="480" w:top="1259" w:right="599" w:bottom="1440" w:gutter="0" w:footer="0" w:header="0"/>
        </w:sectPr>
      </w:pPr>
    </w:p>
    <w:p>
      <w:pPr>
        <w:spacing w:after="0" w:line="182" w:lineRule="exact"/>
        <w:rPr>
          <w:sz w:val="20"/>
          <w:szCs w:val="20"/>
          <w:color w:val="auto"/>
        </w:rPr>
      </w:pPr>
    </w:p>
    <w:p>
      <w:pPr>
        <w:ind w:left="220" w:hanging="213"/>
        <w:spacing w:after="0"/>
        <w:tabs>
          <w:tab w:leader="none" w:pos="2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variety of experience and backgrounds;</w:t>
      </w:r>
    </w:p>
    <w:p>
      <w:pPr>
        <w:spacing w:after="0" w:line="68" w:lineRule="exact"/>
        <w:rPr>
          <w:rFonts w:ascii="Arial" w:cs="Arial" w:eastAsia="Arial" w:hAnsi="Arial"/>
          <w:sz w:val="15"/>
          <w:szCs w:val="15"/>
          <w:color w:val="auto"/>
        </w:rPr>
      </w:pPr>
    </w:p>
    <w:p>
      <w:pPr>
        <w:ind w:left="220" w:hanging="213"/>
        <w:spacing w:after="0" w:line="237" w:lineRule="auto"/>
        <w:tabs>
          <w:tab w:leader="none" w:pos="2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possess professional and personal experience and expertise relevant to the Company’s business;</w:t>
      </w:r>
    </w:p>
    <w:p>
      <w:pPr>
        <w:spacing w:after="0" w:line="60" w:lineRule="exact"/>
        <w:rPr>
          <w:rFonts w:ascii="Arial" w:cs="Arial" w:eastAsia="Arial" w:hAnsi="Arial"/>
          <w:sz w:val="15"/>
          <w:szCs w:val="15"/>
          <w:color w:val="auto"/>
        </w:rPr>
      </w:pPr>
    </w:p>
    <w:p>
      <w:pPr>
        <w:ind w:left="220" w:hanging="213"/>
        <w:spacing w:after="0" w:line="237" w:lineRule="auto"/>
        <w:tabs>
          <w:tab w:leader="none" w:pos="2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individuals who will represent the best interests of the shareholders as a whole rather than special interest constituencies;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07" w:hanging="207"/>
        <w:spacing w:after="0"/>
        <w:tabs>
          <w:tab w:leader="none" w:pos="20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independence of at least a majority of the directors; and</w:t>
      </w:r>
    </w:p>
    <w:p>
      <w:pPr>
        <w:spacing w:after="0" w:line="68" w:lineRule="exact"/>
        <w:rPr>
          <w:rFonts w:ascii="Arial" w:cs="Arial" w:eastAsia="Arial" w:hAnsi="Arial"/>
          <w:sz w:val="15"/>
          <w:szCs w:val="15"/>
          <w:color w:val="auto"/>
        </w:rPr>
      </w:pPr>
    </w:p>
    <w:p>
      <w:pPr>
        <w:ind w:left="207" w:hanging="207"/>
        <w:spacing w:after="0"/>
        <w:tabs>
          <w:tab w:leader="none" w:pos="207"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individuals who represent a diversity of gender, race, ethnicity and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546735</wp:posOffset>
            </wp:positionV>
            <wp:extent cx="69297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69" w:lineRule="exact"/>
        <w:rPr>
          <w:sz w:val="20"/>
          <w:szCs w:val="20"/>
          <w:color w:val="auto"/>
        </w:rPr>
      </w:pPr>
    </w:p>
    <w:p>
      <w:pPr>
        <w:sectPr>
          <w:pgSz w:w="11900" w:h="16838" w:orient="portrait"/>
          <w:cols w:equalWidth="0" w:num="2">
            <w:col w:w="5040" w:space="533"/>
            <w:col w:w="5247"/>
          </w:cols>
          <w:pgMar w:left="480" w:top="1259" w:right="599" w:bottom="1440" w:gutter="0" w:footer="0" w:header="0"/>
          <w:type w:val="continuous"/>
        </w:sectPr>
      </w:pPr>
    </w:p>
    <w:p>
      <w:pPr>
        <w:spacing w:after="0" w:line="228" w:lineRule="exact"/>
        <w:rPr>
          <w:sz w:val="20"/>
          <w:szCs w:val="20"/>
          <w:color w:val="auto"/>
        </w:rPr>
      </w:pPr>
    </w:p>
    <w:p>
      <w:pPr>
        <w:ind w:left="6020" w:hanging="604"/>
        <w:spacing w:after="0"/>
        <w:tabs>
          <w:tab w:leader="none" w:pos="6020" w:val="left"/>
        </w:tabs>
        <w:numPr>
          <w:ilvl w:val="0"/>
          <w:numId w:val="48"/>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20"/>
          </w:cols>
          <w:pgMar w:left="480" w:top="1259" w:right="599" w:bottom="1440" w:gutter="0" w:footer="0" w:header="0"/>
          <w:type w:val="continuous"/>
        </w:sectPr>
      </w:pPr>
    </w:p>
    <w:bookmarkStart w:id="20" w:name="page21"/>
    <w:bookmarkEnd w:id="20"/>
    <w:p>
      <w:pPr>
        <w:ind w:left="8340"/>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BOARD DIVERSITY AND TENURE</w:t>
      </w:r>
    </w:p>
    <w:p>
      <w:pPr>
        <w:spacing w:after="0" w:line="165" w:lineRule="exact"/>
        <w:rPr>
          <w:sz w:val="20"/>
          <w:szCs w:val="20"/>
          <w:color w:val="auto"/>
        </w:rPr>
      </w:pPr>
    </w:p>
    <w:p>
      <w:pPr>
        <w:ind w:right="300"/>
        <w:spacing w:after="0" w:line="230" w:lineRule="auto"/>
        <w:rPr>
          <w:sz w:val="20"/>
          <w:szCs w:val="20"/>
          <w:color w:val="auto"/>
        </w:rPr>
      </w:pPr>
      <w:r>
        <w:rPr>
          <w:rFonts w:ascii="Arial" w:cs="Arial" w:eastAsia="Arial" w:hAnsi="Arial"/>
          <w:sz w:val="15"/>
          <w:szCs w:val="15"/>
          <w:color w:val="auto"/>
        </w:rPr>
        <w:t>The governance and sustainability committee and the board of directors believe that the qualifications, skills, experience and attributes set forth in this proxy statement for all individuals nominated for election satisfy the guidelines for selecting board candidates set out above and support the conclusion that these individuals are qualified to serve as directors of the Company and collectively possess a variety of skills, professional experience, and diversity of backgrounds allowing them to effectively oversee the Company’s business.</w:t>
      </w:r>
    </w:p>
    <w:p>
      <w:pPr>
        <w:spacing w:after="0" w:line="368" w:lineRule="exact"/>
        <w:rPr>
          <w:sz w:val="20"/>
          <w:szCs w:val="20"/>
          <w:color w:val="auto"/>
        </w:rPr>
      </w:pPr>
    </w:p>
    <w:p>
      <w:pPr>
        <w:spacing w:after="0"/>
        <w:rPr>
          <w:sz w:val="20"/>
          <w:szCs w:val="20"/>
          <w:color w:val="auto"/>
        </w:rPr>
      </w:pPr>
      <w:r>
        <w:rPr>
          <w:rFonts w:ascii="Arial" w:cs="Arial" w:eastAsia="Arial" w:hAnsi="Arial"/>
          <w:sz w:val="39"/>
          <w:szCs w:val="39"/>
          <w:b w:val="1"/>
          <w:bCs w:val="1"/>
          <w:color w:val="5D89B4"/>
        </w:rPr>
        <w:t>Board Diversity and Tenure</w:t>
      </w:r>
    </w:p>
    <w:p>
      <w:pPr>
        <w:spacing w:after="0" w:line="368" w:lineRule="exact"/>
        <w:rPr>
          <w:sz w:val="20"/>
          <w:szCs w:val="20"/>
          <w:color w:val="auto"/>
        </w:rPr>
      </w:pPr>
    </w:p>
    <w:p>
      <w:pPr>
        <w:ind w:right="580"/>
        <w:spacing w:after="0" w:line="237" w:lineRule="auto"/>
        <w:rPr>
          <w:sz w:val="20"/>
          <w:szCs w:val="20"/>
          <w:color w:val="auto"/>
        </w:rPr>
      </w:pPr>
      <w:r>
        <w:rPr>
          <w:rFonts w:ascii="Arial" w:cs="Arial" w:eastAsia="Arial" w:hAnsi="Arial"/>
          <w:sz w:val="15"/>
          <w:szCs w:val="15"/>
          <w:color w:val="auto"/>
        </w:rPr>
        <w:t>The composition of the nominees for the board also reflects diversity of gender, race, ethnicity and age, an objective that the governance and sustainability committee continually strives to enhance when searching for and considering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1915795</wp:posOffset>
            </wp:positionH>
            <wp:positionV relativeFrom="paragraph">
              <wp:posOffset>142240</wp:posOffset>
            </wp:positionV>
            <wp:extent cx="4984750" cy="560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84750" cy="56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9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TENURE AND INDEPENDENCE</w:t>
            </w:r>
          </w:p>
        </w:tc>
        <w:tc>
          <w:tcPr>
            <w:tcW w:w="900" w:type="dxa"/>
            <w:vAlign w:val="bottom"/>
            <w:tcBorders>
              <w:bottom w:val="single" w:sz="8" w:color="EAEAEA"/>
            </w:tcBorders>
            <w:shd w:val="clear" w:color="auto" w:fill="EAEAEA"/>
          </w:tcPr>
          <w:p>
            <w:pPr>
              <w:spacing w:after="0"/>
              <w:rPr>
                <w:sz w:val="23"/>
                <w:szCs w:val="23"/>
                <w:color w:val="auto"/>
              </w:rPr>
            </w:pPr>
          </w:p>
        </w:tc>
        <w:tc>
          <w:tcPr>
            <w:tcW w:w="640" w:type="dxa"/>
            <w:vAlign w:val="bottom"/>
            <w:tcBorders>
              <w:bottom w:val="single" w:sz="8" w:color="EAEAEA"/>
            </w:tcBorders>
            <w:shd w:val="clear" w:color="auto" w:fill="EAEAEA"/>
          </w:tcPr>
          <w:p>
            <w:pPr>
              <w:spacing w:after="0"/>
              <w:rPr>
                <w:sz w:val="23"/>
                <w:szCs w:val="23"/>
                <w:color w:val="auto"/>
              </w:rPr>
            </w:pPr>
          </w:p>
        </w:tc>
        <w:tc>
          <w:tcPr>
            <w:tcW w:w="640" w:type="dxa"/>
            <w:vAlign w:val="bottom"/>
            <w:tcBorders>
              <w:bottom w:val="single" w:sz="8" w:color="EAEAEA"/>
            </w:tcBorders>
            <w:shd w:val="clear" w:color="auto" w:fill="EAEAEA"/>
          </w:tcPr>
          <w:p>
            <w:pPr>
              <w:spacing w:after="0"/>
              <w:rPr>
                <w:sz w:val="23"/>
                <w:szCs w:val="23"/>
                <w:color w:val="auto"/>
              </w:rPr>
            </w:pPr>
          </w:p>
        </w:tc>
        <w:tc>
          <w:tcPr>
            <w:tcW w:w="640" w:type="dxa"/>
            <w:vAlign w:val="bottom"/>
            <w:tcBorders>
              <w:bottom w:val="single" w:sz="8" w:color="EAEAEA"/>
            </w:tcBorders>
            <w:shd w:val="clear" w:color="auto" w:fill="EAEAEA"/>
          </w:tcPr>
          <w:p>
            <w:pPr>
              <w:spacing w:after="0"/>
              <w:rPr>
                <w:sz w:val="23"/>
                <w:szCs w:val="23"/>
                <w:color w:val="auto"/>
              </w:rPr>
            </w:pPr>
          </w:p>
        </w:tc>
        <w:tc>
          <w:tcPr>
            <w:tcW w:w="720" w:type="dxa"/>
            <w:vAlign w:val="bottom"/>
            <w:tcBorders>
              <w:bottom w:val="single" w:sz="8" w:color="EAEAEA"/>
            </w:tcBorders>
            <w:shd w:val="clear" w:color="auto" w:fill="EAEAEA"/>
          </w:tcPr>
          <w:p>
            <w:pPr>
              <w:spacing w:after="0"/>
              <w:rPr>
                <w:sz w:val="23"/>
                <w:szCs w:val="23"/>
                <w:color w:val="auto"/>
              </w:rPr>
            </w:pPr>
          </w:p>
        </w:tc>
        <w:tc>
          <w:tcPr>
            <w:tcW w:w="820" w:type="dxa"/>
            <w:vAlign w:val="bottom"/>
            <w:tcBorders>
              <w:bottom w:val="single" w:sz="8" w:color="EAEAEA"/>
            </w:tcBorders>
            <w:shd w:val="clear" w:color="auto" w:fill="EAEAEA"/>
          </w:tcPr>
          <w:p>
            <w:pPr>
              <w:spacing w:after="0"/>
              <w:rPr>
                <w:sz w:val="23"/>
                <w:szCs w:val="23"/>
                <w:color w:val="auto"/>
              </w:rPr>
            </w:pPr>
          </w:p>
        </w:tc>
        <w:tc>
          <w:tcPr>
            <w:tcW w:w="580" w:type="dxa"/>
            <w:vAlign w:val="bottom"/>
            <w:tcBorders>
              <w:bottom w:val="single" w:sz="8" w:color="EAEAEA"/>
            </w:tcBorders>
            <w:shd w:val="clear" w:color="auto" w:fill="EAEAEA"/>
          </w:tcPr>
          <w:p>
            <w:pPr>
              <w:spacing w:after="0"/>
              <w:rPr>
                <w:sz w:val="23"/>
                <w:szCs w:val="23"/>
                <w:color w:val="auto"/>
              </w:rPr>
            </w:pPr>
          </w:p>
        </w:tc>
        <w:tc>
          <w:tcPr>
            <w:tcW w:w="620" w:type="dxa"/>
            <w:vAlign w:val="bottom"/>
            <w:tcBorders>
              <w:bottom w:val="single" w:sz="8" w:color="EAEAEA"/>
            </w:tcBorders>
            <w:shd w:val="clear" w:color="auto" w:fill="EAEAEA"/>
          </w:tcPr>
          <w:p>
            <w:pPr>
              <w:spacing w:after="0"/>
              <w:rPr>
                <w:sz w:val="23"/>
                <w:szCs w:val="23"/>
                <w:color w:val="auto"/>
              </w:rPr>
            </w:pPr>
          </w:p>
        </w:tc>
        <w:tc>
          <w:tcPr>
            <w:tcW w:w="600" w:type="dxa"/>
            <w:vAlign w:val="bottom"/>
            <w:tcBorders>
              <w:bottom w:val="single" w:sz="8" w:color="EAEAEA"/>
            </w:tcBorders>
            <w:shd w:val="clear" w:color="auto" w:fill="EAEAEA"/>
          </w:tcPr>
          <w:p>
            <w:pPr>
              <w:spacing w:after="0"/>
              <w:rPr>
                <w:sz w:val="23"/>
                <w:szCs w:val="23"/>
                <w:color w:val="auto"/>
              </w:rPr>
            </w:pPr>
          </w:p>
        </w:tc>
        <w:tc>
          <w:tcPr>
            <w:tcW w:w="56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shd w:val="clear" w:color="auto" w:fill="EAEAEA"/>
          </w:tcPr>
          <w:p>
            <w:pPr>
              <w:spacing w:after="0"/>
              <w:rPr>
                <w:sz w:val="23"/>
                <w:szCs w:val="23"/>
                <w:color w:val="auto"/>
              </w:rPr>
            </w:pPr>
          </w:p>
        </w:tc>
        <w:tc>
          <w:tcPr>
            <w:tcW w:w="540" w:type="dxa"/>
            <w:vAlign w:val="bottom"/>
            <w:tcBorders>
              <w:bottom w:val="single" w:sz="8" w:color="EAEAEA"/>
            </w:tcBorders>
            <w:shd w:val="clear" w:color="auto" w:fill="EAEAEA"/>
          </w:tcPr>
          <w:p>
            <w:pPr>
              <w:spacing w:after="0"/>
              <w:rPr>
                <w:sz w:val="23"/>
                <w:szCs w:val="23"/>
                <w:color w:val="auto"/>
              </w:rPr>
            </w:pPr>
          </w:p>
        </w:tc>
      </w:tr>
      <w:tr>
        <w:trPr>
          <w:trHeight w:val="245"/>
        </w:trPr>
        <w:tc>
          <w:tcPr>
            <w:tcW w:w="2920" w:type="dxa"/>
            <w:vAlign w:val="bottom"/>
          </w:tcPr>
          <w:p>
            <w:pPr>
              <w:ind w:left="80"/>
              <w:spacing w:after="0"/>
              <w:rPr>
                <w:sz w:val="20"/>
                <w:szCs w:val="20"/>
                <w:color w:val="auto"/>
              </w:rPr>
            </w:pPr>
            <w:r>
              <w:rPr>
                <w:rFonts w:ascii="Arial" w:cs="Arial" w:eastAsia="Arial" w:hAnsi="Arial"/>
                <w:sz w:val="14"/>
                <w:szCs w:val="14"/>
                <w:b w:val="1"/>
                <w:bCs w:val="1"/>
                <w:color w:val="5D89B4"/>
              </w:rPr>
              <w:t>Years</w:t>
            </w:r>
          </w:p>
        </w:tc>
        <w:tc>
          <w:tcPr>
            <w:tcW w:w="900" w:type="dxa"/>
            <w:vAlign w:val="bottom"/>
          </w:tcPr>
          <w:p>
            <w:pPr>
              <w:jc w:val="right"/>
              <w:ind w:right="224"/>
              <w:spacing w:after="0"/>
              <w:rPr>
                <w:sz w:val="20"/>
                <w:szCs w:val="20"/>
                <w:color w:val="auto"/>
              </w:rPr>
            </w:pPr>
            <w:r>
              <w:rPr>
                <w:rFonts w:ascii="Arial" w:cs="Arial" w:eastAsia="Arial" w:hAnsi="Arial"/>
                <w:sz w:val="15"/>
                <w:szCs w:val="15"/>
                <w:color w:val="5D89B4"/>
              </w:rPr>
              <w:t>15</w:t>
            </w:r>
          </w:p>
        </w:tc>
        <w:tc>
          <w:tcPr>
            <w:tcW w:w="640" w:type="dxa"/>
            <w:vAlign w:val="bottom"/>
          </w:tcPr>
          <w:p>
            <w:pPr>
              <w:jc w:val="right"/>
              <w:ind w:right="144"/>
              <w:spacing w:after="0"/>
              <w:rPr>
                <w:sz w:val="20"/>
                <w:szCs w:val="20"/>
                <w:color w:val="auto"/>
              </w:rPr>
            </w:pPr>
            <w:r>
              <w:rPr>
                <w:rFonts w:ascii="Arial" w:cs="Arial" w:eastAsia="Arial" w:hAnsi="Arial"/>
                <w:sz w:val="15"/>
                <w:szCs w:val="15"/>
                <w:color w:val="5D89B4"/>
              </w:rPr>
              <w:t>1</w:t>
            </w:r>
          </w:p>
        </w:tc>
        <w:tc>
          <w:tcPr>
            <w:tcW w:w="640" w:type="dxa"/>
            <w:vAlign w:val="bottom"/>
          </w:tcPr>
          <w:p>
            <w:pPr>
              <w:jc w:val="right"/>
              <w:ind w:right="184"/>
              <w:spacing w:after="0"/>
              <w:rPr>
                <w:sz w:val="20"/>
                <w:szCs w:val="20"/>
                <w:color w:val="auto"/>
              </w:rPr>
            </w:pPr>
            <w:r>
              <w:rPr>
                <w:rFonts w:ascii="Arial" w:cs="Arial" w:eastAsia="Arial" w:hAnsi="Arial"/>
                <w:sz w:val="15"/>
                <w:szCs w:val="15"/>
                <w:color w:val="5D89B4"/>
              </w:rPr>
              <w:t>11</w:t>
            </w:r>
          </w:p>
        </w:tc>
        <w:tc>
          <w:tcPr>
            <w:tcW w:w="640" w:type="dxa"/>
            <w:vAlign w:val="bottom"/>
          </w:tcPr>
          <w:p>
            <w:pPr>
              <w:jc w:val="right"/>
              <w:ind w:right="184"/>
              <w:spacing w:after="0"/>
              <w:rPr>
                <w:sz w:val="20"/>
                <w:szCs w:val="20"/>
                <w:color w:val="auto"/>
              </w:rPr>
            </w:pPr>
            <w:r>
              <w:rPr>
                <w:rFonts w:ascii="Arial" w:cs="Arial" w:eastAsia="Arial" w:hAnsi="Arial"/>
                <w:sz w:val="15"/>
                <w:szCs w:val="15"/>
                <w:color w:val="5D89B4"/>
              </w:rPr>
              <w:t>6</w:t>
            </w:r>
          </w:p>
        </w:tc>
        <w:tc>
          <w:tcPr>
            <w:tcW w:w="720" w:type="dxa"/>
            <w:vAlign w:val="bottom"/>
          </w:tcPr>
          <w:p>
            <w:pPr>
              <w:jc w:val="right"/>
              <w:ind w:right="264"/>
              <w:spacing w:after="0"/>
              <w:rPr>
                <w:sz w:val="20"/>
                <w:szCs w:val="20"/>
                <w:color w:val="auto"/>
              </w:rPr>
            </w:pPr>
            <w:r>
              <w:rPr>
                <w:rFonts w:ascii="Arial" w:cs="Arial" w:eastAsia="Arial" w:hAnsi="Arial"/>
                <w:sz w:val="15"/>
                <w:szCs w:val="15"/>
                <w:color w:val="5D89B4"/>
              </w:rPr>
              <w:t>1</w:t>
            </w:r>
          </w:p>
        </w:tc>
        <w:tc>
          <w:tcPr>
            <w:tcW w:w="820" w:type="dxa"/>
            <w:vAlign w:val="bottom"/>
          </w:tcPr>
          <w:p>
            <w:pPr>
              <w:jc w:val="right"/>
              <w:ind w:right="224"/>
              <w:spacing w:after="0"/>
              <w:rPr>
                <w:sz w:val="20"/>
                <w:szCs w:val="20"/>
                <w:color w:val="auto"/>
              </w:rPr>
            </w:pPr>
            <w:r>
              <w:rPr>
                <w:rFonts w:ascii="Arial" w:cs="Arial" w:eastAsia="Arial" w:hAnsi="Arial"/>
                <w:sz w:val="15"/>
                <w:szCs w:val="15"/>
                <w:color w:val="5D89B4"/>
              </w:rPr>
              <w:t>11</w:t>
            </w:r>
          </w:p>
        </w:tc>
        <w:tc>
          <w:tcPr>
            <w:tcW w:w="580" w:type="dxa"/>
            <w:vAlign w:val="bottom"/>
          </w:tcPr>
          <w:p>
            <w:pPr>
              <w:jc w:val="right"/>
              <w:ind w:right="144"/>
              <w:spacing w:after="0"/>
              <w:rPr>
                <w:sz w:val="20"/>
                <w:szCs w:val="20"/>
                <w:color w:val="auto"/>
              </w:rPr>
            </w:pPr>
            <w:r>
              <w:rPr>
                <w:rFonts w:ascii="Arial" w:cs="Arial" w:eastAsia="Arial" w:hAnsi="Arial"/>
                <w:sz w:val="15"/>
                <w:szCs w:val="15"/>
                <w:color w:val="5D89B4"/>
              </w:rPr>
              <w:t>5</w:t>
            </w:r>
          </w:p>
        </w:tc>
        <w:tc>
          <w:tcPr>
            <w:tcW w:w="620" w:type="dxa"/>
            <w:vAlign w:val="bottom"/>
          </w:tcPr>
          <w:p>
            <w:pPr>
              <w:jc w:val="right"/>
              <w:ind w:right="164"/>
              <w:spacing w:after="0"/>
              <w:rPr>
                <w:sz w:val="20"/>
                <w:szCs w:val="20"/>
                <w:color w:val="auto"/>
              </w:rPr>
            </w:pPr>
            <w:r>
              <w:rPr>
                <w:rFonts w:ascii="Arial" w:cs="Arial" w:eastAsia="Arial" w:hAnsi="Arial"/>
                <w:sz w:val="15"/>
                <w:szCs w:val="15"/>
                <w:color w:val="5D89B4"/>
              </w:rPr>
              <w:t>14</w:t>
            </w:r>
          </w:p>
        </w:tc>
        <w:tc>
          <w:tcPr>
            <w:tcW w:w="600" w:type="dxa"/>
            <w:vAlign w:val="bottom"/>
          </w:tcPr>
          <w:p>
            <w:pPr>
              <w:jc w:val="right"/>
              <w:ind w:right="144"/>
              <w:spacing w:after="0"/>
              <w:rPr>
                <w:sz w:val="20"/>
                <w:szCs w:val="20"/>
                <w:color w:val="auto"/>
              </w:rPr>
            </w:pPr>
            <w:r>
              <w:rPr>
                <w:rFonts w:ascii="Arial" w:cs="Arial" w:eastAsia="Arial" w:hAnsi="Arial"/>
                <w:sz w:val="15"/>
                <w:szCs w:val="15"/>
                <w:color w:val="5D89B4"/>
              </w:rPr>
              <w:t>8</w:t>
            </w:r>
          </w:p>
        </w:tc>
        <w:tc>
          <w:tcPr>
            <w:tcW w:w="560" w:type="dxa"/>
            <w:vAlign w:val="bottom"/>
          </w:tcPr>
          <w:p>
            <w:pPr>
              <w:jc w:val="right"/>
              <w:ind w:right="164"/>
              <w:spacing w:after="0"/>
              <w:rPr>
                <w:sz w:val="20"/>
                <w:szCs w:val="20"/>
                <w:color w:val="auto"/>
              </w:rPr>
            </w:pPr>
            <w:r>
              <w:rPr>
                <w:rFonts w:ascii="Arial" w:cs="Arial" w:eastAsia="Arial" w:hAnsi="Arial"/>
                <w:sz w:val="15"/>
                <w:szCs w:val="15"/>
                <w:color w:val="5D89B4"/>
              </w:rPr>
              <w:t>7</w:t>
            </w:r>
          </w:p>
        </w:tc>
        <w:tc>
          <w:tcPr>
            <w:tcW w:w="740" w:type="dxa"/>
            <w:vAlign w:val="bottom"/>
          </w:tcPr>
          <w:p>
            <w:pPr>
              <w:jc w:val="right"/>
              <w:ind w:right="264"/>
              <w:spacing w:after="0"/>
              <w:rPr>
                <w:sz w:val="20"/>
                <w:szCs w:val="20"/>
                <w:color w:val="auto"/>
              </w:rPr>
            </w:pPr>
            <w:r>
              <w:rPr>
                <w:rFonts w:ascii="Arial" w:cs="Arial" w:eastAsia="Arial" w:hAnsi="Arial"/>
                <w:sz w:val="15"/>
                <w:szCs w:val="15"/>
                <w:color w:val="5D89B4"/>
              </w:rPr>
              <w:t>12</w:t>
            </w:r>
          </w:p>
        </w:tc>
        <w:tc>
          <w:tcPr>
            <w:tcW w:w="540" w:type="dxa"/>
            <w:vAlign w:val="bottom"/>
          </w:tcPr>
          <w:p>
            <w:pPr>
              <w:jc w:val="right"/>
              <w:spacing w:after="0"/>
              <w:rPr>
                <w:sz w:val="20"/>
                <w:szCs w:val="20"/>
                <w:color w:val="auto"/>
              </w:rPr>
            </w:pPr>
            <w:r>
              <w:rPr>
                <w:rFonts w:ascii="Arial" w:cs="Arial" w:eastAsia="Arial" w:hAnsi="Arial"/>
                <w:sz w:val="15"/>
                <w:szCs w:val="15"/>
                <w:color w:val="5D89B4"/>
              </w:rPr>
              <w:t>4</w:t>
            </w:r>
          </w:p>
        </w:tc>
      </w:tr>
      <w:tr>
        <w:trPr>
          <w:trHeight w:val="50"/>
        </w:trPr>
        <w:tc>
          <w:tcPr>
            <w:tcW w:w="29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r>
        <w:trPr>
          <w:trHeight w:val="223"/>
        </w:trPr>
        <w:tc>
          <w:tcPr>
            <w:tcW w:w="2920" w:type="dxa"/>
            <w:vAlign w:val="bottom"/>
          </w:tcPr>
          <w:p>
            <w:pPr>
              <w:ind w:left="80"/>
              <w:spacing w:after="0"/>
              <w:rPr>
                <w:sz w:val="20"/>
                <w:szCs w:val="20"/>
                <w:color w:val="auto"/>
              </w:rPr>
            </w:pPr>
            <w:r>
              <w:rPr>
                <w:rFonts w:ascii="Arial" w:cs="Arial" w:eastAsia="Arial" w:hAnsi="Arial"/>
                <w:sz w:val="14"/>
                <w:szCs w:val="14"/>
                <w:b w:val="1"/>
                <w:bCs w:val="1"/>
                <w:color w:val="5D89B4"/>
              </w:rPr>
              <w:t>Independent</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52"/>
        </w:trPr>
        <w:tc>
          <w:tcPr>
            <w:tcW w:w="29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r>
        <w:trPr>
          <w:trHeight w:val="395"/>
        </w:trPr>
        <w:tc>
          <w:tcPr>
            <w:tcW w:w="2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4"/>
        </w:trPr>
        <w:tc>
          <w:tcPr>
            <w:tcW w:w="29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DEMOGRAPHICS</w:t>
            </w:r>
          </w:p>
        </w:tc>
        <w:tc>
          <w:tcPr>
            <w:tcW w:w="900" w:type="dxa"/>
            <w:vAlign w:val="bottom"/>
            <w:tcBorders>
              <w:bottom w:val="single" w:sz="8" w:color="EAEAEA"/>
            </w:tcBorders>
            <w:shd w:val="clear" w:color="auto" w:fill="EAEAEA"/>
          </w:tcPr>
          <w:p>
            <w:pPr>
              <w:spacing w:after="0"/>
              <w:rPr>
                <w:sz w:val="23"/>
                <w:szCs w:val="23"/>
                <w:color w:val="auto"/>
              </w:rPr>
            </w:pPr>
          </w:p>
        </w:tc>
        <w:tc>
          <w:tcPr>
            <w:tcW w:w="640" w:type="dxa"/>
            <w:vAlign w:val="bottom"/>
            <w:tcBorders>
              <w:bottom w:val="single" w:sz="8" w:color="EAEAEA"/>
            </w:tcBorders>
            <w:shd w:val="clear" w:color="auto" w:fill="EAEAEA"/>
          </w:tcPr>
          <w:p>
            <w:pPr>
              <w:spacing w:after="0"/>
              <w:rPr>
                <w:sz w:val="23"/>
                <w:szCs w:val="23"/>
                <w:color w:val="auto"/>
              </w:rPr>
            </w:pPr>
          </w:p>
        </w:tc>
        <w:tc>
          <w:tcPr>
            <w:tcW w:w="640" w:type="dxa"/>
            <w:vAlign w:val="bottom"/>
            <w:tcBorders>
              <w:bottom w:val="single" w:sz="8" w:color="EAEAEA"/>
            </w:tcBorders>
            <w:shd w:val="clear" w:color="auto" w:fill="EAEAEA"/>
          </w:tcPr>
          <w:p>
            <w:pPr>
              <w:spacing w:after="0"/>
              <w:rPr>
                <w:sz w:val="23"/>
                <w:szCs w:val="23"/>
                <w:color w:val="auto"/>
              </w:rPr>
            </w:pPr>
          </w:p>
        </w:tc>
        <w:tc>
          <w:tcPr>
            <w:tcW w:w="640" w:type="dxa"/>
            <w:vAlign w:val="bottom"/>
            <w:tcBorders>
              <w:bottom w:val="single" w:sz="8" w:color="EAEAEA"/>
            </w:tcBorders>
            <w:shd w:val="clear" w:color="auto" w:fill="EAEAEA"/>
          </w:tcPr>
          <w:p>
            <w:pPr>
              <w:spacing w:after="0"/>
              <w:rPr>
                <w:sz w:val="23"/>
                <w:szCs w:val="23"/>
                <w:color w:val="auto"/>
              </w:rPr>
            </w:pPr>
          </w:p>
        </w:tc>
        <w:tc>
          <w:tcPr>
            <w:tcW w:w="720" w:type="dxa"/>
            <w:vAlign w:val="bottom"/>
            <w:tcBorders>
              <w:bottom w:val="single" w:sz="8" w:color="EAEAEA"/>
            </w:tcBorders>
            <w:shd w:val="clear" w:color="auto" w:fill="EAEAEA"/>
          </w:tcPr>
          <w:p>
            <w:pPr>
              <w:spacing w:after="0"/>
              <w:rPr>
                <w:sz w:val="23"/>
                <w:szCs w:val="23"/>
                <w:color w:val="auto"/>
              </w:rPr>
            </w:pPr>
          </w:p>
        </w:tc>
        <w:tc>
          <w:tcPr>
            <w:tcW w:w="820" w:type="dxa"/>
            <w:vAlign w:val="bottom"/>
            <w:tcBorders>
              <w:bottom w:val="single" w:sz="8" w:color="EAEAEA"/>
            </w:tcBorders>
            <w:shd w:val="clear" w:color="auto" w:fill="EAEAEA"/>
          </w:tcPr>
          <w:p>
            <w:pPr>
              <w:spacing w:after="0"/>
              <w:rPr>
                <w:sz w:val="23"/>
                <w:szCs w:val="23"/>
                <w:color w:val="auto"/>
              </w:rPr>
            </w:pPr>
          </w:p>
        </w:tc>
        <w:tc>
          <w:tcPr>
            <w:tcW w:w="580" w:type="dxa"/>
            <w:vAlign w:val="bottom"/>
            <w:tcBorders>
              <w:bottom w:val="single" w:sz="8" w:color="EAEAEA"/>
            </w:tcBorders>
            <w:shd w:val="clear" w:color="auto" w:fill="EAEAEA"/>
          </w:tcPr>
          <w:p>
            <w:pPr>
              <w:spacing w:after="0"/>
              <w:rPr>
                <w:sz w:val="23"/>
                <w:szCs w:val="23"/>
                <w:color w:val="auto"/>
              </w:rPr>
            </w:pPr>
          </w:p>
        </w:tc>
        <w:tc>
          <w:tcPr>
            <w:tcW w:w="620" w:type="dxa"/>
            <w:vAlign w:val="bottom"/>
            <w:tcBorders>
              <w:bottom w:val="single" w:sz="8" w:color="EAEAEA"/>
            </w:tcBorders>
            <w:shd w:val="clear" w:color="auto" w:fill="EAEAEA"/>
          </w:tcPr>
          <w:p>
            <w:pPr>
              <w:spacing w:after="0"/>
              <w:rPr>
                <w:sz w:val="23"/>
                <w:szCs w:val="23"/>
                <w:color w:val="auto"/>
              </w:rPr>
            </w:pPr>
          </w:p>
        </w:tc>
        <w:tc>
          <w:tcPr>
            <w:tcW w:w="600" w:type="dxa"/>
            <w:vAlign w:val="bottom"/>
            <w:tcBorders>
              <w:bottom w:val="single" w:sz="8" w:color="EAEAEA"/>
            </w:tcBorders>
            <w:shd w:val="clear" w:color="auto" w:fill="EAEAEA"/>
          </w:tcPr>
          <w:p>
            <w:pPr>
              <w:spacing w:after="0"/>
              <w:rPr>
                <w:sz w:val="23"/>
                <w:szCs w:val="23"/>
                <w:color w:val="auto"/>
              </w:rPr>
            </w:pPr>
          </w:p>
        </w:tc>
        <w:tc>
          <w:tcPr>
            <w:tcW w:w="56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shd w:val="clear" w:color="auto" w:fill="EAEAEA"/>
          </w:tcPr>
          <w:p>
            <w:pPr>
              <w:spacing w:after="0"/>
              <w:rPr>
                <w:sz w:val="23"/>
                <w:szCs w:val="23"/>
                <w:color w:val="auto"/>
              </w:rPr>
            </w:pPr>
          </w:p>
        </w:tc>
        <w:tc>
          <w:tcPr>
            <w:tcW w:w="540" w:type="dxa"/>
            <w:vAlign w:val="bottom"/>
            <w:tcBorders>
              <w:bottom w:val="single" w:sz="8" w:color="EAEAEA"/>
            </w:tcBorders>
            <w:shd w:val="clear" w:color="auto" w:fill="EAEAEA"/>
          </w:tcPr>
          <w:p>
            <w:pPr>
              <w:spacing w:after="0"/>
              <w:rPr>
                <w:sz w:val="23"/>
                <w:szCs w:val="23"/>
                <w:color w:val="auto"/>
              </w:rPr>
            </w:pPr>
          </w:p>
        </w:tc>
      </w:tr>
      <w:tr>
        <w:trPr>
          <w:trHeight w:val="245"/>
        </w:trPr>
        <w:tc>
          <w:tcPr>
            <w:tcW w:w="2920" w:type="dxa"/>
            <w:vAlign w:val="bottom"/>
          </w:tcPr>
          <w:p>
            <w:pPr>
              <w:ind w:left="80"/>
              <w:spacing w:after="0"/>
              <w:rPr>
                <w:sz w:val="20"/>
                <w:szCs w:val="20"/>
                <w:color w:val="auto"/>
              </w:rPr>
            </w:pPr>
            <w:r>
              <w:rPr>
                <w:rFonts w:ascii="Arial" w:cs="Arial" w:eastAsia="Arial" w:hAnsi="Arial"/>
                <w:sz w:val="14"/>
                <w:szCs w:val="14"/>
                <w:b w:val="1"/>
                <w:bCs w:val="1"/>
                <w:color w:val="5D89B4"/>
              </w:rPr>
              <w:t>Gender Identity</w:t>
            </w:r>
          </w:p>
        </w:tc>
        <w:tc>
          <w:tcPr>
            <w:tcW w:w="900" w:type="dxa"/>
            <w:vAlign w:val="bottom"/>
          </w:tcPr>
          <w:p>
            <w:pPr>
              <w:jc w:val="right"/>
              <w:ind w:right="224"/>
              <w:spacing w:after="0"/>
              <w:rPr>
                <w:sz w:val="20"/>
                <w:szCs w:val="20"/>
                <w:color w:val="auto"/>
              </w:rPr>
            </w:pPr>
            <w:r>
              <w:rPr>
                <w:rFonts w:ascii="Arial" w:cs="Arial" w:eastAsia="Arial" w:hAnsi="Arial"/>
                <w:sz w:val="15"/>
                <w:szCs w:val="15"/>
                <w:color w:val="5D89B4"/>
              </w:rPr>
              <w:t>F</w:t>
            </w:r>
          </w:p>
        </w:tc>
        <w:tc>
          <w:tcPr>
            <w:tcW w:w="640" w:type="dxa"/>
            <w:vAlign w:val="bottom"/>
          </w:tcPr>
          <w:p>
            <w:pPr>
              <w:jc w:val="right"/>
              <w:ind w:right="144"/>
              <w:spacing w:after="0"/>
              <w:rPr>
                <w:sz w:val="20"/>
                <w:szCs w:val="20"/>
                <w:color w:val="auto"/>
              </w:rPr>
            </w:pPr>
            <w:r>
              <w:rPr>
                <w:rFonts w:ascii="Arial" w:cs="Arial" w:eastAsia="Arial" w:hAnsi="Arial"/>
                <w:sz w:val="15"/>
                <w:szCs w:val="15"/>
                <w:color w:val="5D89B4"/>
              </w:rPr>
              <w:t>M</w:t>
            </w:r>
          </w:p>
        </w:tc>
        <w:tc>
          <w:tcPr>
            <w:tcW w:w="640" w:type="dxa"/>
            <w:vAlign w:val="bottom"/>
          </w:tcPr>
          <w:p>
            <w:pPr>
              <w:jc w:val="right"/>
              <w:ind w:right="184"/>
              <w:spacing w:after="0"/>
              <w:rPr>
                <w:sz w:val="20"/>
                <w:szCs w:val="20"/>
                <w:color w:val="auto"/>
              </w:rPr>
            </w:pPr>
            <w:r>
              <w:rPr>
                <w:rFonts w:ascii="Arial" w:cs="Arial" w:eastAsia="Arial" w:hAnsi="Arial"/>
                <w:sz w:val="15"/>
                <w:szCs w:val="15"/>
                <w:color w:val="5D89B4"/>
              </w:rPr>
              <w:t>M</w:t>
            </w:r>
          </w:p>
        </w:tc>
        <w:tc>
          <w:tcPr>
            <w:tcW w:w="640" w:type="dxa"/>
            <w:vAlign w:val="bottom"/>
          </w:tcPr>
          <w:p>
            <w:pPr>
              <w:jc w:val="right"/>
              <w:ind w:right="184"/>
              <w:spacing w:after="0"/>
              <w:rPr>
                <w:sz w:val="20"/>
                <w:szCs w:val="20"/>
                <w:color w:val="auto"/>
              </w:rPr>
            </w:pPr>
            <w:r>
              <w:rPr>
                <w:rFonts w:ascii="Arial" w:cs="Arial" w:eastAsia="Arial" w:hAnsi="Arial"/>
                <w:sz w:val="15"/>
                <w:szCs w:val="15"/>
                <w:color w:val="5D89B4"/>
              </w:rPr>
              <w:t>M</w:t>
            </w:r>
          </w:p>
        </w:tc>
        <w:tc>
          <w:tcPr>
            <w:tcW w:w="720" w:type="dxa"/>
            <w:vAlign w:val="bottom"/>
          </w:tcPr>
          <w:p>
            <w:pPr>
              <w:jc w:val="right"/>
              <w:ind w:right="264"/>
              <w:spacing w:after="0"/>
              <w:rPr>
                <w:sz w:val="20"/>
                <w:szCs w:val="20"/>
                <w:color w:val="auto"/>
              </w:rPr>
            </w:pPr>
            <w:r>
              <w:rPr>
                <w:rFonts w:ascii="Arial" w:cs="Arial" w:eastAsia="Arial" w:hAnsi="Arial"/>
                <w:sz w:val="15"/>
                <w:szCs w:val="15"/>
                <w:color w:val="5D89B4"/>
              </w:rPr>
              <w:t>M</w:t>
            </w:r>
          </w:p>
        </w:tc>
        <w:tc>
          <w:tcPr>
            <w:tcW w:w="820" w:type="dxa"/>
            <w:vAlign w:val="bottom"/>
          </w:tcPr>
          <w:p>
            <w:pPr>
              <w:jc w:val="right"/>
              <w:ind w:right="224"/>
              <w:spacing w:after="0"/>
              <w:rPr>
                <w:sz w:val="20"/>
                <w:szCs w:val="20"/>
                <w:color w:val="auto"/>
              </w:rPr>
            </w:pPr>
            <w:r>
              <w:rPr>
                <w:rFonts w:ascii="Arial" w:cs="Arial" w:eastAsia="Arial" w:hAnsi="Arial"/>
                <w:sz w:val="15"/>
                <w:szCs w:val="15"/>
                <w:color w:val="5D89B4"/>
              </w:rPr>
              <w:t>F</w:t>
            </w:r>
          </w:p>
        </w:tc>
        <w:tc>
          <w:tcPr>
            <w:tcW w:w="580" w:type="dxa"/>
            <w:vAlign w:val="bottom"/>
          </w:tcPr>
          <w:p>
            <w:pPr>
              <w:jc w:val="right"/>
              <w:ind w:right="144"/>
              <w:spacing w:after="0"/>
              <w:rPr>
                <w:sz w:val="20"/>
                <w:szCs w:val="20"/>
                <w:color w:val="auto"/>
              </w:rPr>
            </w:pPr>
            <w:r>
              <w:rPr>
                <w:rFonts w:ascii="Arial" w:cs="Arial" w:eastAsia="Arial" w:hAnsi="Arial"/>
                <w:sz w:val="15"/>
                <w:szCs w:val="15"/>
                <w:color w:val="5D89B4"/>
              </w:rPr>
              <w:t>F</w:t>
            </w:r>
          </w:p>
        </w:tc>
        <w:tc>
          <w:tcPr>
            <w:tcW w:w="620" w:type="dxa"/>
            <w:vAlign w:val="bottom"/>
          </w:tcPr>
          <w:p>
            <w:pPr>
              <w:jc w:val="right"/>
              <w:ind w:right="164"/>
              <w:spacing w:after="0"/>
              <w:rPr>
                <w:sz w:val="20"/>
                <w:szCs w:val="20"/>
                <w:color w:val="auto"/>
              </w:rPr>
            </w:pPr>
            <w:r>
              <w:rPr>
                <w:rFonts w:ascii="Arial" w:cs="Arial" w:eastAsia="Arial" w:hAnsi="Arial"/>
                <w:sz w:val="15"/>
                <w:szCs w:val="15"/>
                <w:color w:val="5D89B4"/>
              </w:rPr>
              <w:t>M</w:t>
            </w:r>
          </w:p>
        </w:tc>
        <w:tc>
          <w:tcPr>
            <w:tcW w:w="600" w:type="dxa"/>
            <w:vAlign w:val="bottom"/>
          </w:tcPr>
          <w:p>
            <w:pPr>
              <w:jc w:val="right"/>
              <w:ind w:right="144"/>
              <w:spacing w:after="0"/>
              <w:rPr>
                <w:sz w:val="20"/>
                <w:szCs w:val="20"/>
                <w:color w:val="auto"/>
              </w:rPr>
            </w:pPr>
            <w:r>
              <w:rPr>
                <w:rFonts w:ascii="Arial" w:cs="Arial" w:eastAsia="Arial" w:hAnsi="Arial"/>
                <w:sz w:val="15"/>
                <w:szCs w:val="15"/>
                <w:color w:val="5D89B4"/>
              </w:rPr>
              <w:t>M</w:t>
            </w:r>
          </w:p>
        </w:tc>
        <w:tc>
          <w:tcPr>
            <w:tcW w:w="560" w:type="dxa"/>
            <w:vAlign w:val="bottom"/>
          </w:tcPr>
          <w:p>
            <w:pPr>
              <w:jc w:val="right"/>
              <w:ind w:right="164"/>
              <w:spacing w:after="0"/>
              <w:rPr>
                <w:sz w:val="20"/>
                <w:szCs w:val="20"/>
                <w:color w:val="auto"/>
              </w:rPr>
            </w:pPr>
            <w:r>
              <w:rPr>
                <w:rFonts w:ascii="Arial" w:cs="Arial" w:eastAsia="Arial" w:hAnsi="Arial"/>
                <w:sz w:val="15"/>
                <w:szCs w:val="15"/>
                <w:color w:val="5D89B4"/>
              </w:rPr>
              <w:t>M</w:t>
            </w:r>
          </w:p>
        </w:tc>
        <w:tc>
          <w:tcPr>
            <w:tcW w:w="740" w:type="dxa"/>
            <w:vAlign w:val="bottom"/>
          </w:tcPr>
          <w:p>
            <w:pPr>
              <w:jc w:val="right"/>
              <w:ind w:right="264"/>
              <w:spacing w:after="0"/>
              <w:rPr>
                <w:sz w:val="20"/>
                <w:szCs w:val="20"/>
                <w:color w:val="auto"/>
              </w:rPr>
            </w:pPr>
            <w:r>
              <w:rPr>
                <w:rFonts w:ascii="Arial" w:cs="Arial" w:eastAsia="Arial" w:hAnsi="Arial"/>
                <w:sz w:val="15"/>
                <w:szCs w:val="15"/>
                <w:color w:val="5D89B4"/>
              </w:rPr>
              <w:t>F</w:t>
            </w:r>
          </w:p>
        </w:tc>
        <w:tc>
          <w:tcPr>
            <w:tcW w:w="540" w:type="dxa"/>
            <w:vAlign w:val="bottom"/>
          </w:tcPr>
          <w:p>
            <w:pPr>
              <w:jc w:val="right"/>
              <w:spacing w:after="0"/>
              <w:rPr>
                <w:sz w:val="20"/>
                <w:szCs w:val="20"/>
                <w:color w:val="auto"/>
              </w:rPr>
            </w:pPr>
            <w:r>
              <w:rPr>
                <w:rFonts w:ascii="Arial" w:cs="Arial" w:eastAsia="Arial" w:hAnsi="Arial"/>
                <w:sz w:val="15"/>
                <w:szCs w:val="15"/>
                <w:color w:val="5D89B4"/>
              </w:rPr>
              <w:t>M</w:t>
            </w:r>
          </w:p>
        </w:tc>
      </w:tr>
      <w:tr>
        <w:trPr>
          <w:trHeight w:val="50"/>
        </w:trPr>
        <w:tc>
          <w:tcPr>
            <w:tcW w:w="29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r>
        <w:trPr>
          <w:trHeight w:val="223"/>
        </w:trPr>
        <w:tc>
          <w:tcPr>
            <w:tcW w:w="2920" w:type="dxa"/>
            <w:vAlign w:val="bottom"/>
          </w:tcPr>
          <w:p>
            <w:pPr>
              <w:ind w:left="80"/>
              <w:spacing w:after="0"/>
              <w:rPr>
                <w:sz w:val="20"/>
                <w:szCs w:val="20"/>
                <w:color w:val="auto"/>
              </w:rPr>
            </w:pPr>
            <w:r>
              <w:rPr>
                <w:rFonts w:ascii="Arial" w:cs="Arial" w:eastAsia="Arial" w:hAnsi="Arial"/>
                <w:sz w:val="14"/>
                <w:szCs w:val="14"/>
                <w:b w:val="1"/>
                <w:bCs w:val="1"/>
                <w:color w:val="5D89B4"/>
              </w:rPr>
              <w:t>Asian</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52"/>
        </w:trPr>
        <w:tc>
          <w:tcPr>
            <w:tcW w:w="29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r>
        <w:trPr>
          <w:trHeight w:val="223"/>
        </w:trPr>
        <w:tc>
          <w:tcPr>
            <w:tcW w:w="2920" w:type="dxa"/>
            <w:vAlign w:val="bottom"/>
          </w:tcPr>
          <w:p>
            <w:pPr>
              <w:ind w:left="80"/>
              <w:spacing w:after="0"/>
              <w:rPr>
                <w:sz w:val="20"/>
                <w:szCs w:val="20"/>
                <w:color w:val="auto"/>
              </w:rPr>
            </w:pPr>
            <w:r>
              <w:rPr>
                <w:rFonts w:ascii="Arial" w:cs="Arial" w:eastAsia="Arial" w:hAnsi="Arial"/>
                <w:sz w:val="14"/>
                <w:szCs w:val="14"/>
                <w:b w:val="1"/>
                <w:bCs w:val="1"/>
                <w:color w:val="5D89B4"/>
              </w:rPr>
              <w:t>Black/African American</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52"/>
        </w:trPr>
        <w:tc>
          <w:tcPr>
            <w:tcW w:w="29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r>
        <w:trPr>
          <w:trHeight w:val="223"/>
        </w:trPr>
        <w:tc>
          <w:tcPr>
            <w:tcW w:w="2920" w:type="dxa"/>
            <w:vAlign w:val="bottom"/>
          </w:tcPr>
          <w:p>
            <w:pPr>
              <w:ind w:left="80"/>
              <w:spacing w:after="0"/>
              <w:rPr>
                <w:sz w:val="20"/>
                <w:szCs w:val="20"/>
                <w:color w:val="auto"/>
              </w:rPr>
            </w:pPr>
            <w:r>
              <w:rPr>
                <w:rFonts w:ascii="Arial" w:cs="Arial" w:eastAsia="Arial" w:hAnsi="Arial"/>
                <w:sz w:val="14"/>
                <w:szCs w:val="14"/>
                <w:b w:val="1"/>
                <w:bCs w:val="1"/>
                <w:color w:val="5D89B4"/>
              </w:rPr>
              <w:t>Hispanic/Latinx</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52"/>
        </w:trPr>
        <w:tc>
          <w:tcPr>
            <w:tcW w:w="29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r>
        <w:trPr>
          <w:trHeight w:val="223"/>
        </w:trPr>
        <w:tc>
          <w:tcPr>
            <w:tcW w:w="2920" w:type="dxa"/>
            <w:vAlign w:val="bottom"/>
          </w:tcPr>
          <w:p>
            <w:pPr>
              <w:ind w:left="80"/>
              <w:spacing w:after="0"/>
              <w:rPr>
                <w:sz w:val="20"/>
                <w:szCs w:val="20"/>
                <w:color w:val="auto"/>
              </w:rPr>
            </w:pPr>
            <w:r>
              <w:rPr>
                <w:rFonts w:ascii="Arial" w:cs="Arial" w:eastAsia="Arial" w:hAnsi="Arial"/>
                <w:sz w:val="14"/>
                <w:szCs w:val="14"/>
                <w:b w:val="1"/>
                <w:bCs w:val="1"/>
                <w:color w:val="5D89B4"/>
              </w:rPr>
              <w:t>White</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52"/>
        </w:trPr>
        <w:tc>
          <w:tcPr>
            <w:tcW w:w="29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r>
        <w:trPr>
          <w:trHeight w:val="223"/>
        </w:trPr>
        <w:tc>
          <w:tcPr>
            <w:tcW w:w="2920" w:type="dxa"/>
            <w:vAlign w:val="bottom"/>
          </w:tcPr>
          <w:p>
            <w:pPr>
              <w:ind w:left="80"/>
              <w:spacing w:after="0"/>
              <w:rPr>
                <w:sz w:val="20"/>
                <w:szCs w:val="20"/>
                <w:color w:val="auto"/>
              </w:rPr>
            </w:pPr>
            <w:r>
              <w:rPr>
                <w:rFonts w:ascii="Arial" w:cs="Arial" w:eastAsia="Arial" w:hAnsi="Arial"/>
                <w:sz w:val="14"/>
                <w:szCs w:val="14"/>
                <w:b w:val="1"/>
                <w:bCs w:val="1"/>
                <w:color w:val="5D89B4"/>
              </w:rPr>
              <w:t>Born Outside U.S.</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52"/>
        </w:trPr>
        <w:tc>
          <w:tcPr>
            <w:tcW w:w="29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-1706245</wp:posOffset>
            </wp:positionV>
            <wp:extent cx="6929755" cy="47644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9755" cy="476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20"/>
          <w:szCs w:val="20"/>
          <w:b w:val="1"/>
          <w:bCs w:val="1"/>
          <w:color w:val="5D89B4"/>
        </w:rPr>
        <w:t>9</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21" w:name="page22"/>
    <w:bookmarkEnd w:id="21"/>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Director Compensation for 2021</w:t>
      </w:r>
    </w:p>
    <w:p>
      <w:pPr>
        <w:spacing w:after="0" w:line="200" w:lineRule="exact"/>
        <w:rPr>
          <w:sz w:val="20"/>
          <w:szCs w:val="20"/>
          <w:color w:val="auto"/>
        </w:rPr>
      </w:pPr>
    </w:p>
    <w:p>
      <w:pPr>
        <w:spacing w:after="0" w:line="278" w:lineRule="exact"/>
        <w:rPr>
          <w:sz w:val="20"/>
          <w:szCs w:val="20"/>
          <w:color w:val="auto"/>
        </w:rPr>
      </w:pPr>
    </w:p>
    <w:p>
      <w:pPr>
        <w:ind w:right="100"/>
        <w:spacing w:after="0" w:line="229" w:lineRule="auto"/>
        <w:rPr>
          <w:sz w:val="20"/>
          <w:szCs w:val="20"/>
          <w:color w:val="auto"/>
        </w:rPr>
      </w:pPr>
      <w:r>
        <w:rPr>
          <w:rFonts w:ascii="Arial" w:cs="Arial" w:eastAsia="Arial" w:hAnsi="Arial"/>
          <w:sz w:val="15"/>
          <w:szCs w:val="15"/>
          <w:color w:val="auto"/>
        </w:rPr>
        <w:t>The governance and sustainability committee reviews and makes recommendations to the full board with respect to the compensation of our non-employee directors annually. The full board of directors reviews these recommendations and makes a final determination on the compensation of our directors. From time to time, the governance and sustainability committee will engage with an outside compensation consultant to benchmark the Company’s non-employee director compensation against that of relevant peer companies and the general market. The governance and sustainability committee engaged with Mercer in 2020 to review our non-employee director compensation program.</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For 2021, the board of directors approved the compensation arrangement for non-employee directors described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1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2021 NON-EMPLOYEE DIRECTOR COMPENSATION STRUCTURE</w:t>
            </w:r>
          </w:p>
        </w:tc>
        <w:tc>
          <w:tcPr>
            <w:tcW w:w="200" w:type="dxa"/>
            <w:vAlign w:val="bottom"/>
            <w:tcBorders>
              <w:bottom w:val="single" w:sz="8" w:color="EAEAEA"/>
            </w:tcBorders>
            <w:shd w:val="clear" w:color="auto" w:fill="EAEAEA"/>
          </w:tcPr>
          <w:p>
            <w:pPr>
              <w:spacing w:after="0"/>
              <w:rPr>
                <w:sz w:val="23"/>
                <w:szCs w:val="23"/>
                <w:color w:val="auto"/>
              </w:rPr>
            </w:pPr>
          </w:p>
        </w:tc>
        <w:tc>
          <w:tcPr>
            <w:tcW w:w="580" w:type="dxa"/>
            <w:vAlign w:val="bottom"/>
            <w:tcBorders>
              <w:bottom w:val="single" w:sz="8" w:color="EAEAEA"/>
            </w:tcBorders>
            <w:shd w:val="clear" w:color="auto" w:fill="EAEAEA"/>
          </w:tcPr>
          <w:p>
            <w:pPr>
              <w:spacing w:after="0"/>
              <w:rPr>
                <w:sz w:val="23"/>
                <w:szCs w:val="23"/>
                <w:color w:val="auto"/>
              </w:rPr>
            </w:pPr>
          </w:p>
        </w:tc>
      </w:tr>
      <w:tr>
        <w:trPr>
          <w:trHeight w:val="245"/>
        </w:trPr>
        <w:tc>
          <w:tcPr>
            <w:tcW w:w="10140" w:type="dxa"/>
            <w:vAlign w:val="bottom"/>
          </w:tcPr>
          <w:p>
            <w:pPr>
              <w:ind w:left="80"/>
              <w:spacing w:after="0"/>
              <w:rPr>
                <w:sz w:val="20"/>
                <w:szCs w:val="20"/>
                <w:color w:val="auto"/>
              </w:rPr>
            </w:pPr>
            <w:r>
              <w:rPr>
                <w:rFonts w:ascii="Arial" w:cs="Arial" w:eastAsia="Arial" w:hAnsi="Arial"/>
                <w:sz w:val="14"/>
                <w:szCs w:val="14"/>
                <w:color w:val="auto"/>
              </w:rPr>
              <w:t>Annual Base Retainer (TOTAL)</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290,000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300"/>
              <w:spacing w:after="0"/>
              <w:rPr>
                <w:sz w:val="20"/>
                <w:szCs w:val="20"/>
                <w:color w:val="auto"/>
              </w:rPr>
            </w:pPr>
            <w:r>
              <w:rPr>
                <w:rFonts w:ascii="Arial" w:cs="Arial" w:eastAsia="Arial" w:hAnsi="Arial"/>
                <w:sz w:val="14"/>
                <w:szCs w:val="14"/>
                <w:color w:val="auto"/>
              </w:rPr>
              <w:t>Cash</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115,000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300"/>
              <w:spacing w:after="0"/>
              <w:rPr>
                <w:sz w:val="20"/>
                <w:szCs w:val="20"/>
                <w:color w:val="auto"/>
              </w:rPr>
            </w:pPr>
            <w:r>
              <w:rPr>
                <w:rFonts w:ascii="Arial" w:cs="Arial" w:eastAsia="Arial" w:hAnsi="Arial"/>
                <w:sz w:val="14"/>
                <w:szCs w:val="14"/>
                <w:color w:val="auto"/>
              </w:rPr>
              <w:t>Equity</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175,000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Governance and Sustainability Committee Chair Retainer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People, Culture and Compensation Committee Chair Retainer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Audit Committee Chair Retainer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27,500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Retainer for lead director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25,000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Retainer for lead director in the case where he or she also serves as a committee chair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30,000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Annual Cash Retainer</w:t>
      </w:r>
    </w:p>
    <w:p>
      <w:pPr>
        <w:spacing w:after="0" w:line="75"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Each year, directors receive an annual cash retainer but can elect to receive deferred stock in lieu of 50%, 75% or 100% of their annual cash retainer. This deferred stock will be granted at the end of the year for which the election was made. The number of shares granted will equal the annual cash retainer divided by the average of the closing prices of ManpowerGroup common stock on the last trading day of each full or partial calendar quarter covered by the election period. For 2021, Mr. Gipson elected to accept deferred stock in lieu of 100% of his annual cash retainer.</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Annual Equity Grant</w:t>
      </w:r>
    </w:p>
    <w:p>
      <w:pPr>
        <w:spacing w:after="0" w:line="75" w:lineRule="exact"/>
        <w:rPr>
          <w:sz w:val="20"/>
          <w:szCs w:val="20"/>
          <w:color w:val="auto"/>
        </w:rPr>
      </w:pPr>
    </w:p>
    <w:p>
      <w:pPr>
        <w:ind w:right="80"/>
        <w:spacing w:after="0" w:line="229" w:lineRule="auto"/>
        <w:rPr>
          <w:sz w:val="20"/>
          <w:szCs w:val="20"/>
          <w:color w:val="auto"/>
        </w:rPr>
      </w:pPr>
      <w:r>
        <w:rPr>
          <w:rFonts w:ascii="Arial" w:cs="Arial" w:eastAsia="Arial" w:hAnsi="Arial"/>
          <w:sz w:val="15"/>
          <w:szCs w:val="15"/>
          <w:color w:val="auto"/>
        </w:rPr>
        <w:t>Each year directors also receive an annual grant of deferred stock. The annual grant is effective on January 1 of each year and the number of shares granted will equal the annual equity retainer divided by the closing sale price of a share of ManpowerGroup’s common stock on the last business day of the preceding year. Alternatively, the directors can elect to receive restricted stock instead of deferred stock if they make the election on or before December 31 of the preceding year. For 2021, the total shares of deferred stock or restricted stock granted to each director was 1,941 shares. The shares vest in equal quarterly installments on the last day of each calendar quarter during the year.</w:t>
      </w:r>
    </w:p>
    <w:p>
      <w:pPr>
        <w:spacing w:after="0" w:line="87" w:lineRule="exact"/>
        <w:rPr>
          <w:sz w:val="20"/>
          <w:szCs w:val="20"/>
          <w:color w:val="auto"/>
        </w:rPr>
      </w:pPr>
    </w:p>
    <w:p>
      <w:pPr>
        <w:ind w:right="380"/>
        <w:spacing w:after="0" w:line="237" w:lineRule="auto"/>
        <w:rPr>
          <w:sz w:val="20"/>
          <w:szCs w:val="20"/>
          <w:color w:val="auto"/>
        </w:rPr>
      </w:pPr>
      <w:r>
        <w:rPr>
          <w:rFonts w:ascii="Arial" w:cs="Arial" w:eastAsia="Arial" w:hAnsi="Arial"/>
          <w:sz w:val="15"/>
          <w:szCs w:val="15"/>
          <w:color w:val="auto"/>
        </w:rPr>
        <w:t>A new director will receive a grant of deferred stock effective the date the director is appointed to the board and will be prorated for the year. They can elect to receive restricted stock instead if they make the election within 10 days of appointment to the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Distribution of Deferred Stock</w:t>
      </w:r>
    </w:p>
    <w:p>
      <w:pPr>
        <w:spacing w:after="0" w:line="88"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Deferred stock will be distributed in ManpowerGroup shares on the earlier of 3 years from the date of grant or within 30 days of the director leaving the board. However, the director can extend the deferral period for these grants by at least five years, and thereafter extend further by at least five more years, as long as the election to extend is made at least twelve months before the end of the current deferral period. If a director extends the deferral period but leaves the board prior to the extended date, the deferred stock will be distributed within 30 days of the director leaving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10</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DIRECTOR COMPENSATION FOR 2021</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Amendment to Compensation Program for 2022</w:t>
      </w:r>
    </w:p>
    <w:p>
      <w:pPr>
        <w:spacing w:after="0" w:line="88"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For 2022, the board of directors did not make any changes to the annual cash or equity retainers for non-employee directors. It also did not make any adjustments to the annual committee chair retainers. However, the board of directors did approve an increase to the annual retainer for the lead director to $35,000, or a $40,000 total annual retainer in the case where the lead director also serves as a committee chair.</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Director Compensation for 2021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20" w:type="dxa"/>
            <w:vAlign w:val="bottom"/>
            <w:shd w:val="clear" w:color="auto" w:fill="EAEAEA"/>
          </w:tcPr>
          <w:p>
            <w:pPr>
              <w:spacing w:after="0"/>
              <w:rPr>
                <w:sz w:val="18"/>
                <w:szCs w:val="18"/>
                <w:color w:val="auto"/>
              </w:rPr>
            </w:pPr>
          </w:p>
        </w:tc>
        <w:tc>
          <w:tcPr>
            <w:tcW w:w="226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FEES EARNED OR</w:t>
            </w:r>
          </w:p>
        </w:tc>
        <w:tc>
          <w:tcPr>
            <w:tcW w:w="206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r>
      <w:tr>
        <w:trPr>
          <w:trHeight w:val="160"/>
        </w:trPr>
        <w:tc>
          <w:tcPr>
            <w:tcW w:w="5420" w:type="dxa"/>
            <w:vAlign w:val="bottom"/>
            <w:shd w:val="clear" w:color="auto" w:fill="EAEAEA"/>
          </w:tcPr>
          <w:p>
            <w:pPr>
              <w:spacing w:after="0"/>
              <w:rPr>
                <w:sz w:val="13"/>
                <w:szCs w:val="13"/>
                <w:color w:val="auto"/>
              </w:rPr>
            </w:pPr>
          </w:p>
        </w:tc>
        <w:tc>
          <w:tcPr>
            <w:tcW w:w="226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PAID IN CASH</w:t>
            </w:r>
          </w:p>
        </w:tc>
        <w:tc>
          <w:tcPr>
            <w:tcW w:w="206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STOCK AWARDS</w:t>
            </w:r>
          </w:p>
        </w:tc>
        <w:tc>
          <w:tcPr>
            <w:tcW w:w="1180" w:type="dxa"/>
            <w:vAlign w:val="bottom"/>
            <w:shd w:val="clear" w:color="auto" w:fill="EAEAEA"/>
          </w:tcPr>
          <w:p>
            <w:pPr>
              <w:spacing w:after="0"/>
              <w:rPr>
                <w:sz w:val="13"/>
                <w:szCs w:val="13"/>
                <w:color w:val="auto"/>
              </w:rPr>
            </w:pPr>
          </w:p>
        </w:tc>
      </w:tr>
      <w:tr>
        <w:trPr>
          <w:trHeight w:val="234"/>
        </w:trPr>
        <w:tc>
          <w:tcPr>
            <w:tcW w:w="54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2260" w:type="dxa"/>
            <w:vAlign w:val="bottom"/>
            <w:tcBorders>
              <w:bottom w:val="single" w:sz="8" w:color="EAEAEA"/>
            </w:tcBorders>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w:t>
            </w:r>
          </w:p>
        </w:tc>
        <w:tc>
          <w:tcPr>
            <w:tcW w:w="2060" w:type="dxa"/>
            <w:vAlign w:val="bottom"/>
            <w:tcBorders>
              <w:bottom w:val="single" w:sz="8" w:color="EAEAEA"/>
            </w:tcBorders>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($)(2)</w:t>
            </w:r>
          </w:p>
        </w:tc>
        <w:tc>
          <w:tcPr>
            <w:tcW w:w="1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TOTAL ($)</w:t>
            </w:r>
          </w:p>
        </w:tc>
      </w:tr>
      <w:tr>
        <w:trPr>
          <w:trHeight w:val="24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Gina R. Boswell</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175,000</w:t>
            </w:r>
          </w:p>
        </w:tc>
        <w:tc>
          <w:tcPr>
            <w:tcW w:w="1180" w:type="dxa"/>
            <w:vAlign w:val="bottom"/>
          </w:tcPr>
          <w:p>
            <w:pPr>
              <w:jc w:val="right"/>
              <w:spacing w:after="0"/>
              <w:rPr>
                <w:sz w:val="20"/>
                <w:szCs w:val="20"/>
                <w:color w:val="auto"/>
              </w:rPr>
            </w:pPr>
            <w:r>
              <w:rPr>
                <w:rFonts w:ascii="Arial" w:cs="Arial" w:eastAsia="Arial" w:hAnsi="Arial"/>
                <w:sz w:val="15"/>
                <w:szCs w:val="15"/>
                <w:color w:val="auto"/>
              </w:rPr>
              <w:t>290,000</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180,081</w:t>
            </w:r>
          </w:p>
        </w:tc>
        <w:tc>
          <w:tcPr>
            <w:tcW w:w="1180" w:type="dxa"/>
            <w:vAlign w:val="bottom"/>
          </w:tcPr>
          <w:p>
            <w:pPr>
              <w:jc w:val="right"/>
              <w:spacing w:after="0"/>
              <w:rPr>
                <w:sz w:val="20"/>
                <w:szCs w:val="20"/>
                <w:color w:val="auto"/>
              </w:rPr>
            </w:pPr>
            <w:r>
              <w:rPr>
                <w:rFonts w:ascii="Arial" w:cs="Arial" w:eastAsia="Arial" w:hAnsi="Arial"/>
                <w:sz w:val="15"/>
                <w:szCs w:val="15"/>
                <w:color w:val="auto"/>
              </w:rPr>
              <w:t>295,081</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Cari M. Dominguez(1)</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40,440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61,538</w:t>
            </w:r>
          </w:p>
        </w:tc>
        <w:tc>
          <w:tcPr>
            <w:tcW w:w="1180" w:type="dxa"/>
            <w:vAlign w:val="bottom"/>
          </w:tcPr>
          <w:p>
            <w:pPr>
              <w:jc w:val="right"/>
              <w:spacing w:after="0"/>
              <w:rPr>
                <w:sz w:val="20"/>
                <w:szCs w:val="20"/>
                <w:color w:val="auto"/>
              </w:rPr>
            </w:pPr>
            <w:r>
              <w:rPr>
                <w:rFonts w:ascii="Arial" w:cs="Arial" w:eastAsia="Arial" w:hAnsi="Arial"/>
                <w:sz w:val="15"/>
                <w:szCs w:val="15"/>
                <w:color w:val="auto"/>
              </w:rPr>
              <w:t>101,978</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140,000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247,091</w:t>
            </w:r>
          </w:p>
        </w:tc>
        <w:tc>
          <w:tcPr>
            <w:tcW w:w="1180" w:type="dxa"/>
            <w:vAlign w:val="bottom"/>
          </w:tcPr>
          <w:p>
            <w:pPr>
              <w:jc w:val="right"/>
              <w:spacing w:after="0"/>
              <w:rPr>
                <w:sz w:val="20"/>
                <w:szCs w:val="20"/>
                <w:color w:val="auto"/>
              </w:rPr>
            </w:pPr>
            <w:r>
              <w:rPr>
                <w:rFonts w:ascii="Arial" w:cs="Arial" w:eastAsia="Arial" w:hAnsi="Arial"/>
                <w:sz w:val="15"/>
                <w:szCs w:val="15"/>
                <w:color w:val="auto"/>
              </w:rPr>
              <w:t>387,091</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213,004</w:t>
            </w:r>
          </w:p>
        </w:tc>
        <w:tc>
          <w:tcPr>
            <w:tcW w:w="1180" w:type="dxa"/>
            <w:vAlign w:val="bottom"/>
          </w:tcPr>
          <w:p>
            <w:pPr>
              <w:jc w:val="right"/>
              <w:spacing w:after="0"/>
              <w:rPr>
                <w:sz w:val="20"/>
                <w:szCs w:val="20"/>
                <w:color w:val="auto"/>
              </w:rPr>
            </w:pPr>
            <w:r>
              <w:rPr>
                <w:rFonts w:ascii="Arial" w:cs="Arial" w:eastAsia="Arial" w:hAnsi="Arial"/>
                <w:sz w:val="15"/>
                <w:szCs w:val="15"/>
                <w:color w:val="auto"/>
              </w:rPr>
              <w:t>328,004</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295,081</w:t>
            </w:r>
          </w:p>
        </w:tc>
        <w:tc>
          <w:tcPr>
            <w:tcW w:w="1180" w:type="dxa"/>
            <w:vAlign w:val="bottom"/>
          </w:tcPr>
          <w:p>
            <w:pPr>
              <w:jc w:val="right"/>
              <w:spacing w:after="0"/>
              <w:rPr>
                <w:sz w:val="20"/>
                <w:szCs w:val="20"/>
                <w:color w:val="auto"/>
              </w:rPr>
            </w:pPr>
            <w:r>
              <w:rPr>
                <w:rFonts w:ascii="Arial" w:cs="Arial" w:eastAsia="Arial" w:hAnsi="Arial"/>
                <w:sz w:val="15"/>
                <w:szCs w:val="15"/>
                <w:color w:val="auto"/>
              </w:rPr>
              <w:t>295,081</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135,000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186,433</w:t>
            </w:r>
          </w:p>
        </w:tc>
        <w:tc>
          <w:tcPr>
            <w:tcW w:w="1180" w:type="dxa"/>
            <w:vAlign w:val="bottom"/>
          </w:tcPr>
          <w:p>
            <w:pPr>
              <w:jc w:val="right"/>
              <w:spacing w:after="0"/>
              <w:rPr>
                <w:sz w:val="20"/>
                <w:szCs w:val="20"/>
                <w:color w:val="auto"/>
              </w:rPr>
            </w:pPr>
            <w:r>
              <w:rPr>
                <w:rFonts w:ascii="Arial" w:cs="Arial" w:eastAsia="Arial" w:hAnsi="Arial"/>
                <w:sz w:val="15"/>
                <w:szCs w:val="15"/>
                <w:color w:val="auto"/>
              </w:rPr>
              <w:t>321,433</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212,051</w:t>
            </w:r>
          </w:p>
        </w:tc>
        <w:tc>
          <w:tcPr>
            <w:tcW w:w="1180" w:type="dxa"/>
            <w:vAlign w:val="bottom"/>
          </w:tcPr>
          <w:p>
            <w:pPr>
              <w:jc w:val="right"/>
              <w:spacing w:after="0"/>
              <w:rPr>
                <w:sz w:val="20"/>
                <w:szCs w:val="20"/>
                <w:color w:val="auto"/>
              </w:rPr>
            </w:pPr>
            <w:r>
              <w:rPr>
                <w:rFonts w:ascii="Arial" w:cs="Arial" w:eastAsia="Arial" w:hAnsi="Arial"/>
                <w:sz w:val="15"/>
                <w:szCs w:val="15"/>
                <w:color w:val="auto"/>
              </w:rPr>
              <w:t>327,051</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194,584</w:t>
            </w:r>
          </w:p>
        </w:tc>
        <w:tc>
          <w:tcPr>
            <w:tcW w:w="1180" w:type="dxa"/>
            <w:vAlign w:val="bottom"/>
          </w:tcPr>
          <w:p>
            <w:pPr>
              <w:jc w:val="right"/>
              <w:spacing w:after="0"/>
              <w:rPr>
                <w:sz w:val="20"/>
                <w:szCs w:val="20"/>
                <w:color w:val="auto"/>
              </w:rPr>
            </w:pPr>
            <w:r>
              <w:rPr>
                <w:rFonts w:ascii="Arial" w:cs="Arial" w:eastAsia="Arial" w:hAnsi="Arial"/>
                <w:sz w:val="15"/>
                <w:szCs w:val="15"/>
                <w:color w:val="auto"/>
              </w:rPr>
              <w:t>309,584</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142,500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194,584</w:t>
            </w:r>
          </w:p>
        </w:tc>
        <w:tc>
          <w:tcPr>
            <w:tcW w:w="1180" w:type="dxa"/>
            <w:vAlign w:val="bottom"/>
          </w:tcPr>
          <w:p>
            <w:pPr>
              <w:jc w:val="right"/>
              <w:spacing w:after="0"/>
              <w:rPr>
                <w:sz w:val="20"/>
                <w:szCs w:val="20"/>
                <w:color w:val="auto"/>
              </w:rPr>
            </w:pPr>
            <w:r>
              <w:rPr>
                <w:rFonts w:ascii="Arial" w:cs="Arial" w:eastAsia="Arial" w:hAnsi="Arial"/>
                <w:sz w:val="15"/>
                <w:szCs w:val="15"/>
                <w:color w:val="auto"/>
              </w:rPr>
              <w:t>337,084</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135,000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175,000</w:t>
            </w:r>
          </w:p>
        </w:tc>
        <w:tc>
          <w:tcPr>
            <w:tcW w:w="1180" w:type="dxa"/>
            <w:vAlign w:val="bottom"/>
          </w:tcPr>
          <w:p>
            <w:pPr>
              <w:jc w:val="right"/>
              <w:spacing w:after="0"/>
              <w:rPr>
                <w:sz w:val="20"/>
                <w:szCs w:val="20"/>
                <w:color w:val="auto"/>
              </w:rPr>
            </w:pPr>
            <w:r>
              <w:rPr>
                <w:rFonts w:ascii="Arial" w:cs="Arial" w:eastAsia="Arial" w:hAnsi="Arial"/>
                <w:sz w:val="15"/>
                <w:szCs w:val="15"/>
                <w:color w:val="auto"/>
              </w:rPr>
              <w:t>310,000</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26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60" w:type="dxa"/>
            <w:vAlign w:val="bottom"/>
          </w:tcPr>
          <w:p>
            <w:pPr>
              <w:jc w:val="right"/>
              <w:ind w:right="385"/>
              <w:spacing w:after="0"/>
              <w:rPr>
                <w:sz w:val="20"/>
                <w:szCs w:val="20"/>
                <w:color w:val="auto"/>
              </w:rPr>
            </w:pPr>
            <w:r>
              <w:rPr>
                <w:rFonts w:ascii="Arial" w:cs="Arial" w:eastAsia="Arial" w:hAnsi="Arial"/>
                <w:sz w:val="15"/>
                <w:szCs w:val="15"/>
                <w:color w:val="auto"/>
              </w:rPr>
              <w:t>191,091</w:t>
            </w:r>
          </w:p>
        </w:tc>
        <w:tc>
          <w:tcPr>
            <w:tcW w:w="1180" w:type="dxa"/>
            <w:vAlign w:val="bottom"/>
          </w:tcPr>
          <w:p>
            <w:pPr>
              <w:jc w:val="right"/>
              <w:spacing w:after="0"/>
              <w:rPr>
                <w:sz w:val="20"/>
                <w:szCs w:val="20"/>
                <w:color w:val="auto"/>
              </w:rPr>
            </w:pPr>
            <w:r>
              <w:rPr>
                <w:rFonts w:ascii="Arial" w:cs="Arial" w:eastAsia="Arial" w:hAnsi="Arial"/>
                <w:sz w:val="15"/>
                <w:szCs w:val="15"/>
                <w:color w:val="auto"/>
              </w:rPr>
              <w:t>306,091</w:t>
            </w:r>
          </w:p>
        </w:tc>
      </w:tr>
      <w:tr>
        <w:trPr>
          <w:trHeight w:val="50"/>
        </w:trPr>
        <w:tc>
          <w:tcPr>
            <w:tcW w:w="5420" w:type="dxa"/>
            <w:vAlign w:val="bottom"/>
            <w:tcBorders>
              <w:bottom w:val="single" w:sz="8" w:color="5D89B4"/>
            </w:tcBorders>
          </w:tcPr>
          <w:p>
            <w:pPr>
              <w:spacing w:after="0"/>
              <w:rPr>
                <w:sz w:val="4"/>
                <w:szCs w:val="4"/>
                <w:color w:val="auto"/>
              </w:rPr>
            </w:pPr>
          </w:p>
        </w:tc>
        <w:tc>
          <w:tcPr>
            <w:tcW w:w="22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18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Dominguez retired from the board of directors on May 7, 2021.</w:t>
      </w:r>
    </w:p>
    <w:p>
      <w:pPr>
        <w:spacing w:after="0" w:line="66" w:lineRule="exact"/>
        <w:rPr>
          <w:rFonts w:ascii="Arial" w:cs="Arial" w:eastAsia="Arial" w:hAnsi="Arial"/>
          <w:sz w:val="14"/>
          <w:szCs w:val="14"/>
          <w:color w:val="auto"/>
        </w:rPr>
      </w:pPr>
    </w:p>
    <w:p>
      <w:pPr>
        <w:ind w:left="440" w:right="140" w:hanging="433"/>
        <w:spacing w:after="0" w:line="246"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53"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Ms. Boswell, $175,000 attributable to the annual grant of restricted stock (1,941 shares) in 2021.</w:t>
      </w:r>
    </w:p>
    <w:p>
      <w:pPr>
        <w:spacing w:after="0" w:line="66" w:lineRule="exact"/>
        <w:rPr>
          <w:rFonts w:ascii="Arial" w:cs="Arial" w:eastAsia="Arial" w:hAnsi="Arial"/>
          <w:sz w:val="14"/>
          <w:szCs w:val="14"/>
          <w:color w:val="auto"/>
        </w:rPr>
      </w:pPr>
    </w:p>
    <w:p>
      <w:pPr>
        <w:ind w:left="440" w:right="240"/>
        <w:spacing w:after="0" w:line="254" w:lineRule="auto"/>
        <w:rPr>
          <w:rFonts w:ascii="Arial" w:cs="Arial" w:eastAsia="Arial" w:hAnsi="Arial"/>
          <w:sz w:val="14"/>
          <w:szCs w:val="14"/>
          <w:color w:val="auto"/>
        </w:rPr>
      </w:pPr>
      <w:r>
        <w:rPr>
          <w:rFonts w:ascii="Arial" w:cs="Arial" w:eastAsia="Arial" w:hAnsi="Arial"/>
          <w:sz w:val="14"/>
          <w:szCs w:val="14"/>
          <w:color w:val="auto"/>
        </w:rPr>
        <w:t>For Mr. Courtois, $175,000 attributable to the annual grant of deferred stock (1,941 shares) and $5,081 attributable to deferred stock issued in lieu of dividends (48 shares) in 2021.</w:t>
      </w:r>
    </w:p>
    <w:p>
      <w:pPr>
        <w:spacing w:after="0" w:line="47"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Ms. Dominguez, $61,538 attributable to the annual grant of restricted stock (682 shares) in 2021.</w:t>
      </w:r>
    </w:p>
    <w:p>
      <w:pPr>
        <w:spacing w:after="0" w:line="66" w:lineRule="exact"/>
        <w:rPr>
          <w:rFonts w:ascii="Arial" w:cs="Arial" w:eastAsia="Arial" w:hAnsi="Arial"/>
          <w:sz w:val="14"/>
          <w:szCs w:val="14"/>
          <w:color w:val="auto"/>
        </w:rPr>
      </w:pPr>
    </w:p>
    <w:p>
      <w:pPr>
        <w:ind w:left="440" w:right="120"/>
        <w:spacing w:after="0" w:line="254" w:lineRule="auto"/>
        <w:rPr>
          <w:rFonts w:ascii="Arial" w:cs="Arial" w:eastAsia="Arial" w:hAnsi="Arial"/>
          <w:sz w:val="14"/>
          <w:szCs w:val="14"/>
          <w:color w:val="auto"/>
        </w:rPr>
      </w:pPr>
      <w:r>
        <w:rPr>
          <w:rFonts w:ascii="Arial" w:cs="Arial" w:eastAsia="Arial" w:hAnsi="Arial"/>
          <w:sz w:val="14"/>
          <w:szCs w:val="14"/>
          <w:color w:val="auto"/>
        </w:rPr>
        <w:t>For Mr. Downe, $175,000 attributable to the annual grant of restricted stock (1,941 shares) and $72,091 attributable to deferred stock issued in lieu of dividends (681 shares) in 2021.</w:t>
      </w:r>
    </w:p>
    <w:p>
      <w:pPr>
        <w:spacing w:after="0" w:line="47" w:lineRule="exact"/>
        <w:rPr>
          <w:rFonts w:ascii="Arial" w:cs="Arial" w:eastAsia="Arial" w:hAnsi="Arial"/>
          <w:sz w:val="14"/>
          <w:szCs w:val="14"/>
          <w:color w:val="auto"/>
        </w:rPr>
      </w:pPr>
    </w:p>
    <w:p>
      <w:pPr>
        <w:ind w:left="440" w:right="160"/>
        <w:spacing w:after="0" w:line="254" w:lineRule="auto"/>
        <w:rPr>
          <w:rFonts w:ascii="Arial" w:cs="Arial" w:eastAsia="Arial" w:hAnsi="Arial"/>
          <w:sz w:val="14"/>
          <w:szCs w:val="14"/>
          <w:color w:val="auto"/>
        </w:rPr>
      </w:pPr>
      <w:r>
        <w:rPr>
          <w:rFonts w:ascii="Arial" w:cs="Arial" w:eastAsia="Arial" w:hAnsi="Arial"/>
          <w:sz w:val="14"/>
          <w:szCs w:val="14"/>
          <w:color w:val="auto"/>
        </w:rPr>
        <w:t>For Mr. Ferraro, $175,000 attributable to the annual grant of deferred stock (1,941 shares) and $38,004 attributable to deferred stock issued in lieu of dividends (359 shares) in 2021.</w:t>
      </w:r>
    </w:p>
    <w:p>
      <w:pPr>
        <w:spacing w:after="0" w:line="47" w:lineRule="exact"/>
        <w:rPr>
          <w:rFonts w:ascii="Arial" w:cs="Arial" w:eastAsia="Arial" w:hAnsi="Arial"/>
          <w:sz w:val="14"/>
          <w:szCs w:val="14"/>
          <w:color w:val="auto"/>
        </w:rPr>
      </w:pPr>
    </w:p>
    <w:p>
      <w:pPr>
        <w:ind w:left="440" w:right="440"/>
        <w:spacing w:after="0" w:line="254" w:lineRule="auto"/>
        <w:rPr>
          <w:rFonts w:ascii="Arial" w:cs="Arial" w:eastAsia="Arial" w:hAnsi="Arial"/>
          <w:sz w:val="14"/>
          <w:szCs w:val="14"/>
          <w:color w:val="auto"/>
        </w:rPr>
      </w:pPr>
      <w:r>
        <w:rPr>
          <w:rFonts w:ascii="Arial" w:cs="Arial" w:eastAsia="Arial" w:hAnsi="Arial"/>
          <w:sz w:val="14"/>
          <w:szCs w:val="14"/>
          <w:color w:val="auto"/>
        </w:rPr>
        <w:t>For Mr. Gipson, $175,000 attributable to the annual grant of deferred stock (1,941 shares), $115,000 attributable to deferred stock granted in lieu of 100% of his annual retainer (1,086 shares) and $5,081 attributable to deferred stock issued in lieu of dividends (48 shares) in 2021.</w:t>
      </w:r>
    </w:p>
    <w:p>
      <w:pPr>
        <w:spacing w:after="0" w:line="47" w:lineRule="exact"/>
        <w:rPr>
          <w:rFonts w:ascii="Arial" w:cs="Arial" w:eastAsia="Arial" w:hAnsi="Arial"/>
          <w:sz w:val="14"/>
          <w:szCs w:val="14"/>
          <w:color w:val="auto"/>
        </w:rPr>
      </w:pPr>
    </w:p>
    <w:p>
      <w:pPr>
        <w:ind w:left="440" w:right="520"/>
        <w:spacing w:after="0" w:line="254" w:lineRule="auto"/>
        <w:rPr>
          <w:rFonts w:ascii="Arial" w:cs="Arial" w:eastAsia="Arial" w:hAnsi="Arial"/>
          <w:sz w:val="14"/>
          <w:szCs w:val="14"/>
          <w:color w:val="auto"/>
        </w:rPr>
      </w:pPr>
      <w:r>
        <w:rPr>
          <w:rFonts w:ascii="Arial" w:cs="Arial" w:eastAsia="Arial" w:hAnsi="Arial"/>
          <w:sz w:val="14"/>
          <w:szCs w:val="14"/>
          <w:color w:val="auto"/>
        </w:rPr>
        <w:t>For Ms. Hemingway Hall, $175,000 attributable to the annual grant of deferred stock (1,941 shares) and $11,433 attributable to deferred stock issued in lieu of dividends (108 shares) in 2021.</w:t>
      </w:r>
    </w:p>
    <w:p>
      <w:pPr>
        <w:spacing w:after="0" w:line="47" w:lineRule="exact"/>
        <w:rPr>
          <w:rFonts w:ascii="Arial" w:cs="Arial" w:eastAsia="Arial" w:hAnsi="Arial"/>
          <w:sz w:val="14"/>
          <w:szCs w:val="14"/>
          <w:color w:val="auto"/>
        </w:rPr>
      </w:pPr>
    </w:p>
    <w:p>
      <w:pPr>
        <w:ind w:left="440" w:right="60"/>
        <w:spacing w:after="0" w:line="254" w:lineRule="auto"/>
        <w:rPr>
          <w:rFonts w:ascii="Arial" w:cs="Arial" w:eastAsia="Arial" w:hAnsi="Arial"/>
          <w:sz w:val="14"/>
          <w:szCs w:val="14"/>
          <w:color w:val="auto"/>
        </w:rPr>
      </w:pPr>
      <w:r>
        <w:rPr>
          <w:rFonts w:ascii="Arial" w:cs="Arial" w:eastAsia="Arial" w:hAnsi="Arial"/>
          <w:sz w:val="14"/>
          <w:szCs w:val="14"/>
          <w:color w:val="auto"/>
        </w:rPr>
        <w:t>For Ms. Howard, $175,000 attributable to the annual grant of deferred stock (1,941 shares), and $37,051 attributable to deferred stock issued in lieu of dividends (350 shares) in 2021.</w:t>
      </w:r>
    </w:p>
    <w:p>
      <w:pPr>
        <w:spacing w:after="0" w:line="47" w:lineRule="exact"/>
        <w:rPr>
          <w:rFonts w:ascii="Arial" w:cs="Arial" w:eastAsia="Arial" w:hAnsi="Arial"/>
          <w:sz w:val="14"/>
          <w:szCs w:val="14"/>
          <w:color w:val="auto"/>
        </w:rPr>
      </w:pPr>
    </w:p>
    <w:p>
      <w:pPr>
        <w:ind w:left="440" w:right="220"/>
        <w:spacing w:after="0" w:line="254" w:lineRule="auto"/>
        <w:rPr>
          <w:rFonts w:ascii="Arial" w:cs="Arial" w:eastAsia="Arial" w:hAnsi="Arial"/>
          <w:sz w:val="14"/>
          <w:szCs w:val="14"/>
          <w:color w:val="auto"/>
        </w:rPr>
      </w:pPr>
      <w:r>
        <w:rPr>
          <w:rFonts w:ascii="Arial" w:cs="Arial" w:eastAsia="Arial" w:hAnsi="Arial"/>
          <w:sz w:val="14"/>
          <w:szCs w:val="14"/>
          <w:color w:val="auto"/>
        </w:rPr>
        <w:t>For Mr. Payne, $175,000 attributable to the annual grant of deferred stock (1,941 shares) and $19,584 attributable to deferred stock issued in lieu of dividends (185 shares) in 2021.</w:t>
      </w:r>
    </w:p>
    <w:p>
      <w:pPr>
        <w:spacing w:after="0" w:line="47" w:lineRule="exact"/>
        <w:rPr>
          <w:rFonts w:ascii="Arial" w:cs="Arial" w:eastAsia="Arial" w:hAnsi="Arial"/>
          <w:sz w:val="14"/>
          <w:szCs w:val="14"/>
          <w:color w:val="auto"/>
        </w:rPr>
      </w:pPr>
    </w:p>
    <w:p>
      <w:pPr>
        <w:ind w:left="440" w:right="280"/>
        <w:spacing w:after="0" w:line="254" w:lineRule="auto"/>
        <w:rPr>
          <w:rFonts w:ascii="Arial" w:cs="Arial" w:eastAsia="Arial" w:hAnsi="Arial"/>
          <w:sz w:val="14"/>
          <w:szCs w:val="14"/>
          <w:color w:val="auto"/>
        </w:rPr>
      </w:pPr>
      <w:r>
        <w:rPr>
          <w:rFonts w:ascii="Arial" w:cs="Arial" w:eastAsia="Arial" w:hAnsi="Arial"/>
          <w:sz w:val="14"/>
          <w:szCs w:val="14"/>
          <w:color w:val="auto"/>
        </w:rPr>
        <w:t>For Mr. Read, $175,000 attributable to the annual grant of deferred stock (1,941 shares) and $19,584 attributable to deferred stock issued in lieu of dividends (185 shares) in 2021.</w:t>
      </w:r>
    </w:p>
    <w:p>
      <w:pPr>
        <w:spacing w:after="0" w:line="47"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Ms. Sartain, $175,000 attributable to the annual grant of restricted stock (1,941 shares) in 2021.</w:t>
      </w:r>
    </w:p>
    <w:p>
      <w:pPr>
        <w:spacing w:after="0" w:line="66" w:lineRule="exact"/>
        <w:rPr>
          <w:rFonts w:ascii="Arial" w:cs="Arial" w:eastAsia="Arial" w:hAnsi="Arial"/>
          <w:sz w:val="14"/>
          <w:szCs w:val="14"/>
          <w:color w:val="auto"/>
        </w:rPr>
      </w:pPr>
    </w:p>
    <w:p>
      <w:pPr>
        <w:ind w:left="440" w:right="220"/>
        <w:spacing w:after="0" w:line="254" w:lineRule="auto"/>
        <w:rPr>
          <w:rFonts w:ascii="Arial" w:cs="Arial" w:eastAsia="Arial" w:hAnsi="Arial"/>
          <w:sz w:val="14"/>
          <w:szCs w:val="14"/>
          <w:color w:val="auto"/>
        </w:rPr>
      </w:pPr>
      <w:r>
        <w:rPr>
          <w:rFonts w:ascii="Arial" w:cs="Arial" w:eastAsia="Arial" w:hAnsi="Arial"/>
          <w:sz w:val="14"/>
          <w:szCs w:val="14"/>
          <w:color w:val="auto"/>
        </w:rPr>
        <w:t>For Mr. Van Handel, $175,000 attributable to the annual grant of deferred stock (1,941 shares) and $16,091 attributable to deferred stock issued in lieu of dividends (152 shares) in 2021.</w:t>
      </w:r>
    </w:p>
    <w:p>
      <w:pPr>
        <w:spacing w:after="0" w:line="47" w:lineRule="exact"/>
        <w:rPr>
          <w:rFonts w:ascii="Arial" w:cs="Arial" w:eastAsia="Arial" w:hAnsi="Arial"/>
          <w:sz w:val="14"/>
          <w:szCs w:val="14"/>
          <w:color w:val="auto"/>
        </w:rPr>
      </w:pPr>
    </w:p>
    <w:p>
      <w:pPr>
        <w:jc w:val="both"/>
        <w:ind w:left="440" w:right="260"/>
        <w:spacing w:after="0" w:line="246" w:lineRule="auto"/>
        <w:rPr>
          <w:rFonts w:ascii="Arial" w:cs="Arial" w:eastAsia="Arial" w:hAnsi="Arial"/>
          <w:sz w:val="14"/>
          <w:szCs w:val="14"/>
          <w:color w:val="auto"/>
        </w:rPr>
      </w:pPr>
      <w:r>
        <w:rPr>
          <w:rFonts w:ascii="Arial" w:cs="Arial" w:eastAsia="Arial" w:hAnsi="Arial"/>
          <w:sz w:val="14"/>
          <w:szCs w:val="14"/>
          <w:color w:val="auto"/>
        </w:rPr>
        <w:t>The aggregate number of shares of deferred stock held by each of the non-employee directors can be found in Footnote 1 of the Beneficial Ownership of Directors and Executive Officers table on page 71. All such shares of deferred stock were fully vested as of December 31, 2021. All shares of restricted stock granted to the non-employee directors in 2021 were fully vested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29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11</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23" w:name="page24"/>
    <w:bookmarkEnd w:id="23"/>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Non-Employee Director Stock Ownership Guidelines</w:t>
      </w:r>
    </w:p>
    <w:p>
      <w:pPr>
        <w:spacing w:after="0" w:line="371" w:lineRule="exact"/>
        <w:rPr>
          <w:sz w:val="20"/>
          <w:szCs w:val="20"/>
          <w:color w:val="auto"/>
        </w:rPr>
      </w:pPr>
    </w:p>
    <w:p>
      <w:pPr>
        <w:ind w:right="20"/>
        <w:spacing w:after="0" w:line="227" w:lineRule="auto"/>
        <w:rPr>
          <w:sz w:val="20"/>
          <w:szCs w:val="20"/>
          <w:color w:val="auto"/>
        </w:rPr>
      </w:pPr>
      <w:r>
        <w:rPr>
          <w:rFonts w:ascii="Arial" w:cs="Arial" w:eastAsia="Arial" w:hAnsi="Arial"/>
          <w:sz w:val="15"/>
          <w:szCs w:val="15"/>
          <w:color w:val="auto"/>
        </w:rPr>
        <w:t>The governance and sustainability committee believes that non-employee directors should hold a meaningful stake in ManpowerGroup to align their economic interests with those of the shareholders. To that end, the board of directors has adopted stock ownership guidelines for non-employee directors and reviews them on an annual basis. For all directors appointed prior to November 12, 2021, the total share ownership guideline is equal in value to $450,000. In 2021, the board of directors reviewed the stock ownership guidelines and determined to adjust guidelines to further align with best practice. Under the new stock ownership guidelines, for any non-employee director appointed after November 12, 2021, the share ownership guideline is five times the annual cash retainer in effect when the director joins the board of directors. The committee considers vested deferred stock and common stock in determining targeted ownership levels. The following table details each non-employee director’s stock ownership relative to the stock ownership guidelines: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20" w:type="dxa"/>
            <w:vAlign w:val="bottom"/>
            <w:shd w:val="clear" w:color="auto" w:fill="EAEAEA"/>
          </w:tcPr>
          <w:p>
            <w:pPr>
              <w:spacing w:after="0"/>
              <w:rPr>
                <w:sz w:val="18"/>
                <w:szCs w:val="18"/>
                <w:color w:val="auto"/>
              </w:rPr>
            </w:pPr>
          </w:p>
        </w:tc>
        <w:tc>
          <w:tcPr>
            <w:tcW w:w="2380" w:type="dxa"/>
            <w:vAlign w:val="bottom"/>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TARGET</w:t>
            </w:r>
          </w:p>
        </w:tc>
        <w:tc>
          <w:tcPr>
            <w:tcW w:w="2140" w:type="dxa"/>
            <w:vAlign w:val="bottom"/>
            <w:shd w:val="clear" w:color="auto" w:fill="EAEAEA"/>
          </w:tcPr>
          <w:p>
            <w:pPr>
              <w:spacing w:after="0"/>
              <w:rPr>
                <w:sz w:val="18"/>
                <w:szCs w:val="18"/>
                <w:color w:val="auto"/>
              </w:rPr>
            </w:pPr>
          </w:p>
        </w:tc>
        <w:tc>
          <w:tcPr>
            <w:tcW w:w="1980" w:type="dxa"/>
            <w:vAlign w:val="bottom"/>
            <w:shd w:val="clear" w:color="auto" w:fill="EAEAEA"/>
          </w:tcPr>
          <w:p>
            <w:pPr>
              <w:spacing w:after="0"/>
              <w:rPr>
                <w:sz w:val="18"/>
                <w:szCs w:val="18"/>
                <w:color w:val="auto"/>
              </w:rPr>
            </w:pPr>
          </w:p>
        </w:tc>
        <w:tc>
          <w:tcPr>
            <w:tcW w:w="2000" w:type="dxa"/>
            <w:vAlign w:val="bottom"/>
            <w:shd w:val="clear" w:color="auto" w:fill="EAEAEA"/>
          </w:tcPr>
          <w:p>
            <w:pPr>
              <w:spacing w:after="0"/>
              <w:rPr>
                <w:sz w:val="18"/>
                <w:szCs w:val="18"/>
                <w:color w:val="auto"/>
              </w:rPr>
            </w:pPr>
          </w:p>
        </w:tc>
      </w:tr>
      <w:tr>
        <w:trPr>
          <w:trHeight w:val="160"/>
        </w:trPr>
        <w:tc>
          <w:tcPr>
            <w:tcW w:w="2420" w:type="dxa"/>
            <w:vAlign w:val="bottom"/>
            <w:shd w:val="clear" w:color="auto" w:fill="EAEAEA"/>
          </w:tcPr>
          <w:p>
            <w:pPr>
              <w:spacing w:after="0"/>
              <w:rPr>
                <w:sz w:val="13"/>
                <w:szCs w:val="13"/>
                <w:color w:val="auto"/>
              </w:rPr>
            </w:pPr>
          </w:p>
        </w:tc>
        <w:tc>
          <w:tcPr>
            <w:tcW w:w="2380" w:type="dxa"/>
            <w:vAlign w:val="bottom"/>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NUMBER OF SHARES</w:t>
            </w:r>
          </w:p>
        </w:tc>
        <w:tc>
          <w:tcPr>
            <w:tcW w:w="2140" w:type="dxa"/>
            <w:vAlign w:val="bottom"/>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NUMBER OF SHARES</w:t>
            </w:r>
          </w:p>
        </w:tc>
        <w:tc>
          <w:tcPr>
            <w:tcW w:w="1980" w:type="dxa"/>
            <w:vAlign w:val="bottom"/>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VALUE OF SHARES</w:t>
            </w:r>
          </w:p>
        </w:tc>
        <w:tc>
          <w:tcPr>
            <w:tcW w:w="2000" w:type="dxa"/>
            <w:vAlign w:val="bottom"/>
            <w:shd w:val="clear" w:color="auto" w:fill="EAEAEA"/>
          </w:tcPr>
          <w:p>
            <w:pPr>
              <w:jc w:val="center"/>
              <w:ind w:left="246"/>
              <w:spacing w:after="0"/>
              <w:rPr>
                <w:sz w:val="20"/>
                <w:szCs w:val="20"/>
                <w:color w:val="auto"/>
              </w:rPr>
            </w:pPr>
            <w:r>
              <w:rPr>
                <w:rFonts w:ascii="Arial" w:cs="Arial" w:eastAsia="Arial" w:hAnsi="Arial"/>
                <w:sz w:val="14"/>
                <w:szCs w:val="14"/>
                <w:b w:val="1"/>
                <w:bCs w:val="1"/>
                <w:color w:val="5D89B4"/>
              </w:rPr>
              <w:t>TARGET DATE TO</w:t>
            </w:r>
          </w:p>
        </w:tc>
      </w:tr>
      <w:tr>
        <w:trPr>
          <w:trHeight w:val="221"/>
        </w:trPr>
        <w:tc>
          <w:tcPr>
            <w:tcW w:w="24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2380" w:type="dxa"/>
            <w:vAlign w:val="bottom"/>
            <w:tcBorders>
              <w:bottom w:val="single" w:sz="8" w:color="EAEAEA"/>
            </w:tcBorders>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(#)(1)</w:t>
            </w:r>
          </w:p>
        </w:tc>
        <w:tc>
          <w:tcPr>
            <w:tcW w:w="2140" w:type="dxa"/>
            <w:vAlign w:val="bottom"/>
            <w:tcBorders>
              <w:bottom w:val="single" w:sz="8" w:color="EAEAEA"/>
            </w:tcBorders>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HELD(#)(2)</w:t>
            </w:r>
          </w:p>
        </w:tc>
        <w:tc>
          <w:tcPr>
            <w:tcW w:w="1980" w:type="dxa"/>
            <w:vAlign w:val="bottom"/>
            <w:tcBorders>
              <w:bottom w:val="single" w:sz="8" w:color="EAEAEA"/>
            </w:tcBorders>
            <w:shd w:val="clear" w:color="auto" w:fill="EAEAEA"/>
          </w:tcPr>
          <w:p>
            <w:pPr>
              <w:jc w:val="right"/>
              <w:ind w:right="245"/>
              <w:spacing w:after="0"/>
              <w:rPr>
                <w:sz w:val="20"/>
                <w:szCs w:val="20"/>
                <w:color w:val="auto"/>
              </w:rPr>
            </w:pPr>
            <w:r>
              <w:rPr>
                <w:rFonts w:ascii="Arial" w:cs="Arial" w:eastAsia="Arial" w:hAnsi="Arial"/>
                <w:sz w:val="14"/>
                <w:szCs w:val="14"/>
                <w:b w:val="1"/>
                <w:bCs w:val="1"/>
                <w:color w:val="5D89B4"/>
              </w:rPr>
              <w:t>($)(3)</w:t>
            </w:r>
          </w:p>
        </w:tc>
        <w:tc>
          <w:tcPr>
            <w:tcW w:w="2000" w:type="dxa"/>
            <w:vAlign w:val="bottom"/>
            <w:tcBorders>
              <w:bottom w:val="single" w:sz="8" w:color="EAEAEA"/>
            </w:tcBorders>
            <w:shd w:val="clear" w:color="auto" w:fill="EAEAEA"/>
          </w:tcPr>
          <w:p>
            <w:pPr>
              <w:jc w:val="center"/>
              <w:ind w:left="246"/>
              <w:spacing w:after="0"/>
              <w:rPr>
                <w:sz w:val="20"/>
                <w:szCs w:val="20"/>
                <w:color w:val="auto"/>
              </w:rPr>
            </w:pPr>
            <w:r>
              <w:rPr>
                <w:rFonts w:ascii="Arial" w:cs="Arial" w:eastAsia="Arial" w:hAnsi="Arial"/>
                <w:sz w:val="14"/>
                <w:szCs w:val="14"/>
                <w:b w:val="1"/>
                <w:bCs w:val="1"/>
                <w:color w:val="5D89B4"/>
              </w:rPr>
              <w:t>SATISFY GUIDELINES(4)</w:t>
            </w:r>
          </w:p>
        </w:tc>
      </w:tr>
      <w:tr>
        <w:trPr>
          <w:trHeight w:val="24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Gina R. Boswell</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8,932</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974,392</w:t>
            </w:r>
          </w:p>
        </w:tc>
        <w:tc>
          <w:tcPr>
            <w:tcW w:w="2000" w:type="dxa"/>
            <w:vAlign w:val="bottom"/>
          </w:tcPr>
          <w:p>
            <w:pPr>
              <w:spacing w:after="0"/>
              <w:rPr>
                <w:sz w:val="21"/>
                <w:szCs w:val="21"/>
                <w:color w:val="auto"/>
              </w:rPr>
            </w:pP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4,990</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2,085</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227,453</w:t>
            </w:r>
          </w:p>
        </w:tc>
        <w:tc>
          <w:tcPr>
            <w:tcW w:w="2000" w:type="dxa"/>
            <w:vAlign w:val="bottom"/>
          </w:tcPr>
          <w:p>
            <w:pPr>
              <w:jc w:val="center"/>
              <w:ind w:left="246"/>
              <w:spacing w:after="0"/>
              <w:rPr>
                <w:sz w:val="20"/>
                <w:szCs w:val="20"/>
                <w:color w:val="auto"/>
              </w:rPr>
            </w:pPr>
            <w:r>
              <w:rPr>
                <w:rFonts w:ascii="Arial" w:cs="Arial" w:eastAsia="Arial" w:hAnsi="Arial"/>
                <w:sz w:val="15"/>
                <w:szCs w:val="15"/>
                <w:color w:val="5D89B4"/>
              </w:rPr>
              <w:t>December 14, 2024</w:t>
            </w: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53,487</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5,834,897</w:t>
            </w:r>
          </w:p>
        </w:tc>
        <w:tc>
          <w:tcPr>
            <w:tcW w:w="2000" w:type="dxa"/>
            <w:vAlign w:val="bottom"/>
          </w:tcPr>
          <w:p>
            <w:pPr>
              <w:spacing w:after="0"/>
              <w:rPr>
                <w:sz w:val="19"/>
                <w:szCs w:val="19"/>
                <w:color w:val="auto"/>
              </w:rPr>
            </w:pP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5,894</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15,483</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1,689,040</w:t>
            </w:r>
          </w:p>
        </w:tc>
        <w:tc>
          <w:tcPr>
            <w:tcW w:w="2000" w:type="dxa"/>
            <w:vAlign w:val="bottom"/>
          </w:tcPr>
          <w:p>
            <w:pPr>
              <w:spacing w:after="0"/>
              <w:rPr>
                <w:sz w:val="19"/>
                <w:szCs w:val="19"/>
                <w:color w:val="auto"/>
              </w:rPr>
            </w:pP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4,990</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3,171</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345,924</w:t>
            </w:r>
          </w:p>
        </w:tc>
        <w:tc>
          <w:tcPr>
            <w:tcW w:w="2000" w:type="dxa"/>
            <w:vAlign w:val="bottom"/>
          </w:tcPr>
          <w:p>
            <w:pPr>
              <w:jc w:val="center"/>
              <w:ind w:left="246"/>
              <w:spacing w:after="0"/>
              <w:rPr>
                <w:sz w:val="20"/>
                <w:szCs w:val="20"/>
                <w:color w:val="auto"/>
              </w:rPr>
            </w:pPr>
            <w:r>
              <w:rPr>
                <w:rFonts w:ascii="Arial" w:cs="Arial" w:eastAsia="Arial" w:hAnsi="Arial"/>
                <w:sz w:val="15"/>
                <w:szCs w:val="15"/>
                <w:color w:val="5D89B4"/>
              </w:rPr>
              <w:t>December 14, 2024</w:t>
            </w: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14,685</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1,601,987</w:t>
            </w:r>
          </w:p>
        </w:tc>
        <w:tc>
          <w:tcPr>
            <w:tcW w:w="2000" w:type="dxa"/>
            <w:vAlign w:val="bottom"/>
          </w:tcPr>
          <w:p>
            <w:pPr>
              <w:spacing w:after="0"/>
              <w:rPr>
                <w:sz w:val="19"/>
                <w:szCs w:val="19"/>
                <w:color w:val="auto"/>
              </w:rPr>
            </w:pP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5,064</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15,089</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1,646,059</w:t>
            </w:r>
          </w:p>
        </w:tc>
        <w:tc>
          <w:tcPr>
            <w:tcW w:w="2000" w:type="dxa"/>
            <w:vAlign w:val="bottom"/>
          </w:tcPr>
          <w:p>
            <w:pPr>
              <w:spacing w:after="0"/>
              <w:rPr>
                <w:sz w:val="19"/>
                <w:szCs w:val="19"/>
                <w:color w:val="auto"/>
              </w:rPr>
            </w:pP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14,426</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1,573,732</w:t>
            </w:r>
          </w:p>
        </w:tc>
        <w:tc>
          <w:tcPr>
            <w:tcW w:w="2000" w:type="dxa"/>
            <w:vAlign w:val="bottom"/>
          </w:tcPr>
          <w:p>
            <w:pPr>
              <w:spacing w:after="0"/>
              <w:rPr>
                <w:sz w:val="19"/>
                <w:szCs w:val="19"/>
                <w:color w:val="auto"/>
              </w:rPr>
            </w:pP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13,318</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1,452,861</w:t>
            </w:r>
          </w:p>
        </w:tc>
        <w:tc>
          <w:tcPr>
            <w:tcW w:w="2000" w:type="dxa"/>
            <w:vAlign w:val="bottom"/>
          </w:tcPr>
          <w:p>
            <w:pPr>
              <w:spacing w:after="0"/>
              <w:rPr>
                <w:sz w:val="19"/>
                <w:szCs w:val="19"/>
                <w:color w:val="auto"/>
              </w:rPr>
            </w:pP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6,601</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24,171</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2,636,814</w:t>
            </w:r>
          </w:p>
        </w:tc>
        <w:tc>
          <w:tcPr>
            <w:tcW w:w="2000" w:type="dxa"/>
            <w:vAlign w:val="bottom"/>
          </w:tcPr>
          <w:p>
            <w:pPr>
              <w:spacing w:after="0"/>
              <w:rPr>
                <w:sz w:val="19"/>
                <w:szCs w:val="19"/>
                <w:color w:val="auto"/>
              </w:rPr>
            </w:pP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380" w:type="dxa"/>
            <w:vAlign w:val="bottom"/>
          </w:tcPr>
          <w:p>
            <w:pPr>
              <w:jc w:val="right"/>
              <w:ind w:right="245"/>
              <w:spacing w:after="0"/>
              <w:rPr>
                <w:sz w:val="20"/>
                <w:szCs w:val="20"/>
                <w:color w:val="auto"/>
              </w:rPr>
            </w:pPr>
            <w:r>
              <w:rPr>
                <w:rFonts w:ascii="Arial" w:cs="Arial" w:eastAsia="Arial" w:hAnsi="Arial"/>
                <w:sz w:val="15"/>
                <w:szCs w:val="15"/>
                <w:color w:val="auto"/>
              </w:rPr>
              <w:t>3,568</w:t>
            </w:r>
          </w:p>
        </w:tc>
        <w:tc>
          <w:tcPr>
            <w:tcW w:w="2140" w:type="dxa"/>
            <w:vAlign w:val="bottom"/>
          </w:tcPr>
          <w:p>
            <w:pPr>
              <w:jc w:val="right"/>
              <w:ind w:right="245"/>
              <w:spacing w:after="0"/>
              <w:rPr>
                <w:sz w:val="20"/>
                <w:szCs w:val="20"/>
                <w:color w:val="auto"/>
              </w:rPr>
            </w:pPr>
            <w:r>
              <w:rPr>
                <w:rFonts w:ascii="Arial" w:cs="Arial" w:eastAsia="Arial" w:hAnsi="Arial"/>
                <w:sz w:val="15"/>
                <w:szCs w:val="15"/>
                <w:color w:val="auto"/>
              </w:rPr>
              <w:t>16,285</w:t>
            </w:r>
          </w:p>
        </w:tc>
        <w:tc>
          <w:tcPr>
            <w:tcW w:w="1980" w:type="dxa"/>
            <w:vAlign w:val="bottom"/>
          </w:tcPr>
          <w:p>
            <w:pPr>
              <w:jc w:val="right"/>
              <w:ind w:right="245"/>
              <w:spacing w:after="0"/>
              <w:rPr>
                <w:sz w:val="20"/>
                <w:szCs w:val="20"/>
                <w:color w:val="auto"/>
              </w:rPr>
            </w:pPr>
            <w:r>
              <w:rPr>
                <w:rFonts w:ascii="Arial" w:cs="Arial" w:eastAsia="Arial" w:hAnsi="Arial"/>
                <w:sz w:val="15"/>
                <w:szCs w:val="15"/>
                <w:color w:val="auto"/>
              </w:rPr>
              <w:t>1,776,531</w:t>
            </w:r>
          </w:p>
        </w:tc>
        <w:tc>
          <w:tcPr>
            <w:tcW w:w="2000" w:type="dxa"/>
            <w:vAlign w:val="bottom"/>
          </w:tcPr>
          <w:p>
            <w:pPr>
              <w:spacing w:after="0"/>
              <w:rPr>
                <w:sz w:val="19"/>
                <w:szCs w:val="19"/>
                <w:color w:val="auto"/>
              </w:rPr>
            </w:pPr>
          </w:p>
        </w:tc>
      </w:tr>
      <w:tr>
        <w:trPr>
          <w:trHeight w:val="36"/>
        </w:trPr>
        <w:tc>
          <w:tcPr>
            <w:tcW w:w="24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-1884680</wp:posOffset>
            </wp:positionV>
            <wp:extent cx="50800"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-1527810</wp:posOffset>
            </wp:positionV>
            <wp:extent cx="50800"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-1349375</wp:posOffset>
            </wp:positionV>
            <wp:extent cx="50800" cy="596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-993140</wp:posOffset>
            </wp:positionV>
            <wp:extent cx="50800" cy="596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-814705</wp:posOffset>
            </wp:positionV>
            <wp:extent cx="50800" cy="59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-636270</wp:posOffset>
            </wp:positionV>
            <wp:extent cx="50800"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-457835</wp:posOffset>
            </wp:positionV>
            <wp:extent cx="50800" cy="596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-279400</wp:posOffset>
            </wp:positionV>
            <wp:extent cx="50800" cy="596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-100965</wp:posOffset>
            </wp:positionV>
            <wp:extent cx="50800" cy="596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105" w:lineRule="exact"/>
        <w:rPr>
          <w:sz w:val="20"/>
          <w:szCs w:val="20"/>
          <w:color w:val="auto"/>
        </w:rPr>
      </w:pPr>
    </w:p>
    <w:p>
      <w:pPr>
        <w:ind w:left="440" w:right="180" w:hanging="433"/>
        <w:spacing w:after="0" w:line="244" w:lineRule="auto"/>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All of the directors joined the board of directors prior to November 12, 2021. Therefore, target shares are based on target value ($450,000) divided by the closing stock price on December 31, 2014 of $68.17 for non-employee directors in office as of January 1, 2015. For non-employee directors appointed between January 1, 2015 and November 12, 2021 target shares are based on target value ($450,000) divided by the closing price of the Company’s common stock on the last business day of the month during which the director was first appointed to the Board of Directors.</w:t>
      </w:r>
    </w:p>
    <w:p>
      <w:pPr>
        <w:spacing w:after="0" w:line="54" w:lineRule="exact"/>
        <w:rPr>
          <w:rFonts w:ascii="Arial" w:cs="Arial" w:eastAsia="Arial" w:hAnsi="Arial"/>
          <w:sz w:val="14"/>
          <w:szCs w:val="14"/>
          <w:color w:val="auto"/>
        </w:rPr>
      </w:pPr>
    </w:p>
    <w:p>
      <w:pPr>
        <w:ind w:left="440" w:right="4760" w:hanging="433"/>
        <w:spacing w:after="0" w:line="338" w:lineRule="auto"/>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the number of shares held as of the record date, February 25, 2022 as follows: For Ms. Boswell, 8,932 shares of common stock.</w:t>
      </w:r>
    </w:p>
    <w:p>
      <w:pPr>
        <w:spacing w:after="0" w:line="1"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Mr. Courtois, 2,085 shares of vested deferred stock.</w:t>
      </w:r>
    </w:p>
    <w:p>
      <w:pPr>
        <w:spacing w:after="0" w:line="66" w:lineRule="exact"/>
        <w:rPr>
          <w:rFonts w:ascii="Arial" w:cs="Arial" w:eastAsia="Arial" w:hAnsi="Arial"/>
          <w:sz w:val="14"/>
          <w:szCs w:val="14"/>
          <w:color w:val="auto"/>
        </w:rPr>
      </w:pPr>
    </w:p>
    <w:p>
      <w:pPr>
        <w:ind w:left="440" w:right="4640"/>
        <w:spacing w:after="0" w:line="338" w:lineRule="auto"/>
        <w:rPr>
          <w:rFonts w:ascii="Arial" w:cs="Arial" w:eastAsia="Arial" w:hAnsi="Arial"/>
          <w:sz w:val="14"/>
          <w:szCs w:val="14"/>
          <w:color w:val="auto"/>
        </w:rPr>
      </w:pPr>
      <w:r>
        <w:rPr>
          <w:rFonts w:ascii="Arial" w:cs="Arial" w:eastAsia="Arial" w:hAnsi="Arial"/>
          <w:sz w:val="14"/>
          <w:szCs w:val="14"/>
          <w:color w:val="auto"/>
        </w:rPr>
        <w:t>For Mr. Downe, 24,202 shares of common stock and 29,285 shares of vested deferred stock. For Mr. Ferraro, 15,483 shares of vested deferred stock.</w:t>
      </w:r>
    </w:p>
    <w:p>
      <w:pPr>
        <w:spacing w:after="0" w:line="1"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Mr. Gipson, 3,171 shares of vested deferred stock.</w:t>
      </w:r>
    </w:p>
    <w:p>
      <w:pPr>
        <w:spacing w:after="0" w:line="66" w:lineRule="exact"/>
        <w:rPr>
          <w:rFonts w:ascii="Arial" w:cs="Arial" w:eastAsia="Arial" w:hAnsi="Arial"/>
          <w:sz w:val="14"/>
          <w:szCs w:val="14"/>
          <w:color w:val="auto"/>
        </w:rPr>
      </w:pPr>
    </w:p>
    <w:p>
      <w:pPr>
        <w:ind w:left="440" w:right="4100"/>
        <w:spacing w:after="0" w:line="338" w:lineRule="auto"/>
        <w:rPr>
          <w:rFonts w:ascii="Arial" w:cs="Arial" w:eastAsia="Arial" w:hAnsi="Arial"/>
          <w:sz w:val="14"/>
          <w:szCs w:val="14"/>
          <w:color w:val="auto"/>
        </w:rPr>
      </w:pPr>
      <w:r>
        <w:rPr>
          <w:rFonts w:ascii="Arial" w:cs="Arial" w:eastAsia="Arial" w:hAnsi="Arial"/>
          <w:sz w:val="14"/>
          <w:szCs w:val="14"/>
          <w:color w:val="auto"/>
        </w:rPr>
        <w:t>For Ms. Hemingway Hall, 10,027 shares of common stock and 4,658 shares of vested deferred stock. For Ms. Howard, 4,085 shares of common stock and 11,004 shares of vested deferred stock.</w:t>
      </w:r>
    </w:p>
    <w:p>
      <w:pPr>
        <w:spacing w:after="0" w:line="1" w:lineRule="exact"/>
        <w:rPr>
          <w:rFonts w:ascii="Arial" w:cs="Arial" w:eastAsia="Arial" w:hAnsi="Arial"/>
          <w:sz w:val="14"/>
          <w:szCs w:val="14"/>
          <w:color w:val="auto"/>
        </w:rPr>
      </w:pPr>
    </w:p>
    <w:p>
      <w:pPr>
        <w:ind w:left="440" w:right="4820"/>
        <w:spacing w:after="0" w:line="338" w:lineRule="auto"/>
        <w:rPr>
          <w:rFonts w:ascii="Arial" w:cs="Arial" w:eastAsia="Arial" w:hAnsi="Arial"/>
          <w:sz w:val="14"/>
          <w:szCs w:val="14"/>
          <w:color w:val="auto"/>
        </w:rPr>
      </w:pPr>
      <w:r>
        <w:rPr>
          <w:rFonts w:ascii="Arial" w:cs="Arial" w:eastAsia="Arial" w:hAnsi="Arial"/>
          <w:sz w:val="14"/>
          <w:szCs w:val="14"/>
          <w:color w:val="auto"/>
        </w:rPr>
        <w:t>For Mr. Payne, 9,132 shares of common stock and 5,294 shares of vested deferred stock. For Mr. Read, 8,024 shares of common stock and 5,294 shares of vested deferred stock. For Ms. Sartain, 24,171 shares of common stock.</w:t>
      </w:r>
    </w:p>
    <w:p>
      <w:pPr>
        <w:spacing w:after="0" w:line="1"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For Mr. Van Handel, 12,395 shares of common stock and 3,890 shares of vested deferred stock.</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price per share of ManpowerGroup common stock on February 25, 2022 of $109.09.</w:t>
      </w:r>
    </w:p>
    <w:p>
      <w:pPr>
        <w:spacing w:after="0" w:line="66" w:lineRule="exact"/>
        <w:rPr>
          <w:rFonts w:ascii="Arial" w:cs="Arial" w:eastAsia="Arial" w:hAnsi="Arial"/>
          <w:sz w:val="14"/>
          <w:szCs w:val="14"/>
          <w:color w:val="auto"/>
        </w:rPr>
      </w:pPr>
    </w:p>
    <w:p>
      <w:pPr>
        <w:ind w:left="440" w:right="420" w:hanging="433"/>
        <w:spacing w:after="0" w:line="254" w:lineRule="auto"/>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Under the current policy, non-employee directors have four years from the date of his or her appointment to attain targeted ownership levels. Any non-employee directors joining the board after November 12, 2021 will have five years from the date of his or her appointment to attain targeted ownership levels.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We Prohibit Non-Employee Directors from Hedging, Pledging and Short-selling Our Securities</w:t>
      </w:r>
    </w:p>
    <w:p>
      <w:pPr>
        <w:spacing w:after="0" w:line="224" w:lineRule="exact"/>
        <w:rPr>
          <w:sz w:val="20"/>
          <w:szCs w:val="20"/>
          <w:color w:val="auto"/>
        </w:rPr>
      </w:pPr>
    </w:p>
    <w:p>
      <w:pPr>
        <w:ind w:right="120"/>
        <w:spacing w:after="0" w:line="230" w:lineRule="auto"/>
        <w:rPr>
          <w:sz w:val="20"/>
          <w:szCs w:val="20"/>
          <w:color w:val="auto"/>
        </w:rPr>
      </w:pPr>
      <w:r>
        <w:rPr>
          <w:rFonts w:ascii="Arial" w:cs="Arial" w:eastAsia="Arial" w:hAnsi="Arial"/>
          <w:sz w:val="15"/>
          <w:szCs w:val="15"/>
          <w:color w:val="auto"/>
        </w:rPr>
        <w:t>Under ManpowerGroup’s Insider Trading Policy, non-employee directors are prohibited from engaging in short sales or hedging transactions involving ManpowerGroup securities, including forward sale or purchase contracts, equity swaps or exchange funds. Non-employee directors are also prohibited from engaging in puts, calls or other options or derivative instruments involving ManpowerGroup securities. Further, we do not allow non-employee directors to pledge ManpowerGroup securities at any time, which includes having ManpowerGroup stock in a margin account or using ManpowerGroup stock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12</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24" w:name="page25"/>
    <w:bookmarkEnd w:id="24"/>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Leadership Structure</w:t>
      </w:r>
    </w:p>
    <w:p>
      <w:pPr>
        <w:spacing w:after="0" w:line="200" w:lineRule="exact"/>
        <w:rPr>
          <w:sz w:val="20"/>
          <w:szCs w:val="20"/>
          <w:color w:val="auto"/>
        </w:rPr>
      </w:pPr>
    </w:p>
    <w:p>
      <w:pPr>
        <w:spacing w:after="0" w:line="320"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5D89B4"/>
        </w:rPr>
        <w:t>Chairman of the Board –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485900" cy="14859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32" w:lineRule="exact"/>
        <w:rPr>
          <w:sz w:val="20"/>
          <w:szCs w:val="20"/>
          <w:color w:val="auto"/>
        </w:rPr>
      </w:pPr>
    </w:p>
    <w:p>
      <w:pPr>
        <w:ind w:left="2860"/>
        <w:spacing w:after="0" w:line="226" w:lineRule="auto"/>
        <w:rPr>
          <w:sz w:val="20"/>
          <w:szCs w:val="20"/>
          <w:color w:val="auto"/>
        </w:rPr>
      </w:pPr>
      <w:r>
        <w:rPr>
          <w:rFonts w:ascii="Arial" w:cs="Arial" w:eastAsia="Arial" w:hAnsi="Arial"/>
          <w:sz w:val="15"/>
          <w:szCs w:val="15"/>
          <w:color w:val="auto"/>
        </w:rPr>
        <w:t>Under ManpowerGroup’s bylaws and in accordance with the Company’s corporate governance guidelines, the board of directors can choose whether the roles of chairman and chief executive officer should be combined or separated, based on what it believes is best for the Company and its shareholders at a given point in time. Jonas Prising has been chairman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chairman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chairman and chief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5D89B4"/>
        </w:rPr>
        <w:t>Lead Director –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485900" cy="14859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32" w:lineRule="exact"/>
        <w:rPr>
          <w:sz w:val="20"/>
          <w:szCs w:val="20"/>
          <w:color w:val="auto"/>
        </w:rPr>
      </w:pPr>
    </w:p>
    <w:p>
      <w:pPr>
        <w:ind w:left="2860" w:right="20"/>
        <w:spacing w:after="0" w:line="228" w:lineRule="auto"/>
        <w:rPr>
          <w:sz w:val="20"/>
          <w:szCs w:val="20"/>
          <w:color w:val="auto"/>
        </w:rPr>
      </w:pPr>
      <w:r>
        <w:rPr>
          <w:rFonts w:ascii="Arial" w:cs="Arial" w:eastAsia="Arial" w:hAnsi="Arial"/>
          <w:sz w:val="15"/>
          <w:szCs w:val="15"/>
          <w:color w:val="auto"/>
        </w:rPr>
        <w:t>The board of directors has selected Mr. Downe, retired CEO of BMO Financial Group, to serve as lead director. Our corporate governance guidelines provide that if the same person holds the chief executive officer and chairman roles or if the chairman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140" w:lineRule="exact"/>
        <w:rPr>
          <w:sz w:val="20"/>
          <w:szCs w:val="20"/>
          <w:color w:val="auto"/>
        </w:rPr>
      </w:pPr>
    </w:p>
    <w:p>
      <w:pPr>
        <w:ind w:left="2860"/>
        <w:spacing w:after="0" w:line="228" w:lineRule="auto"/>
        <w:rPr>
          <w:sz w:val="20"/>
          <w:szCs w:val="20"/>
          <w:color w:val="auto"/>
        </w:rPr>
      </w:pPr>
      <w:r>
        <w:rPr>
          <w:rFonts w:ascii="Arial" w:cs="Arial" w:eastAsia="Arial" w:hAnsi="Arial"/>
          <w:sz w:val="15"/>
          <w:szCs w:val="15"/>
          <w:color w:val="auto"/>
        </w:rPr>
        <w:t>Our corporate governance guidelines contemplate that the lead director will be appointed annually and that he or she should be willing to serve for at least three years in such capacity. The board of directors believes having a lead director serving continuous terms provides greater continuity to the role, enhances board leadership and performance and facilitates effective oversight of the performance of senior management. Mr. Downe has served as lead director since May 2017, and at a board meeting in February 2022, the board of directors re-appointed Mr. Downe to serve as lead director for another year.</w:t>
      </w:r>
    </w:p>
    <w:p>
      <w:pPr>
        <w:spacing w:after="0" w:line="140"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The lead director’s duties include the following:</w:t>
      </w:r>
    </w:p>
    <w:p>
      <w:pPr>
        <w:spacing w:after="0" w:line="68" w:lineRule="exact"/>
        <w:rPr>
          <w:sz w:val="20"/>
          <w:szCs w:val="20"/>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Preside at executive sessions of the non-employee directors;</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Preside at all other meetings of directors where the chairman of the board is not present;</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Serve as liaison between the chairman of the board and the non-employee directors;</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Approve what information is sent to the board;</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Approve the meeting agendas for the board;</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Approve meeting schedules to assure that there is sufficient time for discussion on all agenda items;</w:t>
      </w:r>
    </w:p>
    <w:p>
      <w:pPr>
        <w:spacing w:after="0" w:line="68" w:lineRule="exact"/>
        <w:rPr>
          <w:rFonts w:ascii="Arial" w:cs="Arial" w:eastAsia="Arial" w:hAnsi="Arial"/>
          <w:sz w:val="15"/>
          <w:szCs w:val="15"/>
          <w:color w:val="auto"/>
        </w:rPr>
      </w:pPr>
    </w:p>
    <w:p>
      <w:pPr>
        <w:ind w:left="3040" w:right="200" w:hanging="171"/>
        <w:spacing w:after="0" w:line="237" w:lineRule="auto"/>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Provide feedback from executive sessions of the independent directors to the Chairman and CEO and other senior management;</w:t>
      </w:r>
    </w:p>
    <w:p>
      <w:pPr>
        <w:spacing w:after="0" w:line="60" w:lineRule="exact"/>
        <w:rPr>
          <w:rFonts w:ascii="Arial" w:cs="Arial" w:eastAsia="Arial" w:hAnsi="Arial"/>
          <w:sz w:val="15"/>
          <w:szCs w:val="15"/>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Serve in a key role in the board evaluation processes and in evaluation of the CEO;</w:t>
      </w:r>
    </w:p>
    <w:p>
      <w:pPr>
        <w:spacing w:after="0" w:line="68" w:lineRule="exact"/>
        <w:rPr>
          <w:rFonts w:ascii="Arial" w:cs="Arial" w:eastAsia="Arial" w:hAnsi="Arial"/>
          <w:sz w:val="15"/>
          <w:szCs w:val="15"/>
          <w:color w:val="auto"/>
        </w:rPr>
      </w:pPr>
    </w:p>
    <w:p>
      <w:pPr>
        <w:ind w:left="3040" w:right="160" w:hanging="171"/>
        <w:spacing w:after="0" w:line="237" w:lineRule="auto"/>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Recommend to the board and the board committees the retention of advisers and consultants who report directly to the board;</w:t>
      </w:r>
    </w:p>
    <w:p>
      <w:pPr>
        <w:spacing w:after="0" w:line="60" w:lineRule="exact"/>
        <w:rPr>
          <w:rFonts w:ascii="Arial" w:cs="Arial" w:eastAsia="Arial" w:hAnsi="Arial"/>
          <w:sz w:val="15"/>
          <w:szCs w:val="15"/>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Have the authority to call meetings of the non-employee directors;</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requested by major shareholders, ensure that he or she is available for consultation and direct communication; and</w:t>
      </w:r>
    </w:p>
    <w:p>
      <w:pPr>
        <w:spacing w:after="0" w:line="68" w:lineRule="exact"/>
        <w:rPr>
          <w:rFonts w:ascii="Arial" w:cs="Arial" w:eastAsia="Arial" w:hAnsi="Arial"/>
          <w:sz w:val="15"/>
          <w:szCs w:val="15"/>
          <w:color w:val="auto"/>
        </w:rPr>
      </w:pPr>
    </w:p>
    <w:p>
      <w:pPr>
        <w:ind w:left="3000" w:hanging="131"/>
        <w:spacing w:after="0"/>
        <w:tabs>
          <w:tab w:leader="none" w:pos="30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Perform such other duties as the board may delegate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69297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13</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223" w:right="539" w:bottom="1440" w:gutter="0" w:footer="0" w:header="0"/>
        </w:sectPr>
      </w:pPr>
    </w:p>
    <w:bookmarkStart w:id="25" w:name="page26"/>
    <w:bookmarkEnd w:id="25"/>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Oversight</w:t>
      </w:r>
    </w:p>
    <w:p>
      <w:pPr>
        <w:spacing w:after="0" w:line="200" w:lineRule="exact"/>
        <w:rPr>
          <w:sz w:val="20"/>
          <w:szCs w:val="20"/>
          <w:color w:val="auto"/>
        </w:rPr>
      </w:pPr>
    </w:p>
    <w:p>
      <w:pPr>
        <w:spacing w:after="0" w:line="278"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Our board of directors and its committees work closely with management to provide oversight, review, and counsel related to long-term strategy, opportunities and risks. In particular, the board oversees business affairs and integrity, works with management to determine our mission and long-term strategy, oversees enterprise risk management, performs the annual CEO evaluation, oversees CEO succession planning, and oversees internal control over financial reporting and external audit. The board looks to the expertise of its committees to provide strategic oversight in their areas of focus. Examples of oversight areas are provided below.</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Strategy</w:t>
      </w:r>
    </w:p>
    <w:p>
      <w:pPr>
        <w:spacing w:after="0" w:line="77" w:lineRule="exact"/>
        <w:rPr>
          <w:sz w:val="20"/>
          <w:szCs w:val="20"/>
          <w:color w:val="auto"/>
        </w:rPr>
      </w:pPr>
    </w:p>
    <w:p>
      <w:pPr>
        <w:ind w:right="20"/>
        <w:spacing w:after="0" w:line="228" w:lineRule="auto"/>
        <w:rPr>
          <w:sz w:val="20"/>
          <w:szCs w:val="20"/>
          <w:color w:val="auto"/>
        </w:rPr>
      </w:pPr>
      <w:r>
        <w:rPr>
          <w:rFonts w:ascii="Arial" w:cs="Arial" w:eastAsia="Arial" w:hAnsi="Arial"/>
          <w:sz w:val="15"/>
          <w:szCs w:val="15"/>
          <w:color w:val="auto"/>
        </w:rPr>
        <w:t>Led by the CEO, the Company’s executive management drives our strategy and operations and works to develop and execute business strategy, foster our desired culture, establish accountability, and control risk. Management also aligns our structure, operations, people, policies, and compliance efforts to our mission and strategy. Overseeing management’s development and execution of the Company’s strategy is one of the board’s primary responsibilities. The board works closely with executive management to respond to a dynamically changing business environment. Executive management and other leaders from across the Company provide business and strategy updates to our board quarterly, and the board participates in an annual strategy meeting with management. At meetings throughout the year, the board also assesses the strategic alignment of the Company’s budget and capital plan and strategic acquisition process.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Risk</w:t>
      </w:r>
    </w:p>
    <w:p>
      <w:pPr>
        <w:spacing w:after="0" w:line="77" w:lineRule="exact"/>
        <w:rPr>
          <w:sz w:val="20"/>
          <w:szCs w:val="20"/>
          <w:color w:val="auto"/>
        </w:rPr>
      </w:pPr>
    </w:p>
    <w:p>
      <w:pPr>
        <w:ind w:right="140"/>
        <w:spacing w:after="0" w:line="232" w:lineRule="auto"/>
        <w:rPr>
          <w:sz w:val="20"/>
          <w:szCs w:val="20"/>
          <w:color w:val="auto"/>
        </w:rPr>
      </w:pPr>
      <w:r>
        <w:rPr>
          <w:rFonts w:ascii="Arial" w:cs="Arial" w:eastAsia="Arial" w:hAnsi="Arial"/>
          <w:sz w:val="15"/>
          <w:szCs w:val="15"/>
          <w:color w:val="auto"/>
        </w:rPr>
        <w:t>The board of directors is responsible for overseeing management in the execution of management’s Company-wide risk management responsibilities. The board of directors fulfills this responsibility both directly and through its standing committees, each of which assists the board in overseeing a part of the Company’s overall risk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committees of the board oversee specific areas of the Company’s risk management as described below:</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Audit Committee</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is responsible for assisting the board of directors with its oversight of the performance of the Company’s risk management functions including:</w:t>
      </w:r>
    </w:p>
    <w:p>
      <w:pPr>
        <w:spacing w:after="0" w:line="68" w:lineRule="exact"/>
        <w:rPr>
          <w:sz w:val="20"/>
          <w:szCs w:val="20"/>
          <w:color w:val="auto"/>
        </w:rPr>
      </w:pPr>
    </w:p>
    <w:p>
      <w:pPr>
        <w:ind w:left="220" w:right="720" w:hanging="213"/>
        <w:spacing w:after="0" w:line="237" w:lineRule="auto"/>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and discussing with management the Company’s risk management framework, including policies, practices and procedures regarding risk assessment and management;</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Receiving, reviewing and discussing with management reports on cybersecurity and data privacy risk;</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Receiving, reviewing and discussing with management reports on other risk topics as the committee or management deems appropriate from time to time; and</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Reporting to the board of directors on its activities in this oversight role.</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People, Culture and Compensation Committee</w:t>
      </w:r>
    </w:p>
    <w:p>
      <w:pPr>
        <w:spacing w:after="0" w:line="88"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The people, culture and compensation committee reviews and discusses with management the Company’s compensation policies and practices, and the assessment of certain risks, including whether any risks arising from the Company’s compensation policies and practices related to its people are reasonably likely to have a material adverse effect on the Company.</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i w:val="1"/>
          <w:iCs w:val="1"/>
          <w:color w:val="5D89B4"/>
        </w:rPr>
        <w:t>Governance and Sustainability Committee</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The governance and sustainability committee evaluates the overall effectiveness of the board of directors, including its focus on the most critical issues and risks.</w:t>
      </w:r>
    </w:p>
    <w:p>
      <w:pPr>
        <w:spacing w:after="0" w:line="135" w:lineRule="exact"/>
        <w:rPr>
          <w:sz w:val="20"/>
          <w:szCs w:val="20"/>
          <w:color w:val="auto"/>
        </w:rPr>
      </w:pPr>
    </w:p>
    <w:p>
      <w:pPr>
        <w:ind w:right="320"/>
        <w:spacing w:after="0" w:line="229" w:lineRule="auto"/>
        <w:rPr>
          <w:sz w:val="20"/>
          <w:szCs w:val="20"/>
          <w:color w:val="auto"/>
        </w:rPr>
      </w:pPr>
      <w:r>
        <w:rPr>
          <w:rFonts w:ascii="Arial" w:cs="Arial" w:eastAsia="Arial" w:hAnsi="Arial"/>
          <w:sz w:val="15"/>
          <w:szCs w:val="15"/>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14</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23" w:right="51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OVERSIGHT</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Environmental, Social and Governance (“ESG”) Matters</w:t>
      </w:r>
    </w:p>
    <w:p>
      <w:pPr>
        <w:spacing w:after="0" w:line="117" w:lineRule="exact"/>
        <w:rPr>
          <w:sz w:val="20"/>
          <w:szCs w:val="20"/>
          <w:color w:val="auto"/>
        </w:rPr>
      </w:pPr>
    </w:p>
    <w:p>
      <w:pPr>
        <w:ind w:right="20"/>
        <w:spacing w:after="0" w:line="227" w:lineRule="auto"/>
        <w:rPr>
          <w:sz w:val="20"/>
          <w:szCs w:val="20"/>
          <w:color w:val="auto"/>
        </w:rPr>
      </w:pPr>
      <w:r>
        <w:rPr>
          <w:rFonts w:ascii="Arial" w:cs="Arial" w:eastAsia="Arial" w:hAnsi="Arial"/>
          <w:sz w:val="15"/>
          <w:szCs w:val="15"/>
          <w:color w:val="auto"/>
        </w:rPr>
        <w:t xml:space="preserve">Corporate responsibility and sustainability are important priorities for the board of directors and the Company. We believe businesses have a responsibility to be a positive contributor to societal change. Our commitment to social responsibility extends to human capital, diversity and inclusion, human rights and fair employment, worker health and safety and climate change. We also see in these commitments additional ways of creating value for our shareholders, that result in benefits to our employees, our customers and society. As part of our enterprise-wide approach to risk management and our strategies for long-term value creation, the board and management monitor long-term risks that may be impacted by environmental, social and governance issues. Additional information about ManpowerGroup’s corporate social responsibility efforts is located in the Proxy Summary under “Social Responsibility” and available on our website at </w:t>
      </w:r>
      <w:r>
        <w:rPr>
          <w:rFonts w:ascii="Arial" w:cs="Arial" w:eastAsia="Arial" w:hAnsi="Arial"/>
          <w:sz w:val="15"/>
          <w:szCs w:val="15"/>
          <w:i w:val="1"/>
          <w:iCs w:val="1"/>
          <w:color w:val="auto"/>
        </w:rPr>
        <w:t>https://manpowergroup.com/sustainability.</w:t>
      </w:r>
    </w:p>
    <w:p>
      <w:pPr>
        <w:spacing w:after="0" w:line="129" w:lineRule="exact"/>
        <w:rPr>
          <w:sz w:val="20"/>
          <w:szCs w:val="20"/>
          <w:color w:val="auto"/>
        </w:rPr>
      </w:pPr>
    </w:p>
    <w:p>
      <w:pPr>
        <w:ind w:right="20"/>
        <w:spacing w:after="0" w:line="227" w:lineRule="auto"/>
        <w:rPr>
          <w:sz w:val="20"/>
          <w:szCs w:val="20"/>
          <w:color w:val="auto"/>
        </w:rPr>
      </w:pPr>
      <w:r>
        <w:rPr>
          <w:rFonts w:ascii="Arial" w:cs="Arial" w:eastAsia="Arial" w:hAnsi="Arial"/>
          <w:sz w:val="15"/>
          <w:szCs w:val="15"/>
          <w:color w:val="auto"/>
        </w:rPr>
        <w:t>Prior to 2021, the full board of directors had primary responsibility for oversight of ESG matters with each of the committees supporting the board by addressing specific ESG matters related to their respective areas of oversight. However, as ESG matters continue to increase in significance, in 2021, the board of directors determined oversight of ESG matters should be consolidated with one of its standing committees and delegated the oversight responsibility to the governance and sustainability committee. The governance and sustainability committee regularly meets with the chief sustainability and communications officer to review the effectiveness of management’s strategies, programs and policy implementation with respect to initiatives and programs related to sustainability, corporate culture, human capital management and climate change. In addition, each of the committees continues to address specific ESG matters related to their respective areas of oversight.</w:t>
      </w:r>
    </w:p>
    <w:p>
      <w:pPr>
        <w:spacing w:after="0" w:line="252"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Independent Compensation Consultant</w:t>
      </w:r>
    </w:p>
    <w:p>
      <w:pPr>
        <w:spacing w:after="0" w:line="264"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The people, culture and compensation committee has selected Mercer (US) Inc. to advise it on executive compensation matters. Mercer is engaged directly by the committee, and reports to the chair of the committee. Fees are set annually, and are reflected in a one-year statement of work,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2021 were $398,071.</w:t>
      </w:r>
    </w:p>
    <w:p>
      <w:pPr>
        <w:spacing w:after="0" w:line="128" w:lineRule="exact"/>
        <w:rPr>
          <w:sz w:val="20"/>
          <w:szCs w:val="20"/>
          <w:color w:val="auto"/>
        </w:rPr>
      </w:pPr>
    </w:p>
    <w:p>
      <w:pPr>
        <w:ind w:right="320"/>
        <w:spacing w:after="0" w:line="232" w:lineRule="auto"/>
        <w:rPr>
          <w:sz w:val="20"/>
          <w:szCs w:val="20"/>
          <w:color w:val="auto"/>
        </w:rPr>
      </w:pPr>
      <w:r>
        <w:rPr>
          <w:rFonts w:ascii="Arial" w:cs="Arial" w:eastAsia="Arial" w:hAnsi="Arial"/>
          <w:sz w:val="15"/>
          <w:szCs w:val="15"/>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Mercer’s engagement included the following services for the committee in 2021:</w:t>
      </w:r>
    </w:p>
    <w:p>
      <w:pPr>
        <w:spacing w:after="0" w:line="135" w:lineRule="exact"/>
        <w:rPr>
          <w:sz w:val="20"/>
          <w:szCs w:val="20"/>
          <w:color w:val="auto"/>
        </w:rPr>
      </w:pPr>
    </w:p>
    <w:p>
      <w:pPr>
        <w:ind w:left="220" w:hanging="213"/>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 and recommend the companies used in our peer group;</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 guiding principles for executive compensation and recommend areas for modernization;</w:t>
      </w:r>
    </w:p>
    <w:p>
      <w:pPr>
        <w:spacing w:after="0" w:line="68" w:lineRule="exact"/>
        <w:rPr>
          <w:rFonts w:ascii="Arial" w:cs="Arial" w:eastAsia="Arial" w:hAnsi="Arial"/>
          <w:sz w:val="15"/>
          <w:szCs w:val="15"/>
          <w:color w:val="auto"/>
        </w:rPr>
      </w:pPr>
    </w:p>
    <w:p>
      <w:pPr>
        <w:ind w:left="220" w:right="100" w:hanging="213"/>
        <w:spacing w:after="0" w:line="237" w:lineRule="auto"/>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Evaluate the competitiveness of our total executive compensation and benefits program for the senior executives, including base salary, annual incentive, total cash compensation, long-term incentive awards, total direct compensation, perquisites, retirement benefits and total remuneration against the market;</w:t>
      </w:r>
    </w:p>
    <w:p>
      <w:pPr>
        <w:spacing w:after="0" w:line="60" w:lineRule="exact"/>
        <w:rPr>
          <w:rFonts w:ascii="Arial" w:cs="Arial" w:eastAsia="Arial" w:hAnsi="Arial"/>
          <w:sz w:val="15"/>
          <w:szCs w:val="15"/>
          <w:color w:val="auto"/>
        </w:rPr>
      </w:pPr>
    </w:p>
    <w:p>
      <w:pPr>
        <w:ind w:left="220" w:right="680" w:hanging="213"/>
        <w:spacing w:after="0" w:line="237" w:lineRule="auto"/>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Assess how well the compensation and benefits programs are aligned with the committee’s stated philosophy to align pay with performance, including analyzing our performance against comparator companies;</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Provide advice and assistance to the committee on the levels of total compensation and the principal elements of compensation for our senior executives;</w:t>
      </w:r>
    </w:p>
    <w:p>
      <w:pPr>
        <w:spacing w:after="0" w:line="68" w:lineRule="exact"/>
        <w:rPr>
          <w:rFonts w:ascii="Arial" w:cs="Arial" w:eastAsia="Arial" w:hAnsi="Arial"/>
          <w:sz w:val="15"/>
          <w:szCs w:val="15"/>
          <w:color w:val="auto"/>
        </w:rPr>
      </w:pPr>
    </w:p>
    <w:p>
      <w:pPr>
        <w:ind w:left="220" w:right="60" w:hanging="213"/>
        <w:spacing w:after="0" w:line="237" w:lineRule="auto"/>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Advise the committee on salary, target incentive opportunities and equity grants as well as on the design and features of our short-term and long-term incentive programs for our senior executives;</w:t>
      </w:r>
    </w:p>
    <w:p>
      <w:pPr>
        <w:spacing w:after="0" w:line="60" w:lineRule="exact"/>
        <w:rPr>
          <w:rFonts w:ascii="Arial" w:cs="Arial" w:eastAsia="Arial" w:hAnsi="Arial"/>
          <w:sz w:val="15"/>
          <w:szCs w:val="15"/>
          <w:color w:val="auto"/>
        </w:rPr>
      </w:pPr>
    </w:p>
    <w:p>
      <w:pPr>
        <w:ind w:left="220" w:right="260" w:hanging="213"/>
        <w:spacing w:after="0" w:line="237" w:lineRule="auto"/>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Brief the committee on trends in executive compensation and benefits among large public companies and on regulatory, legislative and other developments; and</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Assist in reviewing the Compensation Discussion and Analysis and other executive compensation disclosures to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69297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15</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38" w:right="49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INDEPENDENT COMPENSATION CONSULTANT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committee has reviewed whether the work provided by Mercer raises any conflict of interest. Factors considered by the committee include:</w:t>
      </w:r>
    </w:p>
    <w:p>
      <w:pPr>
        <w:spacing w:after="0" w:line="135" w:lineRule="exact"/>
        <w:rPr>
          <w:sz w:val="20"/>
          <w:szCs w:val="20"/>
          <w:color w:val="auto"/>
        </w:rPr>
      </w:pPr>
    </w:p>
    <w:p>
      <w:pPr>
        <w:ind w:left="220" w:hanging="213"/>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Other services provided to the Company by the consultant;</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What percentage of the consultant’s total revenue is made up of fees from the Company;</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Policies or procedures of the consultant that are designed to prevent a conflict of interest;</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business or personal relationships between individual consultants involved in the engagement and committee members;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shares of the Company’s stock owned by individual consultants involved in the engagement; and</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business or personal relationships between our executive officers and the consulting firm or the individual consultants involved in the engagement.</w:t>
      </w:r>
    </w:p>
    <w:p>
      <w:pPr>
        <w:spacing w:after="0" w:line="135"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Based on its review, the committee does not believe that Mercer has a conflict of interest with respect to the work performed by the Company or the committee in 2021. The committee has also evaluated the independence of Mercer pursuant to the rules of the Securities and Exchange Commission and the New York Stock Exchange and no relationships were identified that would impact Mercer’s independence.</w:t>
      </w:r>
    </w:p>
    <w:p>
      <w:pPr>
        <w:spacing w:after="0" w:line="128" w:lineRule="exact"/>
        <w:rPr>
          <w:sz w:val="20"/>
          <w:szCs w:val="20"/>
          <w:color w:val="auto"/>
        </w:rPr>
      </w:pPr>
    </w:p>
    <w:p>
      <w:pPr>
        <w:ind w:right="180"/>
        <w:spacing w:after="0" w:line="232" w:lineRule="auto"/>
        <w:rPr>
          <w:sz w:val="20"/>
          <w:szCs w:val="20"/>
          <w:color w:val="auto"/>
        </w:rPr>
      </w:pPr>
      <w:r>
        <w:rPr>
          <w:rFonts w:ascii="Arial" w:cs="Arial" w:eastAsia="Arial" w:hAnsi="Arial"/>
          <w:sz w:val="15"/>
          <w:szCs w:val="15"/>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w:t>
      </w:r>
    </w:p>
    <w:p>
      <w:pPr>
        <w:spacing w:after="0" w:line="115"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Besides Mercer’s involvement with the committee, it and its affiliates also provide other non-executive compensation services to us. These services are approved by management who oversee the specific areas of business for which the services are provided.</w:t>
      </w:r>
    </w:p>
    <w:p>
      <w:pPr>
        <w:spacing w:after="0" w:line="127" w:lineRule="exact"/>
        <w:rPr>
          <w:sz w:val="20"/>
          <w:szCs w:val="20"/>
          <w:color w:val="auto"/>
        </w:rPr>
      </w:pPr>
    </w:p>
    <w:p>
      <w:pPr>
        <w:jc w:val="both"/>
        <w:ind w:right="80"/>
        <w:spacing w:after="0" w:line="232" w:lineRule="auto"/>
        <w:rPr>
          <w:sz w:val="20"/>
          <w:szCs w:val="20"/>
          <w:color w:val="auto"/>
        </w:rPr>
      </w:pPr>
      <w:r>
        <w:rPr>
          <w:rFonts w:ascii="Arial" w:cs="Arial" w:eastAsia="Arial" w:hAnsi="Arial"/>
          <w:sz w:val="15"/>
          <w:szCs w:val="15"/>
          <w:color w:val="auto"/>
        </w:rPr>
        <w:t>The total amount paid for these other services provided in 2021 was $331,693. These services included actuarial and pension reporting services and insurance services. The majority of these services are provided not by Mercer itself, but by other companies owned by Marsh &amp; McLennan, the parent company of Mercer, which therefore are considered affiliates even though they operate independently of Mercer.</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committee concluded that the services provided by the Marsh &amp; McLennan affiliates (other than Mercer), did not raise any conflicts of interest.</w:t>
      </w:r>
    </w:p>
    <w:p>
      <w:pPr>
        <w:spacing w:after="0" w:line="122" w:lineRule="exact"/>
        <w:rPr>
          <w:sz w:val="20"/>
          <w:szCs w:val="20"/>
          <w:color w:val="auto"/>
        </w:rPr>
      </w:pPr>
    </w:p>
    <w:p>
      <w:pPr>
        <w:jc w:val="both"/>
        <w:ind w:right="80"/>
        <w:spacing w:after="0" w:line="237" w:lineRule="auto"/>
        <w:rPr>
          <w:sz w:val="20"/>
          <w:szCs w:val="20"/>
          <w:color w:val="auto"/>
        </w:rPr>
      </w:pPr>
      <w:r>
        <w:rPr>
          <w:rFonts w:ascii="Arial" w:cs="Arial" w:eastAsia="Arial" w:hAnsi="Arial"/>
          <w:sz w:val="15"/>
          <w:szCs w:val="15"/>
          <w:color w:val="auto"/>
        </w:rPr>
        <w:t>The committee believes the advice it receives from the individual executive compensation consultants is objective and not influenced by Mercer’s or its affiliates’ other relationships with us because of the procedures Mercer and the committee have in place, including the following:</w:t>
      </w:r>
    </w:p>
    <w:p>
      <w:pPr>
        <w:spacing w:after="0" w:line="127" w:lineRule="exact"/>
        <w:rPr>
          <w:sz w:val="20"/>
          <w:szCs w:val="20"/>
          <w:color w:val="auto"/>
        </w:rPr>
      </w:pPr>
    </w:p>
    <w:p>
      <w:pPr>
        <w:ind w:left="220" w:hanging="213"/>
        <w:spacing w:after="0"/>
        <w:tabs>
          <w:tab w:leader="none" w:pos="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consultants receive no incentive or other compensation based on the fees charged to us for other services provided by Mercer or any of its affiliates;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consultants are not responsible for selling other Mercer or affiliate services to us;</w:t>
      </w:r>
    </w:p>
    <w:p>
      <w:pPr>
        <w:spacing w:after="0" w:line="68" w:lineRule="exact"/>
        <w:rPr>
          <w:rFonts w:ascii="Arial" w:cs="Arial" w:eastAsia="Arial" w:hAnsi="Arial"/>
          <w:sz w:val="15"/>
          <w:szCs w:val="15"/>
          <w:color w:val="auto"/>
        </w:rPr>
      </w:pPr>
    </w:p>
    <w:p>
      <w:pPr>
        <w:ind w:left="220" w:right="240" w:hanging="213"/>
        <w:spacing w:after="0" w:line="237" w:lineRule="auto"/>
        <w:tabs>
          <w:tab w:leader="none" w:pos="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Mercer’s professional standards prohibit an individual consultant from considering any other relationships Mercer or any of its affiliates may have with us in rendering his or her advice and recommendations; and</w:t>
      </w:r>
    </w:p>
    <w:p>
      <w:pPr>
        <w:spacing w:after="0" w:line="60" w:lineRule="exact"/>
        <w:rPr>
          <w:rFonts w:ascii="Arial" w:cs="Arial" w:eastAsia="Arial" w:hAnsi="Arial"/>
          <w:sz w:val="15"/>
          <w:szCs w:val="15"/>
          <w:color w:val="auto"/>
        </w:rPr>
      </w:pPr>
    </w:p>
    <w:p>
      <w:pPr>
        <w:ind w:left="220" w:right="240" w:hanging="213"/>
        <w:spacing w:after="0" w:line="237" w:lineRule="auto"/>
        <w:tabs>
          <w:tab w:leader="none" w:pos="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committee evaluates the quality and objectivity of the services provided by the consultants each year and determines whether to continue to retain the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16</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00"/>
          </w:cols>
          <w:pgMar w:left="480" w:top="1138" w:right="619" w:bottom="1440" w:gutter="0" w:footer="0" w:header="0"/>
        </w:sectPr>
      </w:pPr>
    </w:p>
    <w:bookmarkStart w:id="28" w:name="page29"/>
    <w:bookmarkEnd w:id="28"/>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Independence and Related Party Transactions</w:t>
      </w:r>
    </w:p>
    <w:p>
      <w:pPr>
        <w:spacing w:after="0" w:line="371"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 xml:space="preserve">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w:t>
      </w:r>
      <w:r>
        <w:rPr>
          <w:rFonts w:ascii="Arial" w:cs="Arial" w:eastAsia="Arial" w:hAnsi="Arial"/>
          <w:sz w:val="15"/>
          <w:szCs w:val="15"/>
          <w:u w:val="single" w:color="auto"/>
          <w:color w:val="auto"/>
        </w:rPr>
        <w:t>https://investor.manpowergroup.com/governance</w:t>
      </w:r>
      <w:r>
        <w:rPr>
          <w:rFonts w:ascii="Arial" w:cs="Arial" w:eastAsia="Arial" w:hAnsi="Arial"/>
          <w:sz w:val="15"/>
          <w:szCs w:val="15"/>
          <w:color w:val="auto"/>
        </w:rPr>
        <w:t>. As required under the Corporate Governance Guidelines, our board of directors reviews and determines the independence of all directors on an annual basis.</w:t>
      </w:r>
    </w:p>
    <w:p>
      <w:pPr>
        <w:spacing w:after="0" w:line="114"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In making its independence determinations, the governance and sustainability committee evaluates the various commercial and employment transactions and relationships known to the committee that exist between ManpowerGroup and the entities with which certain of our directors or members of their immediate families are, or have been, affiliated. The governance and sustainability committee also reviews any other relevant facts and circumstances regarding the nature of these relationships to determine whether other factors, regardless of the categorical standards, might compromise a director’s independence.</w:t>
      </w:r>
    </w:p>
    <w:p>
      <w:pPr>
        <w:spacing w:after="0" w:line="128"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The board of directors has determined that eleven of the current directors of ManpowerGroup are independent under the listing standards of the New York Stock Exchange after taking into account the categorical standards. Certain of our directors serve as directors, and are officers or former officers, of companies that have engaged ManpowerGroup to provide services, all of which such relationships fall within the categorial standards. Mr. Prising does not qualify as independent under the listing rules of the New York Stock Exchange because he is currently an executive officer.</w:t>
      </w:r>
    </w:p>
    <w:p>
      <w:pPr>
        <w:spacing w:after="0" w:line="128" w:lineRule="exact"/>
        <w:rPr>
          <w:sz w:val="20"/>
          <w:szCs w:val="20"/>
          <w:color w:val="auto"/>
        </w:rPr>
      </w:pPr>
    </w:p>
    <w:p>
      <w:pPr>
        <w:ind w:right="120"/>
        <w:spacing w:after="0" w:line="232" w:lineRule="auto"/>
        <w:rPr>
          <w:sz w:val="20"/>
          <w:szCs w:val="20"/>
          <w:color w:val="auto"/>
        </w:rPr>
      </w:pPr>
      <w:r>
        <w:rPr>
          <w:rFonts w:ascii="Arial" w:cs="Arial" w:eastAsia="Arial" w:hAnsi="Arial"/>
          <w:sz w:val="15"/>
          <w:szCs w:val="15"/>
          <w:color w:val="auto"/>
        </w:rPr>
        <w:t>The governance and sustainability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“Composition and Qualifications of Board Members.”</w:t>
      </w:r>
    </w:p>
    <w:p>
      <w:pPr>
        <w:spacing w:after="0" w:line="115" w:lineRule="exact"/>
        <w:rPr>
          <w:sz w:val="20"/>
          <w:szCs w:val="20"/>
          <w:color w:val="auto"/>
        </w:rPr>
      </w:pPr>
    </w:p>
    <w:p>
      <w:pPr>
        <w:ind w:right="460"/>
        <w:spacing w:after="0" w:line="237" w:lineRule="auto"/>
        <w:rPr>
          <w:sz w:val="20"/>
          <w:szCs w:val="20"/>
          <w:color w:val="auto"/>
        </w:rPr>
      </w:pPr>
      <w:r>
        <w:rPr>
          <w:rFonts w:ascii="Arial" w:cs="Arial" w:eastAsia="Arial" w:hAnsi="Arial"/>
          <w:sz w:val="15"/>
          <w:szCs w:val="15"/>
          <w:color w:val="auto"/>
        </w:rPr>
        <w:t>ManpowerGroup does not have a policy regarding board members’ attendance at the annual meeting of shareholders. All of the directors attended the 2021 annual meeting of shareholders.</w:t>
      </w:r>
    </w:p>
    <w:p>
      <w:pPr>
        <w:spacing w:after="0" w:line="358"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Communicating With Our Board</w:t>
      </w:r>
    </w:p>
    <w:p>
      <w:pPr>
        <w:spacing w:after="0" w:line="371"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auto"/>
        </w:rPr>
        <w:t>Any interested parties, including shareholders, may submit their communication to our Secretary, who will determine when communications and concerns will be forwarded to the Board, our independent directors as a group or our independent Lead Director. Communications received in writing are forwarded to the Board, committee, or to any individual director or directors to whom the communication is directed, unless the communication does not reasonably relate to the Company or its business, or is similarly inappropriate.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Such communications must be submitted to Richard Buchband, Secretary, ManpowerGroup Inc., 100 Manpower Place, Milwaukee, Wisconsin 53212.</w:t>
      </w:r>
    </w:p>
    <w:p>
      <w:pPr>
        <w:spacing w:after="0" w:line="135"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 xml:space="preserve">Concerns about possible violations of our Code of Business Conduct and Ethics (the “Code”) should be reported as outlined in the Code, which is available on our website at </w:t>
      </w:r>
      <w:r>
        <w:rPr>
          <w:rFonts w:ascii="Arial" w:cs="Arial" w:eastAsia="Arial" w:hAnsi="Arial"/>
          <w:sz w:val="15"/>
          <w:szCs w:val="15"/>
          <w:u w:val="single" w:color="auto"/>
          <w:color w:val="auto"/>
        </w:rPr>
        <w:t>https://investor.manpowergroup.com/governance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17</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23" w:right="519" w:bottom="1440" w:gutter="0" w:footer="0" w:header="0"/>
        </w:sectPr>
      </w:pPr>
    </w:p>
    <w:bookmarkStart w:id="29" w:name="page30"/>
    <w:bookmarkEnd w:id="29"/>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Meetings and Committees of the Board</w:t>
      </w:r>
    </w:p>
    <w:p>
      <w:pPr>
        <w:spacing w:after="0" w:line="157" w:lineRule="exact"/>
        <w:rPr>
          <w:sz w:val="20"/>
          <w:szCs w:val="20"/>
          <w:color w:val="auto"/>
        </w:rPr>
      </w:pPr>
    </w:p>
    <w:p>
      <w:pPr>
        <w:ind w:right="120"/>
        <w:spacing w:after="0" w:line="237" w:lineRule="auto"/>
        <w:rPr>
          <w:sz w:val="20"/>
          <w:szCs w:val="20"/>
          <w:color w:val="auto"/>
        </w:rPr>
      </w:pPr>
      <w:r>
        <w:rPr>
          <w:rFonts w:ascii="Arial" w:cs="Arial" w:eastAsia="Arial" w:hAnsi="Arial"/>
          <w:sz w:val="15"/>
          <w:szCs w:val="15"/>
          <w:color w:val="auto"/>
        </w:rPr>
        <w:t xml:space="preserve">The board of directors has standing audit, people, culture and compensation, and governance and sustainability committees. The board of directors has adopted written charters for these committees, which are available on ManpowerGroup’s web 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6929755" cy="2209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ectPr>
          <w:pgSz w:w="11900" w:h="16838" w:orient="portrait"/>
          <w:cols w:equalWidth="0" w:num="1">
            <w:col w:w="10880"/>
          </w:cols>
          <w:pgMar w:left="480" w:top="1223" w:right="539" w:bottom="1440" w:gutter="0" w:footer="0" w:header="0"/>
        </w:sect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5D89B4"/>
        </w:rPr>
        <w:t>AUDIT COMMITTEE</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Paul Read</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Chair</w:t>
      </w:r>
    </w:p>
    <w:p>
      <w:pPr>
        <w:spacing w:after="0" w:line="318" w:lineRule="exact"/>
        <w:rPr>
          <w:sz w:val="20"/>
          <w:szCs w:val="20"/>
          <w:color w:val="auto"/>
        </w:rPr>
      </w:pPr>
    </w:p>
    <w:p>
      <w:pPr>
        <w:jc w:val="center"/>
        <w:ind w:left="340"/>
        <w:spacing w:after="0"/>
        <w:rPr>
          <w:sz w:val="20"/>
          <w:szCs w:val="20"/>
          <w:color w:val="auto"/>
        </w:rPr>
      </w:pPr>
      <w:r>
        <w:rPr>
          <w:rFonts w:ascii="Arial" w:cs="Arial" w:eastAsia="Arial" w:hAnsi="Arial"/>
          <w:sz w:val="15"/>
          <w:szCs w:val="15"/>
          <w:b w:val="1"/>
          <w:bCs w:val="1"/>
          <w:color w:val="auto"/>
        </w:rPr>
        <w:t>Members:</w:t>
      </w:r>
    </w:p>
    <w:p>
      <w:pPr>
        <w:spacing w:after="0" w:line="6" w:lineRule="exact"/>
        <w:rPr>
          <w:sz w:val="20"/>
          <w:szCs w:val="20"/>
          <w:color w:val="auto"/>
        </w:rPr>
      </w:pPr>
    </w:p>
    <w:p>
      <w:pPr>
        <w:jc w:val="center"/>
        <w:ind w:left="340"/>
        <w:spacing w:after="0" w:line="229" w:lineRule="auto"/>
        <w:rPr>
          <w:sz w:val="20"/>
          <w:szCs w:val="20"/>
          <w:color w:val="auto"/>
        </w:rPr>
      </w:pPr>
      <w:r>
        <w:rPr>
          <w:rFonts w:ascii="Arial" w:cs="Arial" w:eastAsia="Arial" w:hAnsi="Arial"/>
          <w:sz w:val="15"/>
          <w:szCs w:val="15"/>
          <w:color w:val="auto"/>
        </w:rPr>
        <w:t>Gina R. Boswell Jean-Philippe Courtois John F. Ferraro Patricia Hemingway Hall Ulice Payne, Jr.</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6045"/>
        <w:spacing w:after="0"/>
        <w:rPr>
          <w:sz w:val="20"/>
          <w:szCs w:val="20"/>
          <w:color w:val="auto"/>
        </w:rPr>
      </w:pPr>
      <w:r>
        <w:rPr>
          <w:rFonts w:ascii="Arial" w:cs="Arial" w:eastAsia="Arial" w:hAnsi="Arial"/>
          <w:sz w:val="14"/>
          <w:szCs w:val="14"/>
          <w:b w:val="1"/>
          <w:bCs w:val="1"/>
          <w:color w:val="5D89B4"/>
        </w:rPr>
        <w:t>NUMBER OF MEETINGS IN 2021: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-127000</wp:posOffset>
            </wp:positionV>
            <wp:extent cx="6929755" cy="53587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9755" cy="5358765"/>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-127000</wp:posOffset>
            </wp:positionV>
            <wp:extent cx="6929755" cy="53587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5358765"/>
                    </a:xfrm>
                    <a:prstGeom prst="rect">
                      <a:avLst/>
                    </a:prstGeom>
                    <a:noFill/>
                  </pic:spPr>
                </pic:pic>
              </a:graphicData>
            </a:graphic>
          </wp:anchor>
        </w:drawing>
      </w:r>
    </w:p>
    <w:p>
      <w:pPr>
        <w:spacing w:after="0" w:line="131" w:lineRule="exact"/>
        <w:rPr>
          <w:sz w:val="20"/>
          <w:szCs w:val="20"/>
          <w:color w:val="auto"/>
        </w:rPr>
      </w:pPr>
    </w:p>
    <w:p>
      <w:pPr>
        <w:ind w:left="5" w:right="140"/>
        <w:spacing w:after="0" w:line="242" w:lineRule="auto"/>
        <w:rPr>
          <w:sz w:val="20"/>
          <w:szCs w:val="20"/>
          <w:color w:val="auto"/>
        </w:rPr>
      </w:pPr>
      <w:r>
        <w:rPr>
          <w:rFonts w:ascii="Arial" w:cs="Arial" w:eastAsia="Arial" w:hAnsi="Arial"/>
          <w:sz w:val="14"/>
          <w:szCs w:val="14"/>
          <w:color w:val="auto"/>
        </w:rPr>
        <w:t>The board of directors has determined that each member of the audit committee meets the financial literacy and independence requirements of the SEC and New York Stock Exchange, as applicable, and that Ms. Boswell, Mr. Ferraro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No member of the audit committee currently serves on the audit committee of more than three public companies, including ManpowerGroup.</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4"/>
          <w:szCs w:val="14"/>
          <w:color w:val="auto"/>
        </w:rPr>
        <w:t>The functions of this committee are to:</w:t>
      </w:r>
    </w:p>
    <w:p>
      <w:pPr>
        <w:spacing w:after="0" w:line="40" w:lineRule="exact"/>
        <w:rPr>
          <w:sz w:val="20"/>
          <w:szCs w:val="20"/>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appoint the independent auditors for the annual audit and approve the fee arrangements with the independent auditors;</w:t>
      </w:r>
    </w:p>
    <w:p>
      <w:pPr>
        <w:spacing w:after="0" w:line="39"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monitor the independence, qualifications and performance of the independent auditors;</w:t>
      </w:r>
    </w:p>
    <w:p>
      <w:pPr>
        <w:spacing w:after="0" w:line="39"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the planned scope of the annual audit;</w:t>
      </w:r>
    </w:p>
    <w:p>
      <w:pPr>
        <w:spacing w:after="0" w:line="39" w:lineRule="exact"/>
        <w:rPr>
          <w:rFonts w:ascii="Arial" w:cs="Arial" w:eastAsia="Arial" w:hAnsi="Arial"/>
          <w:sz w:val="14"/>
          <w:szCs w:val="14"/>
          <w:color w:val="auto"/>
        </w:rPr>
      </w:pPr>
    </w:p>
    <w:p>
      <w:pPr>
        <w:ind w:left="185" w:right="160" w:hanging="185"/>
        <w:spacing w:after="0" w:line="246"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the financial statements to be included in our quarterly reports on Form 10-Q and our annual report on Form 10-K, and our disclosures under “Management’s Discussion and Analysis of Financial Condition and Results of Operations” section of those reports;</w:t>
      </w:r>
    </w:p>
    <w:p>
      <w:pPr>
        <w:spacing w:after="0" w:line="26"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compliance with and reporting under Section 404 of the Sarbanes-Oxley Act of 2002;</w:t>
      </w:r>
    </w:p>
    <w:p>
      <w:pPr>
        <w:spacing w:after="0" w:line="39" w:lineRule="exact"/>
        <w:rPr>
          <w:rFonts w:ascii="Arial" w:cs="Arial" w:eastAsia="Arial" w:hAnsi="Arial"/>
          <w:sz w:val="14"/>
          <w:szCs w:val="14"/>
          <w:color w:val="auto"/>
        </w:rPr>
      </w:pPr>
    </w:p>
    <w:p>
      <w:pPr>
        <w:ind w:left="185" w:right="220" w:hanging="185"/>
        <w:spacing w:after="0" w:line="254"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our financial reporting processes and internal controls and any significant audit adjustments proposed by the independent auditors;</w:t>
      </w:r>
    </w:p>
    <w:p>
      <w:pPr>
        <w:spacing w:after="0" w:line="20" w:lineRule="exact"/>
        <w:rPr>
          <w:rFonts w:ascii="Arial" w:cs="Arial" w:eastAsia="Arial" w:hAnsi="Arial"/>
          <w:sz w:val="14"/>
          <w:szCs w:val="14"/>
          <w:color w:val="auto"/>
        </w:rPr>
      </w:pPr>
    </w:p>
    <w:p>
      <w:pPr>
        <w:ind w:left="185" w:right="300" w:hanging="185"/>
        <w:spacing w:after="0" w:line="254"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make a recommendation to the board of directors regarding inclusion of the audited financial statements in our annual report on Form 10-K;</w:t>
      </w:r>
    </w:p>
    <w:p>
      <w:pPr>
        <w:spacing w:after="0" w:line="20" w:lineRule="exact"/>
        <w:rPr>
          <w:rFonts w:ascii="Arial" w:cs="Arial" w:eastAsia="Arial" w:hAnsi="Arial"/>
          <w:sz w:val="14"/>
          <w:szCs w:val="14"/>
          <w:color w:val="auto"/>
        </w:rPr>
      </w:pPr>
    </w:p>
    <w:p>
      <w:pPr>
        <w:ind w:left="185" w:hanging="185"/>
        <w:spacing w:after="0" w:line="254"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recommendations, if any, by the independent auditors resulting from the audit to ensure that appropriate actions are taken by management;</w:t>
      </w:r>
    </w:p>
    <w:p>
      <w:pPr>
        <w:spacing w:after="0" w:line="20" w:lineRule="exact"/>
        <w:rPr>
          <w:rFonts w:ascii="Arial" w:cs="Arial" w:eastAsia="Arial" w:hAnsi="Arial"/>
          <w:sz w:val="14"/>
          <w:szCs w:val="14"/>
          <w:color w:val="auto"/>
        </w:rPr>
      </w:pPr>
    </w:p>
    <w:p>
      <w:pPr>
        <w:ind w:left="185" w:right="20" w:hanging="185"/>
        <w:spacing w:after="0" w:line="254"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and discuss with the independent auditors any critical audit matter (“CAM”) addressed in the audit and disclosures that relate to each CAM;</w:t>
      </w:r>
    </w:p>
    <w:p>
      <w:pPr>
        <w:spacing w:after="0" w:line="20"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matters of disagreement, if any, between management and the independent auditors;</w:t>
      </w:r>
    </w:p>
    <w:p>
      <w:pPr>
        <w:spacing w:after="0" w:line="39"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periodically review our Policy Regarding the Retention of Former Employees of Independent Auditors;</w:t>
      </w:r>
    </w:p>
    <w:p>
      <w:pPr>
        <w:spacing w:after="0" w:line="39"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oversee compliance with our Independent Auditor Services Policy;</w:t>
      </w:r>
    </w:p>
    <w:p>
      <w:pPr>
        <w:spacing w:after="0" w:line="39" w:lineRule="exact"/>
        <w:rPr>
          <w:rFonts w:ascii="Arial" w:cs="Arial" w:eastAsia="Arial" w:hAnsi="Arial"/>
          <w:sz w:val="14"/>
          <w:szCs w:val="14"/>
          <w:color w:val="auto"/>
        </w:rPr>
      </w:pPr>
    </w:p>
    <w:p>
      <w:pPr>
        <w:ind w:left="185" w:right="40" w:hanging="185"/>
        <w:spacing w:after="0" w:line="254"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meet privately on a periodic basis with the independent auditors, internal audit staff and management to review the adequacy of our internal controls and other finance related matters;</w:t>
      </w:r>
    </w:p>
    <w:p>
      <w:pPr>
        <w:spacing w:after="0" w:line="20"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meet privately with management to review the competence, performance and independence of the independent auditors;</w:t>
      </w:r>
    </w:p>
    <w:p>
      <w:pPr>
        <w:spacing w:after="0" w:line="39"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monitor our internal audit department, including our internal audit plan;</w:t>
      </w:r>
    </w:p>
    <w:p>
      <w:pPr>
        <w:spacing w:after="0" w:line="39" w:lineRule="exact"/>
        <w:rPr>
          <w:rFonts w:ascii="Arial" w:cs="Arial" w:eastAsia="Arial" w:hAnsi="Arial"/>
          <w:sz w:val="14"/>
          <w:szCs w:val="14"/>
          <w:color w:val="auto"/>
        </w:rPr>
      </w:pPr>
    </w:p>
    <w:p>
      <w:pPr>
        <w:ind w:left="185" w:right="100" w:hanging="185"/>
        <w:spacing w:after="0" w:line="254"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guidelines and policies regarding compliance by our employees with our code of business conduct and ethics, including the anti-corruption policy;</w:t>
      </w:r>
    </w:p>
    <w:p>
      <w:pPr>
        <w:spacing w:after="0" w:line="20" w:lineRule="exact"/>
        <w:rPr>
          <w:rFonts w:ascii="Arial" w:cs="Arial" w:eastAsia="Arial" w:hAnsi="Arial"/>
          <w:sz w:val="14"/>
          <w:szCs w:val="14"/>
          <w:color w:val="auto"/>
        </w:rPr>
      </w:pPr>
    </w:p>
    <w:p>
      <w:pPr>
        <w:ind w:left="185" w:right="220" w:hanging="185"/>
        <w:spacing w:after="0" w:line="254"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procedures for receipt, retention and treatment of, and the confidential and anonymous submission of concerns regarding questionable accounting or auditing matters;</w:t>
      </w:r>
    </w:p>
    <w:p>
      <w:pPr>
        <w:spacing w:after="0" w:line="20" w:lineRule="exact"/>
        <w:rPr>
          <w:rFonts w:ascii="Arial" w:cs="Arial" w:eastAsia="Arial" w:hAnsi="Arial"/>
          <w:sz w:val="14"/>
          <w:szCs w:val="14"/>
          <w:color w:val="auto"/>
        </w:rPr>
      </w:pPr>
    </w:p>
    <w:p>
      <w:pPr>
        <w:ind w:left="185" w:right="40" w:hanging="185"/>
        <w:spacing w:after="0" w:line="246"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assist the board of directors with its oversight of the performance of the Company’s risk management function, including meeting periodically with the chief technology officer regarding the Company’s information technology and receiving periodic updates on the Company’s cybersecurity program;</w:t>
      </w:r>
    </w:p>
    <w:p>
      <w:pPr>
        <w:spacing w:after="0" w:line="26"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 current tax matters affecting us;</w:t>
      </w:r>
    </w:p>
    <w:p>
      <w:pPr>
        <w:spacing w:after="0" w:line="39"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periodically discuss with management our risk management framework;</w:t>
      </w:r>
    </w:p>
    <w:p>
      <w:pPr>
        <w:spacing w:after="0" w:line="39" w:lineRule="exact"/>
        <w:rPr>
          <w:rFonts w:ascii="Arial" w:cs="Arial" w:eastAsia="Arial" w:hAnsi="Arial"/>
          <w:sz w:val="14"/>
          <w:szCs w:val="14"/>
          <w:color w:val="auto"/>
        </w:rPr>
      </w:pPr>
    </w:p>
    <w:p>
      <w:pPr>
        <w:ind w:left="185" w:right="40" w:hanging="185"/>
        <w:spacing w:after="0" w:line="254"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periodically discuss with the Company’s general counsel and chief compliance officer any significant legal, compliance or regulatory matters that may have a material impact on the Company’s business, financial statements or compliance policies;</w:t>
      </w:r>
    </w:p>
    <w:p>
      <w:pPr>
        <w:spacing w:after="0" w:line="20" w:lineRule="exact"/>
        <w:rPr>
          <w:rFonts w:ascii="Arial" w:cs="Arial" w:eastAsia="Arial" w:hAnsi="Arial"/>
          <w:sz w:val="14"/>
          <w:szCs w:val="14"/>
          <w:color w:val="auto"/>
        </w:rPr>
      </w:pPr>
    </w:p>
    <w:p>
      <w:pPr>
        <w:ind w:left="185" w:right="320" w:hanging="185"/>
        <w:spacing w:after="0" w:line="254" w:lineRule="auto"/>
        <w:tabs>
          <w:tab w:leader="none" w:pos="157" w:val="left"/>
        </w:tabs>
        <w:numPr>
          <w:ilvl w:val="0"/>
          <w:numId w:val="56"/>
        </w:numPr>
        <w:rPr>
          <w:rFonts w:ascii="Arial" w:cs="Arial" w:eastAsia="Arial" w:hAnsi="Arial"/>
          <w:sz w:val="14"/>
          <w:szCs w:val="14"/>
          <w:color w:val="auto"/>
        </w:rPr>
      </w:pPr>
      <w:r>
        <w:rPr>
          <w:rFonts w:ascii="Arial" w:cs="Arial" w:eastAsia="Arial" w:hAnsi="Arial"/>
          <w:sz w:val="14"/>
          <w:szCs w:val="14"/>
          <w:color w:val="auto"/>
        </w:rPr>
        <w:t>monitor any litigation involving ManpowerGroup that may have a material financial impact on ManpowerGroup or that relates to matters entrusted to the audit committee; and</w:t>
      </w:r>
    </w:p>
    <w:p>
      <w:pPr>
        <w:spacing w:after="0" w:line="20" w:lineRule="exact"/>
        <w:rPr>
          <w:rFonts w:ascii="Arial" w:cs="Arial" w:eastAsia="Arial" w:hAnsi="Arial"/>
          <w:sz w:val="14"/>
          <w:szCs w:val="14"/>
          <w:color w:val="auto"/>
        </w:rPr>
      </w:pPr>
    </w:p>
    <w:p>
      <w:pPr>
        <w:ind w:left="145" w:hanging="145"/>
        <w:spacing w:after="0"/>
        <w:tabs>
          <w:tab w:leader="none" w:pos="145" w:val="left"/>
        </w:tabs>
        <w:numPr>
          <w:ilvl w:val="0"/>
          <w:numId w:val="56"/>
        </w:numPr>
        <w:rPr>
          <w:rFonts w:ascii="Arial" w:cs="Arial" w:eastAsia="Arial" w:hAnsi="Arial"/>
          <w:sz w:val="14"/>
          <w:szCs w:val="14"/>
          <w:color w:val="auto"/>
        </w:rPr>
      </w:pPr>
      <w:r>
        <w:rPr>
          <w:rFonts w:ascii="Arial" w:cs="Arial" w:eastAsia="Arial" w:hAnsi="Arial"/>
          <w:sz w:val="14"/>
          <w:szCs w:val="14"/>
          <w:color w:val="auto"/>
        </w:rPr>
        <w:t>approve the retention, compensation and termination of outside legal, accounting and other such advisors to the committee.</w:t>
      </w:r>
    </w:p>
    <w:p>
      <w:pPr>
        <w:spacing w:after="0" w:line="200" w:lineRule="exact"/>
        <w:rPr>
          <w:sz w:val="20"/>
          <w:szCs w:val="20"/>
          <w:color w:val="auto"/>
        </w:rPr>
      </w:pPr>
    </w:p>
    <w:p>
      <w:pPr>
        <w:sectPr>
          <w:pgSz w:w="11900" w:h="16838" w:orient="portrait"/>
          <w:cols w:equalWidth="0" w:num="2">
            <w:col w:w="1980" w:space="435"/>
            <w:col w:w="8465"/>
          </w:cols>
          <w:pgMar w:left="480" w:top="1223" w:right="539" w:bottom="1440" w:gutter="0" w:footer="0" w:header="0"/>
          <w:type w:val="continuous"/>
        </w:sectPr>
      </w:pPr>
    </w:p>
    <w:p>
      <w:pPr>
        <w:spacing w:after="0" w:line="72"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action by written consent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18</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223" w:right="539" w:bottom="1440" w:gutter="0" w:footer="0" w:header="0"/>
          <w:type w:val="continuous"/>
        </w:sectPr>
      </w:pPr>
    </w:p>
    <w:bookmarkStart w:id="30" w:name="page31"/>
    <w:bookmarkEnd w:id="30"/>
    <w:p>
      <w:pPr>
        <w:ind w:left="7300"/>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6929755" cy="2209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198" w:lineRule="exact"/>
        <w:rPr>
          <w:sz w:val="20"/>
          <w:szCs w:val="20"/>
          <w:color w:val="auto"/>
        </w:rPr>
      </w:pPr>
    </w:p>
    <w:p>
      <w:pPr>
        <w:ind w:left="80"/>
        <w:spacing w:after="0"/>
        <w:tabs>
          <w:tab w:leader="none" w:pos="8460" w:val="left"/>
        </w:tabs>
        <w:rPr>
          <w:sz w:val="20"/>
          <w:szCs w:val="20"/>
          <w:color w:val="auto"/>
        </w:rPr>
      </w:pPr>
      <w:r>
        <w:rPr>
          <w:rFonts w:ascii="Arial" w:cs="Arial" w:eastAsia="Arial" w:hAnsi="Arial"/>
          <w:sz w:val="19"/>
          <w:szCs w:val="19"/>
          <w:b w:val="1"/>
          <w:bCs w:val="1"/>
          <w:color w:val="5D89B4"/>
        </w:rPr>
        <w:t>PEOPLE, CULTURE AND COMPENSATION COMMITTEE</w:t>
      </w:r>
      <w:r>
        <w:rPr>
          <w:sz w:val="20"/>
          <w:szCs w:val="20"/>
          <w:color w:val="auto"/>
        </w:rPr>
        <w:tab/>
      </w:r>
      <w:r>
        <w:rPr>
          <w:rFonts w:ascii="Arial" w:cs="Arial" w:eastAsia="Arial" w:hAnsi="Arial"/>
          <w:sz w:val="14"/>
          <w:szCs w:val="14"/>
          <w:b w:val="1"/>
          <w:bCs w:val="1"/>
          <w:color w:val="5D89B4"/>
        </w:rPr>
        <w:t>NUMBER OF MEETINGS IN 2021: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929755" cy="46539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29755" cy="46539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-127000</wp:posOffset>
            </wp:positionV>
            <wp:extent cx="6929755" cy="46539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4653915"/>
                    </a:xfrm>
                    <a:prstGeom prst="rect">
                      <a:avLst/>
                    </a:prstGeom>
                    <a:noFill/>
                  </pic:spPr>
                </pic:pic>
              </a:graphicData>
            </a:graphic>
          </wp:anchor>
        </w:drawing>
      </w:r>
    </w:p>
    <w:p>
      <w:pPr>
        <w:sectPr>
          <w:pgSz w:w="11900" w:h="16838" w:orient="portrait"/>
          <w:cols w:equalWidth="0" w:num="1">
            <w:col w:w="10920"/>
          </w:cols>
          <w:pgMar w:left="480" w:top="1138" w:right="499" w:bottom="1440" w:gutter="0" w:footer="0" w:header="0"/>
        </w:sectPr>
      </w:pP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Elizabeth P. Sartain</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Chair</w:t>
      </w:r>
    </w:p>
    <w:p>
      <w:pPr>
        <w:spacing w:after="0" w:line="237" w:lineRule="exact"/>
        <w:rPr>
          <w:sz w:val="20"/>
          <w:szCs w:val="20"/>
          <w:color w:val="auto"/>
        </w:rPr>
      </w:pPr>
    </w:p>
    <w:p>
      <w:pPr>
        <w:jc w:val="center"/>
        <w:ind w:left="380"/>
        <w:spacing w:after="0"/>
        <w:rPr>
          <w:sz w:val="20"/>
          <w:szCs w:val="20"/>
          <w:color w:val="auto"/>
        </w:rPr>
      </w:pPr>
      <w:r>
        <w:rPr>
          <w:rFonts w:ascii="Arial" w:cs="Arial" w:eastAsia="Arial" w:hAnsi="Arial"/>
          <w:sz w:val="15"/>
          <w:szCs w:val="15"/>
          <w:b w:val="1"/>
          <w:bCs w:val="1"/>
          <w:color w:val="auto"/>
        </w:rPr>
        <w:t>Members:</w:t>
      </w:r>
    </w:p>
    <w:p>
      <w:pPr>
        <w:jc w:val="center"/>
        <w:ind w:left="380"/>
        <w:spacing w:after="0" w:line="231" w:lineRule="auto"/>
        <w:rPr>
          <w:sz w:val="20"/>
          <w:szCs w:val="20"/>
          <w:color w:val="auto"/>
        </w:rPr>
      </w:pPr>
      <w:r>
        <w:rPr>
          <w:rFonts w:ascii="Arial" w:cs="Arial" w:eastAsia="Arial" w:hAnsi="Arial"/>
          <w:sz w:val="15"/>
          <w:szCs w:val="15"/>
          <w:color w:val="auto"/>
        </w:rPr>
        <w:t>William Downe</w:t>
      </w:r>
    </w:p>
    <w:p>
      <w:pPr>
        <w:jc w:val="center"/>
        <w:ind w:left="380"/>
        <w:spacing w:after="0"/>
        <w:rPr>
          <w:sz w:val="20"/>
          <w:szCs w:val="20"/>
          <w:color w:val="auto"/>
        </w:rPr>
      </w:pPr>
      <w:r>
        <w:rPr>
          <w:rFonts w:ascii="Arial" w:cs="Arial" w:eastAsia="Arial" w:hAnsi="Arial"/>
          <w:sz w:val="14"/>
          <w:szCs w:val="14"/>
          <w:color w:val="auto"/>
        </w:rPr>
        <w:t>William P. Gipson</w:t>
      </w:r>
    </w:p>
    <w:p>
      <w:pPr>
        <w:jc w:val="center"/>
        <w:ind w:left="380"/>
        <w:spacing w:after="0"/>
        <w:rPr>
          <w:sz w:val="20"/>
          <w:szCs w:val="20"/>
          <w:color w:val="auto"/>
        </w:rPr>
      </w:pPr>
      <w:r>
        <w:rPr>
          <w:rFonts w:ascii="Arial" w:cs="Arial" w:eastAsia="Arial" w:hAnsi="Arial"/>
          <w:sz w:val="15"/>
          <w:szCs w:val="15"/>
          <w:color w:val="auto"/>
        </w:rPr>
        <w:t>Julie M. Howard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680"/>
        <w:spacing w:after="0" w:line="237" w:lineRule="auto"/>
        <w:rPr>
          <w:sz w:val="20"/>
          <w:szCs w:val="20"/>
          <w:color w:val="auto"/>
        </w:rPr>
      </w:pPr>
      <w:r>
        <w:rPr>
          <w:rFonts w:ascii="Arial" w:cs="Arial" w:eastAsia="Arial" w:hAnsi="Arial"/>
          <w:sz w:val="15"/>
          <w:szCs w:val="15"/>
          <w:color w:val="auto"/>
        </w:rPr>
        <w:t>Each member of the people, culture and compensation committee is “independent” within the meaning of the applicable listing standards of the New York Stock Exchange.</w:t>
      </w:r>
    </w:p>
    <w:p>
      <w:pPr>
        <w:spacing w:after="0" w:line="141"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In 2021, the executive compensation and human resources committee changed its name to the people, culture and compensation committee in light of its evolving areas of focus and responsibilities. The functions of this committee are to:</w:t>
      </w:r>
    </w:p>
    <w:p>
      <w:pPr>
        <w:spacing w:after="0" w:line="142" w:lineRule="exact"/>
        <w:rPr>
          <w:sz w:val="20"/>
          <w:szCs w:val="20"/>
          <w:color w:val="auto"/>
        </w:rPr>
      </w:pPr>
    </w:p>
    <w:p>
      <w:pPr>
        <w:ind w:left="140" w:hanging="137"/>
        <w:spacing w:after="0"/>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 and approve the Company’s general compensation philosophies and principles;</w:t>
      </w:r>
    </w:p>
    <w:p>
      <w:pPr>
        <w:spacing w:after="0" w:line="68" w:lineRule="exact"/>
        <w:rPr>
          <w:rFonts w:ascii="Arial" w:cs="Arial" w:eastAsia="Arial" w:hAnsi="Arial"/>
          <w:sz w:val="15"/>
          <w:szCs w:val="15"/>
          <w:color w:val="auto"/>
        </w:rPr>
      </w:pPr>
    </w:p>
    <w:p>
      <w:pPr>
        <w:ind w:left="180" w:right="800" w:hanging="177"/>
        <w:spacing w:after="0" w:line="237"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establish the compensation of the chief executive officer of ManpowerGroup, subject to ratification by the independent members of the board of directors;</w:t>
      </w:r>
    </w:p>
    <w:p>
      <w:pPr>
        <w:spacing w:after="0" w:line="60" w:lineRule="exact"/>
        <w:rPr>
          <w:rFonts w:ascii="Arial" w:cs="Arial" w:eastAsia="Arial" w:hAnsi="Arial"/>
          <w:sz w:val="15"/>
          <w:szCs w:val="15"/>
          <w:color w:val="auto"/>
        </w:rPr>
      </w:pPr>
    </w:p>
    <w:p>
      <w:pPr>
        <w:ind w:left="180" w:right="80" w:hanging="177"/>
        <w:spacing w:after="0" w:line="237"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approve the compensation, based on the recommendations of the chief executive officer of ManpowerGroup, of any president and the chief financial officer, and certain other senior executives of ManpowerGroup;</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establish officer stock ownership guidelines and monitor compliance with such guidelines;</w:t>
      </w:r>
    </w:p>
    <w:p>
      <w:pPr>
        <w:spacing w:after="0" w:line="68" w:lineRule="exact"/>
        <w:rPr>
          <w:rFonts w:ascii="Arial" w:cs="Arial" w:eastAsia="Arial" w:hAnsi="Arial"/>
          <w:sz w:val="15"/>
          <w:szCs w:val="15"/>
          <w:color w:val="auto"/>
        </w:rPr>
      </w:pPr>
    </w:p>
    <w:p>
      <w:pPr>
        <w:ind w:left="180" w:right="120" w:hanging="177"/>
        <w:spacing w:after="0" w:line="232"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determine the terms of any agreements concerning employment, compensation or employment termination, as well as monitor the application of ManpowerGroup’s retirement and other fringe benefit plans, with respect to the individuals listed above;</w:t>
      </w:r>
    </w:p>
    <w:p>
      <w:pPr>
        <w:spacing w:after="0" w:line="61" w:lineRule="exact"/>
        <w:rPr>
          <w:rFonts w:ascii="Arial" w:cs="Arial" w:eastAsia="Arial" w:hAnsi="Arial"/>
          <w:sz w:val="15"/>
          <w:szCs w:val="15"/>
          <w:color w:val="auto"/>
        </w:rPr>
      </w:pPr>
    </w:p>
    <w:p>
      <w:pPr>
        <w:ind w:left="140" w:hanging="137"/>
        <w:spacing w:after="0"/>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monitor the professional development of ManpowerGroup’s key executive officers;</w:t>
      </w:r>
    </w:p>
    <w:p>
      <w:pPr>
        <w:spacing w:after="0" w:line="68" w:lineRule="exact"/>
        <w:rPr>
          <w:rFonts w:ascii="Arial" w:cs="Arial" w:eastAsia="Arial" w:hAnsi="Arial"/>
          <w:sz w:val="15"/>
          <w:szCs w:val="15"/>
          <w:color w:val="auto"/>
        </w:rPr>
      </w:pPr>
    </w:p>
    <w:p>
      <w:pPr>
        <w:ind w:left="180" w:right="200" w:hanging="177"/>
        <w:spacing w:after="0" w:line="237"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 succession plans for the chief executive officer of ManpowerGroup, of any president and the chief financial officer and certain other senior executives of ManpowerGroup;</w:t>
      </w:r>
    </w:p>
    <w:p>
      <w:pPr>
        <w:spacing w:after="0" w:line="60" w:lineRule="exact"/>
        <w:rPr>
          <w:rFonts w:ascii="Arial" w:cs="Arial" w:eastAsia="Arial" w:hAnsi="Arial"/>
          <w:sz w:val="15"/>
          <w:szCs w:val="15"/>
          <w:color w:val="auto"/>
        </w:rPr>
      </w:pPr>
    </w:p>
    <w:p>
      <w:pPr>
        <w:ind w:left="180" w:right="1020" w:hanging="177"/>
        <w:spacing w:after="0" w:line="237"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administer ManpowerGroup’s equity incentive plans and employee stock purchase plans and oversee ManpowerGroup’s employee retirement and welfare plans;</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administer ManpowerGroup’s annual incentive plan;</w:t>
      </w:r>
    </w:p>
    <w:p>
      <w:pPr>
        <w:spacing w:after="0" w:line="68" w:lineRule="exact"/>
        <w:rPr>
          <w:rFonts w:ascii="Arial" w:cs="Arial" w:eastAsia="Arial" w:hAnsi="Arial"/>
          <w:sz w:val="15"/>
          <w:szCs w:val="15"/>
          <w:color w:val="auto"/>
        </w:rPr>
      </w:pPr>
    </w:p>
    <w:p>
      <w:pPr>
        <w:ind w:left="140" w:hanging="137"/>
        <w:spacing w:after="0"/>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oversee the administration of the Company’s clawback policy;</w:t>
      </w:r>
    </w:p>
    <w:p>
      <w:pPr>
        <w:spacing w:after="0" w:line="68" w:lineRule="exact"/>
        <w:rPr>
          <w:rFonts w:ascii="Arial" w:cs="Arial" w:eastAsia="Arial" w:hAnsi="Arial"/>
          <w:sz w:val="15"/>
          <w:szCs w:val="15"/>
          <w:color w:val="auto"/>
        </w:rPr>
      </w:pPr>
    </w:p>
    <w:p>
      <w:pPr>
        <w:ind w:left="140" w:hanging="137"/>
        <w:spacing w:after="0"/>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 and recommend the “Compensation Discussion and Analysis” to be included in our annual proxy statement;</w:t>
      </w:r>
    </w:p>
    <w:p>
      <w:pPr>
        <w:spacing w:after="0" w:line="68" w:lineRule="exact"/>
        <w:rPr>
          <w:rFonts w:ascii="Arial" w:cs="Arial" w:eastAsia="Arial" w:hAnsi="Arial"/>
          <w:sz w:val="15"/>
          <w:szCs w:val="15"/>
          <w:color w:val="auto"/>
        </w:rPr>
      </w:pPr>
    </w:p>
    <w:p>
      <w:pPr>
        <w:ind w:left="180" w:right="160" w:hanging="177"/>
        <w:spacing w:after="0" w:line="237"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discuss with management reports regarding the development, implementation and effectiveness of the Company’s policies and strategies relating to its human capital management function;</w:t>
      </w:r>
    </w:p>
    <w:p>
      <w:pPr>
        <w:spacing w:after="0" w:line="60" w:lineRule="exact"/>
        <w:rPr>
          <w:rFonts w:ascii="Arial" w:cs="Arial" w:eastAsia="Arial" w:hAnsi="Arial"/>
          <w:sz w:val="15"/>
          <w:szCs w:val="15"/>
          <w:color w:val="auto"/>
        </w:rPr>
      </w:pPr>
    </w:p>
    <w:p>
      <w:pPr>
        <w:ind w:left="180" w:right="500" w:hanging="177"/>
        <w:spacing w:after="0" w:line="237"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approve the retention, compensation and termination of outside compensation consultants, independent legal advisors or other advisors and have oversight of their work;</w:t>
      </w:r>
    </w:p>
    <w:p>
      <w:pPr>
        <w:spacing w:after="0" w:line="60" w:lineRule="exact"/>
        <w:rPr>
          <w:rFonts w:ascii="Arial" w:cs="Arial" w:eastAsia="Arial" w:hAnsi="Arial"/>
          <w:sz w:val="15"/>
          <w:szCs w:val="15"/>
          <w:color w:val="auto"/>
        </w:rPr>
      </w:pPr>
    </w:p>
    <w:p>
      <w:pPr>
        <w:ind w:left="180" w:right="220" w:hanging="177"/>
        <w:spacing w:after="0" w:line="237"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consider the independence of any outside compensation consultant, independent legal advisor or other advisor to the committee;</w:t>
      </w:r>
    </w:p>
    <w:p>
      <w:pPr>
        <w:spacing w:after="0" w:line="60" w:lineRule="exact"/>
        <w:rPr>
          <w:rFonts w:ascii="Arial" w:cs="Arial" w:eastAsia="Arial" w:hAnsi="Arial"/>
          <w:sz w:val="15"/>
          <w:szCs w:val="15"/>
          <w:color w:val="auto"/>
        </w:rPr>
      </w:pPr>
    </w:p>
    <w:p>
      <w:pPr>
        <w:ind w:left="180" w:right="760" w:hanging="177"/>
        <w:spacing w:after="0" w:line="237"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monitor the Company’s policies, objectives and programs related to diversity and inclusion and review the Company’s performance in light of appropriate measures; and</w:t>
      </w:r>
    </w:p>
    <w:p>
      <w:pPr>
        <w:spacing w:after="0" w:line="60" w:lineRule="exact"/>
        <w:rPr>
          <w:rFonts w:ascii="Arial" w:cs="Arial" w:eastAsia="Arial" w:hAnsi="Arial"/>
          <w:sz w:val="15"/>
          <w:szCs w:val="15"/>
          <w:color w:val="auto"/>
        </w:rPr>
      </w:pPr>
    </w:p>
    <w:p>
      <w:pPr>
        <w:ind w:left="180" w:right="20" w:hanging="177"/>
        <w:spacing w:after="0" w:line="237" w:lineRule="auto"/>
        <w:tabs>
          <w:tab w:leader="none" w:pos="1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 the results of any advisory shareholder votes on executive compensation and consider whether to recommend adjustments to the Company’s executive compensation policies and practices as a result of such votes.</w:t>
      </w:r>
    </w:p>
    <w:p>
      <w:pPr>
        <w:spacing w:after="0" w:line="200" w:lineRule="exact"/>
        <w:rPr>
          <w:sz w:val="20"/>
          <w:szCs w:val="20"/>
          <w:color w:val="auto"/>
        </w:rPr>
      </w:pPr>
    </w:p>
    <w:p>
      <w:pPr>
        <w:sectPr>
          <w:pgSz w:w="11900" w:h="16838" w:orient="portrait"/>
          <w:cols w:equalWidth="0" w:num="2">
            <w:col w:w="2480" w:space="480"/>
            <w:col w:w="7960"/>
          </w:cols>
          <w:pgMar w:left="480" w:top="1138" w:right="499" w:bottom="1440" w:gutter="0" w:footer="0" w:header="0"/>
          <w:type w:val="continuous"/>
        </w:sectPr>
      </w:pPr>
    </w:p>
    <w:p>
      <w:pPr>
        <w:spacing w:after="0" w:line="248"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In accordance with the terms of its charter, the people, culture and compensation committee may from time to time delegate authority and assign responsibility with respect to such of its functions to officers of the Company, or to a subcommittee of the committee. The people, culture and compensation committee did not take any action by written consent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19</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38" w:right="4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6929755" cy="2209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198" w:lineRule="exact"/>
        <w:rPr>
          <w:sz w:val="20"/>
          <w:szCs w:val="20"/>
          <w:color w:val="auto"/>
        </w:rPr>
      </w:pPr>
    </w:p>
    <w:p>
      <w:pPr>
        <w:ind w:left="80"/>
        <w:spacing w:after="0"/>
        <w:tabs>
          <w:tab w:leader="none" w:pos="8460" w:val="left"/>
        </w:tabs>
        <w:rPr>
          <w:sz w:val="20"/>
          <w:szCs w:val="20"/>
          <w:color w:val="auto"/>
        </w:rPr>
      </w:pPr>
      <w:r>
        <w:rPr>
          <w:rFonts w:ascii="Arial" w:cs="Arial" w:eastAsia="Arial" w:hAnsi="Arial"/>
          <w:sz w:val="19"/>
          <w:szCs w:val="19"/>
          <w:b w:val="1"/>
          <w:bCs w:val="1"/>
          <w:color w:val="5D89B4"/>
        </w:rPr>
        <w:t>GOVERNANCE AND SUSTAINABILITY COMMITTEE</w:t>
      </w:r>
      <w:r>
        <w:rPr>
          <w:sz w:val="20"/>
          <w:szCs w:val="20"/>
          <w:color w:val="auto"/>
        </w:rPr>
        <w:tab/>
      </w:r>
      <w:r>
        <w:rPr>
          <w:rFonts w:ascii="Arial" w:cs="Arial" w:eastAsia="Arial" w:hAnsi="Arial"/>
          <w:sz w:val="14"/>
          <w:szCs w:val="14"/>
          <w:b w:val="1"/>
          <w:bCs w:val="1"/>
          <w:color w:val="5D89B4"/>
        </w:rPr>
        <w:t>NUMBER OF MEETINGS IN 2021: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929755" cy="55200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29755" cy="5520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-127000</wp:posOffset>
            </wp:positionV>
            <wp:extent cx="6929755" cy="55200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9755" cy="5520055"/>
                    </a:xfrm>
                    <a:prstGeom prst="rect">
                      <a:avLst/>
                    </a:prstGeom>
                    <a:noFill/>
                  </pic:spPr>
                </pic:pic>
              </a:graphicData>
            </a:graphic>
          </wp:anchor>
        </w:drawing>
      </w:r>
    </w:p>
    <w:p>
      <w:pPr>
        <w:sectPr>
          <w:pgSz w:w="11900" w:h="16838" w:orient="portrait"/>
          <w:cols w:equalWidth="0" w:num="1">
            <w:col w:w="10840"/>
          </w:cols>
          <w:pgMar w:left="480" w:top="1138" w:right="579" w:bottom="1440" w:gutter="0" w:footer="0" w:header="0"/>
        </w:sectPr>
      </w:pPr>
    </w:p>
    <w:p>
      <w:pPr>
        <w:spacing w:after="0" w:line="89" w:lineRule="exact"/>
        <w:rPr>
          <w:sz w:val="20"/>
          <w:szCs w:val="20"/>
          <w:color w:val="auto"/>
        </w:rPr>
      </w:pPr>
    </w:p>
    <w:p>
      <w:pPr>
        <w:ind w:left="1020"/>
        <w:spacing w:after="0" w:line="253" w:lineRule="auto"/>
        <w:rPr>
          <w:sz w:val="20"/>
          <w:szCs w:val="20"/>
          <w:color w:val="auto"/>
        </w:rPr>
      </w:pPr>
      <w:r>
        <w:rPr>
          <w:rFonts w:ascii="Arial" w:cs="Arial" w:eastAsia="Arial" w:hAnsi="Arial"/>
          <w:sz w:val="16"/>
          <w:szCs w:val="16"/>
          <w:b w:val="1"/>
          <w:bCs w:val="1"/>
          <w:color w:val="auto"/>
        </w:rPr>
        <w:t>Patricia Hemingway Hall</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Chair</w:t>
      </w:r>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5"/>
          <w:szCs w:val="15"/>
          <w:b w:val="1"/>
          <w:bCs w:val="1"/>
          <w:color w:val="auto"/>
        </w:rPr>
        <w:t>Members:</w:t>
      </w:r>
    </w:p>
    <w:p>
      <w:pPr>
        <w:spacing w:after="0" w:line="6" w:lineRule="exact"/>
        <w:rPr>
          <w:sz w:val="20"/>
          <w:szCs w:val="20"/>
          <w:color w:val="auto"/>
        </w:rPr>
      </w:pPr>
    </w:p>
    <w:p>
      <w:pPr>
        <w:jc w:val="center"/>
        <w:ind w:left="600" w:right="260"/>
        <w:spacing w:after="0"/>
        <w:rPr>
          <w:sz w:val="20"/>
          <w:szCs w:val="20"/>
          <w:color w:val="auto"/>
        </w:rPr>
      </w:pPr>
      <w:r>
        <w:rPr>
          <w:rFonts w:ascii="Arial" w:cs="Arial" w:eastAsia="Arial" w:hAnsi="Arial"/>
          <w:sz w:val="15"/>
          <w:szCs w:val="15"/>
          <w:color w:val="auto"/>
        </w:rPr>
        <w:t>Gina R. Boswell Julie M. Howard Ulice Payne, Jr. Michael J. Van Handel</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60"/>
        <w:spacing w:after="0" w:line="237" w:lineRule="auto"/>
        <w:rPr>
          <w:sz w:val="20"/>
          <w:szCs w:val="20"/>
          <w:color w:val="auto"/>
        </w:rPr>
      </w:pPr>
      <w:r>
        <w:rPr>
          <w:rFonts w:ascii="Arial" w:cs="Arial" w:eastAsia="Arial" w:hAnsi="Arial"/>
          <w:sz w:val="15"/>
          <w:szCs w:val="15"/>
          <w:color w:val="auto"/>
        </w:rPr>
        <w:t>Each member of the governance and sustainability committee is “independent” within the meaning of the applicable listing standards of the New York Stock Exchange.</w:t>
      </w:r>
    </w:p>
    <w:p>
      <w:pPr>
        <w:spacing w:after="0" w:line="101" w:lineRule="exact"/>
        <w:rPr>
          <w:sz w:val="20"/>
          <w:szCs w:val="20"/>
          <w:color w:val="auto"/>
        </w:rPr>
      </w:pPr>
    </w:p>
    <w:p>
      <w:pPr>
        <w:jc w:val="both"/>
        <w:ind w:right="360"/>
        <w:spacing w:after="0" w:line="232" w:lineRule="auto"/>
        <w:rPr>
          <w:sz w:val="20"/>
          <w:szCs w:val="20"/>
          <w:color w:val="auto"/>
        </w:rPr>
      </w:pPr>
      <w:r>
        <w:rPr>
          <w:rFonts w:ascii="Arial" w:cs="Arial" w:eastAsia="Arial" w:hAnsi="Arial"/>
          <w:sz w:val="15"/>
          <w:szCs w:val="15"/>
          <w:color w:val="auto"/>
        </w:rPr>
        <w:t>In 2021, we updated our nominating and governance committee to address the board’s oversight responsibilities related to the management and performance of ESG issues. In addition to changing the committee name to the governance and sustainability committee, corresponding updates to the committee charter were also made.</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The functions of this committee are to:</w:t>
      </w:r>
    </w:p>
    <w:p>
      <w:pPr>
        <w:spacing w:after="0" w:line="68" w:lineRule="exact"/>
        <w:rPr>
          <w:sz w:val="20"/>
          <w:szCs w:val="20"/>
          <w:color w:val="auto"/>
        </w:rPr>
      </w:pPr>
    </w:p>
    <w:p>
      <w:pPr>
        <w:ind w:left="180" w:right="30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recommend nominees to stand for election at annual meetings of shareholders, to fill vacancies on the board of directors and to serve on committees of the board of directors;</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establish procedures and assist in identifying candidates for board membership;</w:t>
      </w:r>
    </w:p>
    <w:p>
      <w:pPr>
        <w:spacing w:after="0" w:line="68" w:lineRule="exact"/>
        <w:rPr>
          <w:rFonts w:ascii="Arial" w:cs="Arial" w:eastAsia="Arial" w:hAnsi="Arial"/>
          <w:sz w:val="15"/>
          <w:szCs w:val="15"/>
          <w:color w:val="auto"/>
        </w:rPr>
      </w:pPr>
    </w:p>
    <w:p>
      <w:pPr>
        <w:ind w:left="180" w:right="4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 the qualifications of candidates for board membership, including any candidates nominated by shareholders in accordance with our bylaws;</w:t>
      </w:r>
    </w:p>
    <w:p>
      <w:pPr>
        <w:spacing w:after="0" w:line="60" w:lineRule="exact"/>
        <w:rPr>
          <w:rFonts w:ascii="Arial" w:cs="Arial" w:eastAsia="Arial" w:hAnsi="Arial"/>
          <w:sz w:val="15"/>
          <w:szCs w:val="15"/>
          <w:color w:val="auto"/>
        </w:rPr>
      </w:pPr>
    </w:p>
    <w:p>
      <w:pPr>
        <w:ind w:left="180" w:right="32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periodically review the compensation arrangements in effect for the non-management members of the board of directors and recommend any changes deemed appropriate;</w:t>
      </w:r>
    </w:p>
    <w:p>
      <w:pPr>
        <w:spacing w:after="0" w:line="60" w:lineRule="exact"/>
        <w:rPr>
          <w:rFonts w:ascii="Arial" w:cs="Arial" w:eastAsia="Arial" w:hAnsi="Arial"/>
          <w:sz w:val="15"/>
          <w:szCs w:val="15"/>
          <w:color w:val="auto"/>
        </w:rPr>
      </w:pPr>
    </w:p>
    <w:p>
      <w:pPr>
        <w:ind w:left="180" w:right="34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oversee the annual self-evaluation of the performance of the board of directors and each of its committees and oversee, or ensure another committee oversees, the annual evaluation of the performance of management;</w:t>
      </w:r>
    </w:p>
    <w:p>
      <w:pPr>
        <w:spacing w:after="0" w:line="60" w:lineRule="exact"/>
        <w:rPr>
          <w:rFonts w:ascii="Arial" w:cs="Arial" w:eastAsia="Arial" w:hAnsi="Arial"/>
          <w:sz w:val="15"/>
          <w:szCs w:val="15"/>
          <w:color w:val="auto"/>
        </w:rPr>
      </w:pPr>
    </w:p>
    <w:p>
      <w:pPr>
        <w:ind w:left="180" w:right="160" w:hanging="177"/>
        <w:spacing w:after="0" w:line="232"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61" w:lineRule="exact"/>
        <w:rPr>
          <w:rFonts w:ascii="Arial" w:cs="Arial" w:eastAsia="Arial" w:hAnsi="Arial"/>
          <w:sz w:val="15"/>
          <w:szCs w:val="15"/>
          <w:color w:val="auto"/>
        </w:rPr>
      </w:pPr>
    </w:p>
    <w:p>
      <w:pPr>
        <w:ind w:left="140" w:hanging="137"/>
        <w:spacing w:after="0"/>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 the Board’s leadership structure and recommend any changes deemed appropriate;</w:t>
      </w:r>
    </w:p>
    <w:p>
      <w:pPr>
        <w:spacing w:after="0" w:line="68" w:lineRule="exact"/>
        <w:rPr>
          <w:rFonts w:ascii="Arial" w:cs="Arial" w:eastAsia="Arial" w:hAnsi="Arial"/>
          <w:sz w:val="15"/>
          <w:szCs w:val="15"/>
          <w:color w:val="auto"/>
        </w:rPr>
      </w:pPr>
    </w:p>
    <w:p>
      <w:pPr>
        <w:ind w:left="180" w:right="48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oversee the content and format of our code of business conduct and ethics and recommend any changes as deemed appropriate;</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monitor compliance by the non-management directors with our code of business conduct and ethics;</w:t>
      </w:r>
    </w:p>
    <w:p>
      <w:pPr>
        <w:spacing w:after="0" w:line="68" w:lineRule="exact"/>
        <w:rPr>
          <w:rFonts w:ascii="Arial" w:cs="Arial" w:eastAsia="Arial" w:hAnsi="Arial"/>
          <w:sz w:val="15"/>
          <w:szCs w:val="15"/>
          <w:color w:val="auto"/>
        </w:rPr>
      </w:pPr>
    </w:p>
    <w:p>
      <w:pPr>
        <w:ind w:left="180" w:right="14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 and approve the establishment of any stock ownership guidelines for the non-management directors of the Company and monitor compliance with such guidelines;</w:t>
      </w:r>
    </w:p>
    <w:p>
      <w:pPr>
        <w:spacing w:after="0" w:line="60" w:lineRule="exact"/>
        <w:rPr>
          <w:rFonts w:ascii="Arial" w:cs="Arial" w:eastAsia="Arial" w:hAnsi="Arial"/>
          <w:sz w:val="15"/>
          <w:szCs w:val="15"/>
          <w:color w:val="auto"/>
        </w:rPr>
      </w:pPr>
    </w:p>
    <w:p>
      <w:pPr>
        <w:ind w:left="180" w:right="32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 and make recommendations to the board on proposals related to corporate governance, public policy or sustainability submitted by shareholders;</w:t>
      </w:r>
    </w:p>
    <w:p>
      <w:pPr>
        <w:spacing w:after="0" w:line="60" w:lineRule="exact"/>
        <w:rPr>
          <w:rFonts w:ascii="Arial" w:cs="Arial" w:eastAsia="Arial" w:hAnsi="Arial"/>
          <w:sz w:val="15"/>
          <w:szCs w:val="15"/>
          <w:color w:val="auto"/>
        </w:rPr>
      </w:pPr>
    </w:p>
    <w:p>
      <w:pPr>
        <w:ind w:left="180" w:right="32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oversee and make recommendations to the board regarding ESG matters relevant to the Company’s business, including Company policies, opportunities, reporting and activities;</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develop and periodically review succession plans for the directors;</w:t>
      </w:r>
    </w:p>
    <w:p>
      <w:pPr>
        <w:spacing w:after="0" w:line="68" w:lineRule="exact"/>
        <w:rPr>
          <w:rFonts w:ascii="Arial" w:cs="Arial" w:eastAsia="Arial" w:hAnsi="Arial"/>
          <w:sz w:val="15"/>
          <w:szCs w:val="15"/>
          <w:color w:val="auto"/>
        </w:rPr>
      </w:pPr>
    </w:p>
    <w:p>
      <w:pPr>
        <w:ind w:left="140" w:hanging="137"/>
        <w:spacing w:after="0"/>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periodically review the corporate governance guidelines and recommend any changes as deemed appropriate;</w:t>
      </w:r>
    </w:p>
    <w:p>
      <w:pPr>
        <w:spacing w:after="0" w:line="68" w:lineRule="exact"/>
        <w:rPr>
          <w:rFonts w:ascii="Arial" w:cs="Arial" w:eastAsia="Arial" w:hAnsi="Arial"/>
          <w:sz w:val="15"/>
          <w:szCs w:val="15"/>
          <w:color w:val="auto"/>
        </w:rPr>
      </w:pPr>
    </w:p>
    <w:p>
      <w:pPr>
        <w:ind w:left="180" w:right="14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 and recommend categorical standards for determining non-management director independence consistent with the rules of the New York Stock Exchange and other requirements;</w:t>
      </w:r>
    </w:p>
    <w:p>
      <w:pPr>
        <w:spacing w:after="0" w:line="60" w:lineRule="exact"/>
        <w:rPr>
          <w:rFonts w:ascii="Arial" w:cs="Arial" w:eastAsia="Arial" w:hAnsi="Arial"/>
          <w:sz w:val="15"/>
          <w:szCs w:val="15"/>
          <w:color w:val="auto"/>
        </w:rPr>
      </w:pPr>
    </w:p>
    <w:p>
      <w:pPr>
        <w:ind w:left="180" w:right="60" w:hanging="177"/>
        <w:spacing w:after="0" w:line="237" w:lineRule="auto"/>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consider and recommend to the Board the action to be taken with respect to any resignation tendered by a director with respect to a change in professional responsibilities or personal circumstances; and</w:t>
      </w:r>
    </w:p>
    <w:p>
      <w:pPr>
        <w:spacing w:after="0" w:line="60" w:lineRule="exact"/>
        <w:rPr>
          <w:rFonts w:ascii="Arial" w:cs="Arial" w:eastAsia="Arial" w:hAnsi="Arial"/>
          <w:sz w:val="15"/>
          <w:szCs w:val="15"/>
          <w:color w:val="auto"/>
        </w:rPr>
      </w:pPr>
    </w:p>
    <w:p>
      <w:pPr>
        <w:ind w:left="140" w:hanging="137"/>
        <w:spacing w:after="0"/>
        <w:tabs>
          <w:tab w:leader="none" w:pos="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approve the retention, compensation and termination of any outside independent advisors to the committee.</w:t>
      </w:r>
    </w:p>
    <w:p>
      <w:pPr>
        <w:spacing w:after="0" w:line="200" w:lineRule="exact"/>
        <w:rPr>
          <w:sz w:val="20"/>
          <w:szCs w:val="20"/>
          <w:color w:val="auto"/>
        </w:rPr>
      </w:pPr>
    </w:p>
    <w:p>
      <w:pPr>
        <w:sectPr>
          <w:pgSz w:w="11900" w:h="16838" w:orient="portrait"/>
          <w:cols w:equalWidth="0" w:num="2">
            <w:col w:w="2520" w:space="440"/>
            <w:col w:w="7880"/>
          </w:cols>
          <w:pgMar w:left="480" w:top="1138"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hanging="433"/>
        <w:spacing w:after="0"/>
        <w:tabs>
          <w:tab w:leader="none" w:pos="4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Van Handel’s appointment to the governance and sustainability committee became effective March 1, 2022.</w:t>
      </w:r>
    </w:p>
    <w:p>
      <w:pPr>
        <w:spacing w:after="0" w:line="72" w:lineRule="exact"/>
        <w:rPr>
          <w:sz w:val="20"/>
          <w:szCs w:val="20"/>
          <w:color w:val="auto"/>
        </w:rPr>
      </w:pPr>
    </w:p>
    <w:p>
      <w:pPr>
        <w:ind w:right="620"/>
        <w:spacing w:after="0" w:line="237" w:lineRule="auto"/>
        <w:rPr>
          <w:sz w:val="20"/>
          <w:szCs w:val="20"/>
          <w:color w:val="auto"/>
        </w:rPr>
      </w:pPr>
      <w:r>
        <w:rPr>
          <w:rFonts w:ascii="Arial" w:cs="Arial" w:eastAsia="Arial" w:hAnsi="Arial"/>
          <w:sz w:val="15"/>
          <w:szCs w:val="15"/>
          <w:color w:val="auto"/>
        </w:rPr>
        <w:t>The governance and sustainability committee has from time to time engaged director search firms to assist it in identifying and evaluating potential board candidates. The governance and sustainability committee did not take any action by written consent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20</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40"/>
          </w:cols>
          <w:pgMar w:left="480" w:top="1138" w:right="5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657860</wp:posOffset>
            </wp:positionV>
            <wp:extent cx="6929755" cy="336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64045" cy="3905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6964045" cy="390525"/>
                    </a:xfrm>
                    <a:prstGeom prst="rect">
                      <a:avLst/>
                    </a:prstGeom>
                    <a:noFill/>
                  </pic:spPr>
                </pic:pic>
              </a:graphicData>
            </a:graphic>
          </wp:anchor>
        </w:drawing>
        <w:t>Board Effectiveness and Evaluation</w:t>
      </w:r>
    </w:p>
    <w:p>
      <w:pPr>
        <w:spacing w:after="0" w:line="371"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Our board of directors is committed to performing effectively for the benefit of the Company and its shareholders at both the board and committee level. Each year, the governance and sustainability committee oversees the board and committee evaluation process and determines the format and framework for the process.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Annual Evaluation Process with an Independent Consultant</w:t>
      </w:r>
    </w:p>
    <w:p>
      <w:pPr>
        <w:spacing w:after="0" w:line="139" w:lineRule="exact"/>
        <w:rPr>
          <w:sz w:val="20"/>
          <w:szCs w:val="20"/>
          <w:color w:val="auto"/>
        </w:rPr>
      </w:pPr>
    </w:p>
    <w:p>
      <w:pPr>
        <w:jc w:val="both"/>
        <w:ind w:right="240"/>
        <w:spacing w:after="0" w:line="232" w:lineRule="auto"/>
        <w:rPr>
          <w:sz w:val="20"/>
          <w:szCs w:val="20"/>
          <w:color w:val="auto"/>
        </w:rPr>
      </w:pPr>
      <w:r>
        <w:rPr>
          <w:rFonts w:ascii="Arial" w:cs="Arial" w:eastAsia="Arial" w:hAnsi="Arial"/>
          <w:sz w:val="15"/>
          <w:szCs w:val="15"/>
          <w:color w:val="auto"/>
        </w:rPr>
        <w:t>Since 2018, the governance and sustainability committee has engaged a third-party consultant, experienced in corporate governance matters, to assist with the board and committee evaluation process. The purpose of the annual evaluation process is to ensure that the board continues to operate at a high level, with an opportunity for self-reflection and improvement.</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Each year, directors are interviewed by the independent third party, and give specific feedback addressing various topics of focus that are determined in advance. Among other items, topics have included board effectiveness, corporate strategy, individual contributions, committee functioning, as well as suggestions to enhance the efficiency and productivity of the board in general. Since 2020, individual director effectiveness has also been included. Directors respond to questions designed to elicit this information, and the independent third party synthesizes the results and comments received during such interviews. These findings are then presented by the independent third party and the chair of the governance and sustainability committee to the full governance and sustainability committee and to the board, followed by a review and discussion by the full board. The chair of the governance and sustainability committee also provides any committee findings to each committee chair, which are used to facilitate discussion during of the committee assessments that also occur annually. The board believes this facilitated process provides additional insight and perspective that it can utilize to further enhance effectiveness, including in areas such as board and committee composition, information flow between management and the board, development of materials for board discussion, focus on corporate strategy and director 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69297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21</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23" w:right="499" w:bottom="1440" w:gutter="0" w:footer="0" w:header="0"/>
        </w:sectPr>
      </w:pPr>
    </w:p>
    <w:bookmarkStart w:id="33" w:name="page34"/>
    <w:bookmarkEnd w:id="33"/>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Table of Contents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gridSpan w:val="30"/>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Background</w:t>
              </w:r>
            </w:hyperlink>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440" w:type="dxa"/>
            <w:vAlign w:val="bottom"/>
            <w:tcBorders>
              <w:bottom w:val="single" w:sz="8" w:color="0000EE"/>
            </w:tcBorders>
            <w:gridSpan w:val="6"/>
          </w:tcPr>
          <w:p>
            <w:pPr>
              <w:spacing w:after="0" w:line="154" w:lineRule="exact"/>
              <w:rPr>
                <w:rFonts w:ascii="Arial" w:cs="Arial" w:eastAsia="Arial" w:hAnsi="Arial"/>
                <w:sz w:val="16"/>
                <w:szCs w:val="16"/>
                <w:color w:val="0000EE"/>
                <w:w w:val="99"/>
              </w:rPr>
            </w:pPr>
            <w:hyperlink w:anchor="page36">
              <w:r>
                <w:rPr>
                  <w:rFonts w:ascii="Arial" w:cs="Arial" w:eastAsia="Arial" w:hAnsi="Arial"/>
                  <w:sz w:val="16"/>
                  <w:szCs w:val="16"/>
                  <w:color w:val="0000EE"/>
                  <w:w w:val="99"/>
                </w:rPr>
                <w:t>Executive Summary</w:t>
              </w:r>
            </w:hyperlink>
          </w:p>
        </w:tc>
        <w:tc>
          <w:tcPr>
            <w:tcW w:w="4160" w:type="dxa"/>
            <w:vAlign w:val="bottom"/>
            <w:gridSpan w:val="24"/>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760" w:type="dxa"/>
            <w:vAlign w:val="bottom"/>
            <w:tcBorders>
              <w:bottom w:val="single" w:sz="8" w:color="0000EE"/>
            </w:tcBorders>
            <w:gridSpan w:val="27"/>
          </w:tcPr>
          <w:p>
            <w:pPr>
              <w:spacing w:after="0"/>
              <w:rPr>
                <w:rFonts w:ascii="Arial" w:cs="Arial" w:eastAsia="Arial" w:hAnsi="Arial"/>
                <w:sz w:val="16"/>
                <w:szCs w:val="16"/>
                <w:color w:val="0000EE"/>
                <w:w w:val="99"/>
              </w:rPr>
            </w:pPr>
            <w:hyperlink w:anchor="page36">
              <w:r>
                <w:rPr>
                  <w:rFonts w:ascii="Arial" w:cs="Arial" w:eastAsia="Arial" w:hAnsi="Arial"/>
                  <w:sz w:val="16"/>
                  <w:szCs w:val="16"/>
                  <w:color w:val="0000EE"/>
                  <w:w w:val="99"/>
                </w:rPr>
                <w:t>2021 Results Reflected Business Recovery and Strategic Progress</w:t>
              </w:r>
            </w:hyperlink>
          </w:p>
        </w:tc>
        <w:tc>
          <w:tcPr>
            <w:tcW w:w="62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24</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080" w:type="dxa"/>
            <w:vAlign w:val="bottom"/>
            <w:tcBorders>
              <w:bottom w:val="single" w:sz="8" w:color="0000EE"/>
            </w:tcBorders>
            <w:gridSpan w:val="14"/>
          </w:tcPr>
          <w:p>
            <w:pPr>
              <w:spacing w:after="0"/>
              <w:rPr>
                <w:rFonts w:ascii="Arial" w:cs="Arial" w:eastAsia="Arial" w:hAnsi="Arial"/>
                <w:sz w:val="16"/>
                <w:szCs w:val="16"/>
                <w:color w:val="0000EE"/>
                <w:w w:val="99"/>
              </w:rPr>
            </w:pPr>
            <w:hyperlink w:anchor="page36">
              <w:r>
                <w:rPr>
                  <w:rFonts w:ascii="Arial" w:cs="Arial" w:eastAsia="Arial" w:hAnsi="Arial"/>
                  <w:sz w:val="16"/>
                  <w:szCs w:val="16"/>
                  <w:color w:val="0000EE"/>
                  <w:w w:val="99"/>
                </w:rPr>
                <w:t>2021 Key Committee Actions</w:t>
              </w:r>
            </w:hyperlink>
          </w:p>
        </w:tc>
        <w:tc>
          <w:tcPr>
            <w:tcW w:w="3300" w:type="dxa"/>
            <w:vAlign w:val="bottom"/>
            <w:gridSpan w:val="15"/>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24</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29"/>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Calculation of Financial Metrics</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27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27</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4180" w:type="dxa"/>
            <w:vAlign w:val="bottom"/>
            <w:tcBorders>
              <w:bottom w:val="single" w:sz="8" w:color="0000EE"/>
            </w:tcBorders>
            <w:gridSpan w:val="25"/>
          </w:tcPr>
          <w:p>
            <w:pPr>
              <w:spacing w:after="0"/>
              <w:rPr>
                <w:rFonts w:ascii="Arial" w:cs="Arial" w:eastAsia="Arial" w:hAnsi="Arial"/>
                <w:sz w:val="16"/>
                <w:szCs w:val="16"/>
                <w:color w:val="0000EE"/>
                <w:w w:val="99"/>
              </w:rPr>
            </w:pPr>
            <w:hyperlink w:anchor="page39">
              <w:r>
                <w:rPr>
                  <w:rFonts w:ascii="Arial" w:cs="Arial" w:eastAsia="Arial" w:hAnsi="Arial"/>
                  <w:sz w:val="16"/>
                  <w:szCs w:val="16"/>
                  <w:color w:val="0000EE"/>
                  <w:w w:val="99"/>
                </w:rPr>
                <w:t>CEO Compensation was Driven by Company Performance</w:t>
              </w:r>
            </w:hyperlink>
          </w:p>
        </w:tc>
        <w:tc>
          <w:tcPr>
            <w:tcW w:w="1200" w:type="dxa"/>
            <w:vAlign w:val="bottom"/>
            <w:gridSpan w:val="4"/>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29"/>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Key Compensation and Governance Policies</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29</w:t>
            </w: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0"/>
          </w:tcPr>
          <w:p>
            <w:pPr>
              <w:spacing w:after="0" w:line="154" w:lineRule="exact"/>
              <w:rPr>
                <w:rFonts w:ascii="Arial" w:cs="Arial" w:eastAsia="Arial" w:hAnsi="Arial"/>
                <w:sz w:val="16"/>
                <w:szCs w:val="16"/>
                <w:color w:val="0000EE"/>
              </w:rPr>
            </w:pPr>
            <w:hyperlink w:anchor="page42">
              <w:r>
                <w:rPr>
                  <w:rFonts w:ascii="Arial" w:cs="Arial" w:eastAsia="Arial" w:hAnsi="Arial"/>
                  <w:sz w:val="16"/>
                  <w:szCs w:val="16"/>
                  <w:color w:val="0000EE"/>
                </w:rPr>
                <w:t>ManpowerGroup Compensation Principles</w:t>
              </w:r>
            </w:hyperlink>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0"/>
          </w:tcPr>
          <w:p>
            <w:pPr>
              <w:spacing w:after="0" w:line="154" w:lineRule="exact"/>
              <w:rPr>
                <w:rFonts w:ascii="Arial" w:cs="Arial" w:eastAsia="Arial" w:hAnsi="Arial"/>
                <w:sz w:val="16"/>
                <w:szCs w:val="16"/>
                <w:color w:val="0000EE"/>
              </w:rPr>
            </w:pPr>
            <w:hyperlink w:anchor="page43">
              <w:r>
                <w:rPr>
                  <w:rFonts w:ascii="Arial" w:cs="Arial" w:eastAsia="Arial" w:hAnsi="Arial"/>
                  <w:sz w:val="16"/>
                  <w:szCs w:val="16"/>
                  <w:color w:val="0000EE"/>
                </w:rPr>
                <w:t>Say on Pay Vote</w:t>
              </w:r>
            </w:hyperlink>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0"/>
          </w:tcPr>
          <w:p>
            <w:pPr>
              <w:spacing w:after="0" w:line="154" w:lineRule="exact"/>
              <w:rPr>
                <w:rFonts w:ascii="Arial" w:cs="Arial" w:eastAsia="Arial" w:hAnsi="Arial"/>
                <w:sz w:val="16"/>
                <w:szCs w:val="16"/>
                <w:color w:val="0000EE"/>
              </w:rPr>
            </w:pPr>
            <w:hyperlink w:anchor="page43">
              <w:r>
                <w:rPr>
                  <w:rFonts w:ascii="Arial" w:cs="Arial" w:eastAsia="Arial" w:hAnsi="Arial"/>
                  <w:sz w:val="16"/>
                  <w:szCs w:val="16"/>
                  <w:color w:val="0000EE"/>
                </w:rPr>
                <w:t>Shareholder Engagement</w:t>
              </w:r>
            </w:hyperlink>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0"/>
          </w:tcPr>
          <w:p>
            <w:pPr>
              <w:spacing w:after="0" w:line="154" w:lineRule="exact"/>
              <w:rPr>
                <w:rFonts w:ascii="Arial" w:cs="Arial" w:eastAsia="Arial" w:hAnsi="Arial"/>
                <w:sz w:val="16"/>
                <w:szCs w:val="16"/>
                <w:color w:val="0000EE"/>
              </w:rPr>
            </w:pPr>
            <w:hyperlink w:anchor="page44">
              <w:r>
                <w:rPr>
                  <w:rFonts w:ascii="Arial" w:cs="Arial" w:eastAsia="Arial" w:hAnsi="Arial"/>
                  <w:sz w:val="16"/>
                  <w:szCs w:val="16"/>
                  <w:color w:val="0000EE"/>
                </w:rPr>
                <w:t>Compensation Elements</w:t>
              </w:r>
            </w:hyperlink>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0"/>
          </w:tcPr>
          <w:p>
            <w:pPr>
              <w:spacing w:after="0" w:line="154" w:lineRule="exact"/>
              <w:rPr>
                <w:rFonts w:ascii="Arial" w:cs="Arial" w:eastAsia="Arial" w:hAnsi="Arial"/>
                <w:sz w:val="16"/>
                <w:szCs w:val="16"/>
                <w:color w:val="0000EE"/>
              </w:rPr>
            </w:pPr>
            <w:hyperlink w:anchor="page47">
              <w:r>
                <w:rPr>
                  <w:rFonts w:ascii="Arial" w:cs="Arial" w:eastAsia="Arial" w:hAnsi="Arial"/>
                  <w:sz w:val="16"/>
                  <w:szCs w:val="16"/>
                  <w:color w:val="0000EE"/>
                </w:rPr>
                <w:t>Target Total Compensation</w:t>
              </w:r>
            </w:hyperlink>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tcBorders>
              <w:bottom w:val="single" w:sz="8" w:color="0000EE"/>
            </w:tcBorders>
            <w:gridSpan w:val="30"/>
          </w:tcPr>
          <w:p>
            <w:pPr>
              <w:spacing w:after="0" w:line="154" w:lineRule="exact"/>
              <w:rPr>
                <w:rFonts w:ascii="Arial" w:cs="Arial" w:eastAsia="Arial" w:hAnsi="Arial"/>
                <w:sz w:val="16"/>
                <w:szCs w:val="16"/>
                <w:color w:val="0000EE"/>
                <w:w w:val="99"/>
              </w:rPr>
            </w:pPr>
            <w:hyperlink w:anchor="page48">
              <w:r>
                <w:rPr>
                  <w:rFonts w:ascii="Arial" w:cs="Arial" w:eastAsia="Arial" w:hAnsi="Arial"/>
                  <w:sz w:val="16"/>
                  <w:szCs w:val="16"/>
                  <w:color w:val="0000EE"/>
                  <w:w w:val="99"/>
                </w:rPr>
                <w:t>Market Positioning: 2021 Target Compensation in the Competitive Marketplace</w:t>
              </w:r>
            </w:hyperlink>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8960" w:type="dxa"/>
            <w:vAlign w:val="bottom"/>
            <w:gridSpan w:val="34"/>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How We Determine the Competitive Market: Challenges in Identifying a Relevant Peer Group</w:t>
              </w:r>
            </w:hyperlink>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9"/>
              </w:rPr>
            </w:pPr>
            <w:hyperlink w:anchor="page48">
              <w:r>
                <w:rPr>
                  <w:rFonts w:ascii="Arial" w:cs="Arial" w:eastAsia="Arial" w:hAnsi="Arial"/>
                  <w:sz w:val="16"/>
                  <w:szCs w:val="16"/>
                  <w:color w:val="0000EE"/>
                  <w:w w:val="99"/>
                </w:rPr>
                <w:t>The 2021 Peer Group</w:t>
              </w:r>
            </w:hyperlink>
          </w:p>
        </w:tc>
        <w:tc>
          <w:tcPr>
            <w:tcW w:w="3820" w:type="dxa"/>
            <w:vAlign w:val="bottom"/>
            <w:tcBorders>
              <w:top w:val="single" w:sz="8" w:color="0000EE"/>
            </w:tcBorders>
            <w:gridSpan w:val="21"/>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600" w:type="dxa"/>
            <w:vAlign w:val="bottom"/>
            <w:tcBorders>
              <w:bottom w:val="single" w:sz="8" w:color="0000EE"/>
            </w:tcBorders>
            <w:gridSpan w:val="17"/>
          </w:tcPr>
          <w:p>
            <w:pPr>
              <w:spacing w:after="0"/>
              <w:rPr>
                <w:rFonts w:ascii="Arial" w:cs="Arial" w:eastAsia="Arial" w:hAnsi="Arial"/>
                <w:sz w:val="16"/>
                <w:szCs w:val="16"/>
                <w:color w:val="0000EE"/>
                <w:w w:val="99"/>
              </w:rPr>
            </w:pPr>
            <w:hyperlink w:anchor="page48">
              <w:r>
                <w:rPr>
                  <w:rFonts w:ascii="Arial" w:cs="Arial" w:eastAsia="Arial" w:hAnsi="Arial"/>
                  <w:sz w:val="16"/>
                  <w:szCs w:val="16"/>
                  <w:color w:val="0000EE"/>
                  <w:w w:val="99"/>
                </w:rPr>
                <w:t>Changes to the Peer Group for 2022</w:t>
              </w:r>
            </w:hyperlink>
          </w:p>
        </w:tc>
        <w:tc>
          <w:tcPr>
            <w:tcW w:w="2780" w:type="dxa"/>
            <w:vAlign w:val="bottom"/>
            <w:gridSpan w:val="12"/>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29"/>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Additional Data Sources</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37</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29"/>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Assessing Individual Factors</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0"/>
          </w:tcPr>
          <w:p>
            <w:pPr>
              <w:spacing w:after="0" w:line="154" w:lineRule="exact"/>
              <w:rPr>
                <w:rFonts w:ascii="Arial" w:cs="Arial" w:eastAsia="Arial" w:hAnsi="Arial"/>
                <w:sz w:val="16"/>
                <w:szCs w:val="16"/>
                <w:color w:val="0000EE"/>
              </w:rPr>
            </w:pPr>
            <w:hyperlink w:anchor="page49">
              <w:r>
                <w:rPr>
                  <w:rFonts w:ascii="Arial" w:cs="Arial" w:eastAsia="Arial" w:hAnsi="Arial"/>
                  <w:sz w:val="16"/>
                  <w:szCs w:val="16"/>
                  <w:color w:val="0000EE"/>
                </w:rPr>
                <w:t>The Committee’s Decision-Making Process</w:t>
              </w:r>
            </w:hyperlink>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0"/>
          </w:tcPr>
          <w:p>
            <w:pPr>
              <w:spacing w:after="0" w:line="154" w:lineRule="exact"/>
              <w:rPr>
                <w:rFonts w:ascii="Arial" w:cs="Arial" w:eastAsia="Arial" w:hAnsi="Arial"/>
                <w:sz w:val="16"/>
                <w:szCs w:val="16"/>
                <w:color w:val="0000EE"/>
              </w:rPr>
            </w:pPr>
            <w:hyperlink w:anchor="page49">
              <w:r>
                <w:rPr>
                  <w:rFonts w:ascii="Arial" w:cs="Arial" w:eastAsia="Arial" w:hAnsi="Arial"/>
                  <w:sz w:val="16"/>
                  <w:szCs w:val="16"/>
                  <w:color w:val="0000EE"/>
                </w:rPr>
                <w:t>Components of the 2021 Executive Compensation Program — Base Salary</w:t>
              </w:r>
            </w:hyperlink>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00" w:type="dxa"/>
            <w:vAlign w:val="bottom"/>
            <w:tcBorders>
              <w:top w:val="single" w:sz="8" w:color="0000EE"/>
              <w:bottom w:val="single" w:sz="8" w:color="5D89B4"/>
            </w:tcBorders>
          </w:tcPr>
          <w:p>
            <w:pPr>
              <w:spacing w:after="0"/>
              <w:rPr>
                <w:sz w:val="16"/>
                <w:szCs w:val="16"/>
                <w:color w:val="auto"/>
              </w:rPr>
            </w:pPr>
          </w:p>
        </w:tc>
        <w:tc>
          <w:tcPr>
            <w:tcW w:w="38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380" w:type="dxa"/>
            <w:vAlign w:val="bottom"/>
            <w:tcBorders>
              <w:top w:val="single" w:sz="8" w:color="0000EE"/>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9180" w:type="dxa"/>
            <w:vAlign w:val="bottom"/>
            <w:gridSpan w:val="35"/>
          </w:tcPr>
          <w:p>
            <w:pPr>
              <w:spacing w:after="0" w:line="154" w:lineRule="exact"/>
              <w:rPr>
                <w:rFonts w:ascii="Arial" w:cs="Arial" w:eastAsia="Arial" w:hAnsi="Arial"/>
                <w:sz w:val="16"/>
                <w:szCs w:val="16"/>
                <w:color w:val="0000EE"/>
              </w:rPr>
            </w:pPr>
            <w:hyperlink w:anchor="page49">
              <w:r>
                <w:rPr>
                  <w:rFonts w:ascii="Arial" w:cs="Arial" w:eastAsia="Arial" w:hAnsi="Arial"/>
                  <w:sz w:val="16"/>
                  <w:szCs w:val="16"/>
                  <w:color w:val="0000EE"/>
                </w:rPr>
                <w:t>Components of the 2021 Executive Compensation Program — Annual Cash Incentives</w:t>
              </w:r>
            </w:hyperlink>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3260" w:type="dxa"/>
            <w:vAlign w:val="bottom"/>
            <w:tcBorders>
              <w:top w:val="single" w:sz="8" w:color="0000EE"/>
              <w:bottom w:val="single" w:sz="8" w:color="0000EE"/>
            </w:tcBorders>
            <w:gridSpan w:val="23"/>
          </w:tcPr>
          <w:p>
            <w:pPr>
              <w:spacing w:after="0"/>
              <w:rPr>
                <w:rFonts w:ascii="Arial" w:cs="Arial" w:eastAsia="Arial" w:hAnsi="Arial"/>
                <w:sz w:val="16"/>
                <w:szCs w:val="16"/>
                <w:color w:val="0000EE"/>
                <w:w w:val="99"/>
              </w:rPr>
            </w:pPr>
            <w:hyperlink w:anchor="page49">
              <w:r>
                <w:rPr>
                  <w:rFonts w:ascii="Arial" w:cs="Arial" w:eastAsia="Arial" w:hAnsi="Arial"/>
                  <w:sz w:val="16"/>
                  <w:szCs w:val="16"/>
                  <w:color w:val="0000EE"/>
                  <w:w w:val="99"/>
                </w:rPr>
                <w:t>How EPS, ROIC and Revenue are Calculated</w:t>
              </w:r>
            </w:hyperlink>
          </w:p>
        </w:tc>
        <w:tc>
          <w:tcPr>
            <w:tcW w:w="2120" w:type="dxa"/>
            <w:vAlign w:val="bottom"/>
            <w:tcBorders>
              <w:top w:val="single" w:sz="8" w:color="0000EE"/>
            </w:tcBorders>
            <w:gridSpan w:val="6"/>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37</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29"/>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Why the Company Uses EPS, ROIC and Revenue</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39</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3000" w:type="dxa"/>
            <w:vAlign w:val="bottom"/>
            <w:tcBorders>
              <w:top w:val="single" w:sz="8" w:color="0000EE"/>
              <w:bottom w:val="single" w:sz="8" w:color="0000EE"/>
            </w:tcBorders>
            <w:gridSpan w:val="21"/>
          </w:tcPr>
          <w:p>
            <w:pPr>
              <w:spacing w:after="0"/>
              <w:rPr>
                <w:rFonts w:ascii="Arial" w:cs="Arial" w:eastAsia="Arial" w:hAnsi="Arial"/>
                <w:sz w:val="16"/>
                <w:szCs w:val="16"/>
                <w:color w:val="0000EE"/>
                <w:w w:val="99"/>
              </w:rPr>
            </w:pPr>
            <w:hyperlink w:anchor="page51">
              <w:r>
                <w:rPr>
                  <w:rFonts w:ascii="Arial" w:cs="Arial" w:eastAsia="Arial" w:hAnsi="Arial"/>
                  <w:sz w:val="16"/>
                  <w:szCs w:val="16"/>
                  <w:color w:val="0000EE"/>
                  <w:w w:val="99"/>
                </w:rPr>
                <w:t>The 2021 EPS, ROIC and Revenue Goals</w:t>
              </w:r>
            </w:hyperlink>
          </w:p>
        </w:tc>
        <w:tc>
          <w:tcPr>
            <w:tcW w:w="580" w:type="dxa"/>
            <w:vAlign w:val="bottom"/>
            <w:tcBorders>
              <w:top w:val="single" w:sz="8" w:color="0000EE"/>
            </w:tcBorders>
            <w:gridSpan w:val="3"/>
          </w:tcPr>
          <w:p>
            <w:pPr>
              <w:spacing w:after="0"/>
              <w:rPr>
                <w:sz w:val="19"/>
                <w:szCs w:val="19"/>
                <w:color w:val="auto"/>
              </w:rPr>
            </w:pPr>
          </w:p>
        </w:tc>
        <w:tc>
          <w:tcPr>
            <w:tcW w:w="1800" w:type="dxa"/>
            <w:vAlign w:val="bottom"/>
            <w:gridSpan w:val="5"/>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39</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29"/>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Annual Incentive Award Opportunities</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40</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29"/>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2021 Operating Objectives and Annual Incentive Award Payouts</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7"/>
              </w:rPr>
            </w:pPr>
            <w:hyperlink w:anchor="page52">
              <w:r>
                <w:rPr>
                  <w:rFonts w:ascii="Arial" w:cs="Arial" w:eastAsia="Arial" w:hAnsi="Arial"/>
                  <w:sz w:val="16"/>
                  <w:szCs w:val="16"/>
                  <w:color w:val="0000EE"/>
                  <w:w w:val="97"/>
                </w:rPr>
                <w:t>Jonas Prising</w:t>
              </w:r>
            </w:hyperlink>
          </w:p>
        </w:tc>
        <w:tc>
          <w:tcPr>
            <w:tcW w:w="3380" w:type="dxa"/>
            <w:vAlign w:val="bottom"/>
            <w:tcBorders>
              <w:top w:val="single" w:sz="8" w:color="0000EE"/>
            </w:tcBorders>
            <w:gridSpan w:val="22"/>
          </w:tcPr>
          <w:p>
            <w:pPr>
              <w:spacing w:after="0"/>
              <w:rPr>
                <w:sz w:val="19"/>
                <w:szCs w:val="19"/>
                <w:color w:val="auto"/>
              </w:rPr>
            </w:pPr>
          </w:p>
        </w:tc>
        <w:tc>
          <w:tcPr>
            <w:tcW w:w="82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40</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28"/>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John T. McGinnis</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960" w:type="dxa"/>
            <w:vAlign w:val="bottom"/>
            <w:gridSpan w:val="1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41</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28"/>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Michelle S. Nettles</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8"/>
              </w:rPr>
            </w:pPr>
            <w:hyperlink w:anchor="page53">
              <w:r>
                <w:rPr>
                  <w:rFonts w:ascii="Arial" w:cs="Arial" w:eastAsia="Arial" w:hAnsi="Arial"/>
                  <w:sz w:val="16"/>
                  <w:szCs w:val="16"/>
                  <w:color w:val="0000EE"/>
                  <w:w w:val="98"/>
                </w:rPr>
                <w:t>Richard Buchband</w:t>
              </w:r>
            </w:hyperlink>
          </w:p>
        </w:tc>
        <w:tc>
          <w:tcPr>
            <w:tcW w:w="3840" w:type="dxa"/>
            <w:vAlign w:val="bottom"/>
            <w:gridSpan w:val="22"/>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41</w:t>
            </w: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9180" w:type="dxa"/>
            <w:vAlign w:val="bottom"/>
            <w:gridSpan w:val="35"/>
          </w:tcPr>
          <w:p>
            <w:pPr>
              <w:spacing w:after="0" w:line="154" w:lineRule="exact"/>
              <w:rPr>
                <w:rFonts w:ascii="Arial" w:cs="Arial" w:eastAsia="Arial" w:hAnsi="Arial"/>
                <w:sz w:val="16"/>
                <w:szCs w:val="16"/>
                <w:color w:val="0000EE"/>
              </w:rPr>
            </w:pPr>
            <w:hyperlink w:anchor="page54">
              <w:r>
                <w:rPr>
                  <w:rFonts w:ascii="Arial" w:cs="Arial" w:eastAsia="Arial" w:hAnsi="Arial"/>
                  <w:sz w:val="16"/>
                  <w:szCs w:val="16"/>
                  <w:color w:val="0000EE"/>
                </w:rPr>
                <w:t>Components of the 2021 Executive Compensation Program — Long-Term Incentives</w:t>
              </w:r>
            </w:hyperlink>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5380" w:type="dxa"/>
            <w:vAlign w:val="bottom"/>
            <w:tcBorders>
              <w:top w:val="single" w:sz="8" w:color="0000EE"/>
            </w:tcBorders>
            <w:gridSpan w:val="2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Performance Share Units</w:t>
              </w:r>
            </w:hyperlink>
          </w:p>
        </w:tc>
        <w:tc>
          <w:tcPr>
            <w:tcW w:w="4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80" w:type="dxa"/>
            <w:vAlign w:val="bottom"/>
            <w:gridSpan w:val="11"/>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960" w:type="dxa"/>
            <w:vAlign w:val="bottom"/>
            <w:gridSpan w:val="1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42</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28"/>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Regular Grant of PSUs in 2021</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Borders>
              <w:right w:val="single" w:sz="8" w:color="0000EE"/>
            </w:tcBorders>
            <w:gridSpan w:val="15"/>
            <w:shd w:val="clear" w:color="auto" w:fill="0000EE"/>
          </w:tcPr>
          <w:p>
            <w:pPr>
              <w:spacing w:after="0" w:line="20" w:lineRule="exact"/>
              <w:rPr>
                <w:sz w:val="1"/>
                <w:szCs w:val="1"/>
                <w:color w:val="auto"/>
              </w:rPr>
            </w:pPr>
          </w:p>
        </w:tc>
        <w:tc>
          <w:tcPr>
            <w:tcW w:w="3400" w:type="dxa"/>
            <w:vAlign w:val="bottom"/>
            <w:gridSpan w:val="15"/>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43</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40" w:type="dxa"/>
            <w:vAlign w:val="bottom"/>
            <w:gridSpan w:val="33"/>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Why the Company Uses Annual Operating Profit Margin and How it Sets Goals</w:t>
              </w:r>
            </w:hyperlink>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tcBorders>
              <w:top w:val="single" w:sz="8" w:color="0000EE"/>
            </w:tcBorders>
            <w:gridSpan w:val="28"/>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Special Grant of PSUs in 2021</w:t>
              </w:r>
            </w:hyperlink>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44</w:t>
            </w:r>
          </w:p>
        </w:tc>
        <w:tc>
          <w:tcPr>
            <w:tcW w:w="0" w:type="dxa"/>
            <w:vAlign w:val="bottom"/>
          </w:tcPr>
          <w:p>
            <w:pPr>
              <w:spacing w:after="0"/>
              <w:rPr>
                <w:sz w:val="1"/>
                <w:szCs w:val="1"/>
                <w:color w:val="auto"/>
              </w:rPr>
            </w:pPr>
          </w:p>
        </w:tc>
      </w:tr>
      <w:tr>
        <w:trPr>
          <w:trHeight w:val="167"/>
        </w:trPr>
        <w:tc>
          <w:tcPr>
            <w:tcW w:w="220" w:type="dxa"/>
            <w:vAlign w:val="bottom"/>
            <w:tcBorders>
              <w:bottom w:val="single" w:sz="8" w:color="5D89B4"/>
            </w:tcBorders>
          </w:tcPr>
          <w:p>
            <w:pPr>
              <w:spacing w:after="0"/>
              <w:rPr>
                <w:sz w:val="14"/>
                <w:szCs w:val="14"/>
                <w:color w:val="auto"/>
              </w:rPr>
            </w:pPr>
          </w:p>
        </w:tc>
        <w:tc>
          <w:tcPr>
            <w:tcW w:w="220" w:type="dxa"/>
            <w:vAlign w:val="bottom"/>
            <w:tcBorders>
              <w:bottom w:val="single" w:sz="8" w:color="5D89B4"/>
            </w:tcBorders>
          </w:tcPr>
          <w:p>
            <w:pPr>
              <w:spacing w:after="0"/>
              <w:rPr>
                <w:sz w:val="14"/>
                <w:szCs w:val="14"/>
                <w:color w:val="auto"/>
              </w:rPr>
            </w:pPr>
          </w:p>
        </w:tc>
        <w:tc>
          <w:tcPr>
            <w:tcW w:w="420" w:type="dxa"/>
            <w:vAlign w:val="bottom"/>
            <w:tcBorders>
              <w:top w:val="single" w:sz="8" w:color="0000EE"/>
              <w:bottom w:val="single" w:sz="8" w:color="5D89B4"/>
            </w:tcBorders>
          </w:tcPr>
          <w:p>
            <w:pPr>
              <w:spacing w:after="0"/>
              <w:rPr>
                <w:sz w:val="14"/>
                <w:szCs w:val="14"/>
                <w:color w:val="auto"/>
              </w:rPr>
            </w:pPr>
          </w:p>
        </w:tc>
        <w:tc>
          <w:tcPr>
            <w:tcW w:w="340" w:type="dxa"/>
            <w:vAlign w:val="bottom"/>
            <w:tcBorders>
              <w:top w:val="single" w:sz="8" w:color="0000EE"/>
              <w:bottom w:val="single" w:sz="8" w:color="5D89B4"/>
            </w:tcBorders>
          </w:tcPr>
          <w:p>
            <w:pPr>
              <w:spacing w:after="0"/>
              <w:rPr>
                <w:sz w:val="14"/>
                <w:szCs w:val="14"/>
                <w:color w:val="auto"/>
              </w:rPr>
            </w:pPr>
          </w:p>
        </w:tc>
        <w:tc>
          <w:tcPr>
            <w:tcW w:w="200" w:type="dxa"/>
            <w:vAlign w:val="bottom"/>
            <w:tcBorders>
              <w:top w:val="single" w:sz="8" w:color="0000EE"/>
              <w:bottom w:val="single" w:sz="8" w:color="5D89B4"/>
            </w:tcBorders>
          </w:tcPr>
          <w:p>
            <w:pPr>
              <w:spacing w:after="0"/>
              <w:rPr>
                <w:sz w:val="14"/>
                <w:szCs w:val="14"/>
                <w:color w:val="auto"/>
              </w:rPr>
            </w:pPr>
          </w:p>
        </w:tc>
        <w:tc>
          <w:tcPr>
            <w:tcW w:w="40" w:type="dxa"/>
            <w:vAlign w:val="bottom"/>
            <w:tcBorders>
              <w:top w:val="single" w:sz="8" w:color="0000EE"/>
              <w:bottom w:val="single" w:sz="8" w:color="5D89B4"/>
            </w:tcBorders>
          </w:tcPr>
          <w:p>
            <w:pPr>
              <w:spacing w:after="0"/>
              <w:rPr>
                <w:sz w:val="14"/>
                <w:szCs w:val="14"/>
                <w:color w:val="auto"/>
              </w:rPr>
            </w:pPr>
          </w:p>
        </w:tc>
        <w:tc>
          <w:tcPr>
            <w:tcW w:w="220" w:type="dxa"/>
            <w:vAlign w:val="bottom"/>
            <w:tcBorders>
              <w:top w:val="single" w:sz="8" w:color="0000EE"/>
              <w:bottom w:val="single" w:sz="8" w:color="5D89B4"/>
            </w:tcBorders>
          </w:tcPr>
          <w:p>
            <w:pPr>
              <w:spacing w:after="0"/>
              <w:rPr>
                <w:sz w:val="14"/>
                <w:szCs w:val="14"/>
                <w:color w:val="auto"/>
              </w:rPr>
            </w:pPr>
          </w:p>
        </w:tc>
        <w:tc>
          <w:tcPr>
            <w:tcW w:w="100" w:type="dxa"/>
            <w:vAlign w:val="bottom"/>
            <w:tcBorders>
              <w:top w:val="single" w:sz="8" w:color="0000EE"/>
              <w:bottom w:val="single" w:sz="8" w:color="5D89B4"/>
            </w:tcBorders>
          </w:tcPr>
          <w:p>
            <w:pPr>
              <w:spacing w:after="0"/>
              <w:rPr>
                <w:sz w:val="14"/>
                <w:szCs w:val="14"/>
                <w:color w:val="auto"/>
              </w:rPr>
            </w:pPr>
          </w:p>
        </w:tc>
        <w:tc>
          <w:tcPr>
            <w:tcW w:w="20" w:type="dxa"/>
            <w:vAlign w:val="bottom"/>
            <w:tcBorders>
              <w:top w:val="single" w:sz="8" w:color="0000EE"/>
              <w:bottom w:val="single" w:sz="8" w:color="5D89B4"/>
            </w:tcBorders>
          </w:tcPr>
          <w:p>
            <w:pPr>
              <w:spacing w:after="0"/>
              <w:rPr>
                <w:sz w:val="14"/>
                <w:szCs w:val="14"/>
                <w:color w:val="auto"/>
              </w:rPr>
            </w:pPr>
          </w:p>
        </w:tc>
        <w:tc>
          <w:tcPr>
            <w:tcW w:w="60" w:type="dxa"/>
            <w:vAlign w:val="bottom"/>
            <w:tcBorders>
              <w:top w:val="single" w:sz="8" w:color="0000EE"/>
              <w:bottom w:val="single" w:sz="8" w:color="5D89B4"/>
            </w:tcBorders>
          </w:tcPr>
          <w:p>
            <w:pPr>
              <w:spacing w:after="0"/>
              <w:rPr>
                <w:sz w:val="14"/>
                <w:szCs w:val="14"/>
                <w:color w:val="auto"/>
              </w:rPr>
            </w:pPr>
          </w:p>
        </w:tc>
        <w:tc>
          <w:tcPr>
            <w:tcW w:w="80" w:type="dxa"/>
            <w:vAlign w:val="bottom"/>
            <w:tcBorders>
              <w:top w:val="single" w:sz="8" w:color="0000EE"/>
              <w:bottom w:val="single" w:sz="8" w:color="5D89B4"/>
            </w:tcBorders>
          </w:tcPr>
          <w:p>
            <w:pPr>
              <w:spacing w:after="0"/>
              <w:rPr>
                <w:sz w:val="14"/>
                <w:szCs w:val="14"/>
                <w:color w:val="auto"/>
              </w:rPr>
            </w:pPr>
          </w:p>
        </w:tc>
        <w:tc>
          <w:tcPr>
            <w:tcW w:w="20" w:type="dxa"/>
            <w:vAlign w:val="bottom"/>
            <w:tcBorders>
              <w:top w:val="single" w:sz="8" w:color="0000EE"/>
              <w:bottom w:val="single" w:sz="8" w:color="5D89B4"/>
            </w:tcBorders>
          </w:tcPr>
          <w:p>
            <w:pPr>
              <w:spacing w:after="0"/>
              <w:rPr>
                <w:sz w:val="14"/>
                <w:szCs w:val="14"/>
                <w:color w:val="auto"/>
              </w:rPr>
            </w:pPr>
          </w:p>
        </w:tc>
        <w:tc>
          <w:tcPr>
            <w:tcW w:w="80" w:type="dxa"/>
            <w:vAlign w:val="bottom"/>
            <w:tcBorders>
              <w:top w:val="single" w:sz="8" w:color="0000EE"/>
              <w:bottom w:val="single" w:sz="8" w:color="5D89B4"/>
            </w:tcBorders>
          </w:tcPr>
          <w:p>
            <w:pPr>
              <w:spacing w:after="0"/>
              <w:rPr>
                <w:sz w:val="14"/>
                <w:szCs w:val="14"/>
                <w:color w:val="auto"/>
              </w:rPr>
            </w:pPr>
          </w:p>
        </w:tc>
        <w:tc>
          <w:tcPr>
            <w:tcW w:w="240" w:type="dxa"/>
            <w:vAlign w:val="bottom"/>
            <w:tcBorders>
              <w:top w:val="single" w:sz="8" w:color="0000EE"/>
              <w:bottom w:val="single" w:sz="8" w:color="5D89B4"/>
            </w:tcBorders>
          </w:tcPr>
          <w:p>
            <w:pPr>
              <w:spacing w:after="0"/>
              <w:rPr>
                <w:sz w:val="14"/>
                <w:szCs w:val="14"/>
                <w:color w:val="auto"/>
              </w:rPr>
            </w:pPr>
          </w:p>
        </w:tc>
        <w:tc>
          <w:tcPr>
            <w:tcW w:w="40" w:type="dxa"/>
            <w:vAlign w:val="bottom"/>
            <w:tcBorders>
              <w:top w:val="single" w:sz="8" w:color="0000EE"/>
              <w:bottom w:val="single" w:sz="8" w:color="5D89B4"/>
            </w:tcBorders>
          </w:tcPr>
          <w:p>
            <w:pPr>
              <w:spacing w:after="0"/>
              <w:rPr>
                <w:sz w:val="14"/>
                <w:szCs w:val="14"/>
                <w:color w:val="auto"/>
              </w:rPr>
            </w:pPr>
          </w:p>
        </w:tc>
        <w:tc>
          <w:tcPr>
            <w:tcW w:w="140" w:type="dxa"/>
            <w:vAlign w:val="bottom"/>
            <w:tcBorders>
              <w:top w:val="single" w:sz="8" w:color="0000EE"/>
              <w:bottom w:val="single" w:sz="8" w:color="5D89B4"/>
            </w:tcBorders>
          </w:tcPr>
          <w:p>
            <w:pPr>
              <w:spacing w:after="0"/>
              <w:rPr>
                <w:sz w:val="14"/>
                <w:szCs w:val="14"/>
                <w:color w:val="auto"/>
              </w:rPr>
            </w:pPr>
          </w:p>
        </w:tc>
        <w:tc>
          <w:tcPr>
            <w:tcW w:w="200" w:type="dxa"/>
            <w:vAlign w:val="bottom"/>
            <w:tcBorders>
              <w:top w:val="single" w:sz="8" w:color="0000EE"/>
              <w:bottom w:val="single" w:sz="8" w:color="5D89B4"/>
            </w:tcBorders>
          </w:tcPr>
          <w:p>
            <w:pPr>
              <w:spacing w:after="0"/>
              <w:rPr>
                <w:sz w:val="14"/>
                <w:szCs w:val="14"/>
                <w:color w:val="auto"/>
              </w:rPr>
            </w:pPr>
          </w:p>
        </w:tc>
        <w:tc>
          <w:tcPr>
            <w:tcW w:w="180" w:type="dxa"/>
            <w:vAlign w:val="bottom"/>
            <w:tcBorders>
              <w:bottom w:val="single" w:sz="8" w:color="5D89B4"/>
            </w:tcBorders>
          </w:tcPr>
          <w:p>
            <w:pPr>
              <w:spacing w:after="0"/>
              <w:rPr>
                <w:sz w:val="14"/>
                <w:szCs w:val="14"/>
                <w:color w:val="auto"/>
              </w:rPr>
            </w:pPr>
          </w:p>
        </w:tc>
        <w:tc>
          <w:tcPr>
            <w:tcW w:w="80" w:type="dxa"/>
            <w:vAlign w:val="bottom"/>
            <w:tcBorders>
              <w:bottom w:val="single" w:sz="8" w:color="5D89B4"/>
            </w:tcBorders>
          </w:tcPr>
          <w:p>
            <w:pPr>
              <w:spacing w:after="0"/>
              <w:rPr>
                <w:sz w:val="14"/>
                <w:szCs w:val="14"/>
                <w:color w:val="auto"/>
              </w:rPr>
            </w:pPr>
          </w:p>
        </w:tc>
        <w:tc>
          <w:tcPr>
            <w:tcW w:w="120" w:type="dxa"/>
            <w:vAlign w:val="bottom"/>
            <w:tcBorders>
              <w:bottom w:val="single" w:sz="8" w:color="5D89B4"/>
            </w:tcBorders>
          </w:tcPr>
          <w:p>
            <w:pPr>
              <w:spacing w:after="0"/>
              <w:rPr>
                <w:sz w:val="14"/>
                <w:szCs w:val="14"/>
                <w:color w:val="auto"/>
              </w:rPr>
            </w:pPr>
          </w:p>
        </w:tc>
        <w:tc>
          <w:tcPr>
            <w:tcW w:w="60" w:type="dxa"/>
            <w:vAlign w:val="bottom"/>
            <w:tcBorders>
              <w:bottom w:val="single" w:sz="8" w:color="5D89B4"/>
            </w:tcBorders>
          </w:tcPr>
          <w:p>
            <w:pPr>
              <w:spacing w:after="0"/>
              <w:rPr>
                <w:sz w:val="14"/>
                <w:szCs w:val="14"/>
                <w:color w:val="auto"/>
              </w:rPr>
            </w:pPr>
          </w:p>
        </w:tc>
        <w:tc>
          <w:tcPr>
            <w:tcW w:w="140" w:type="dxa"/>
            <w:vAlign w:val="bottom"/>
            <w:tcBorders>
              <w:bottom w:val="single" w:sz="8" w:color="5D89B4"/>
            </w:tcBorders>
          </w:tcPr>
          <w:p>
            <w:pPr>
              <w:spacing w:after="0"/>
              <w:rPr>
                <w:sz w:val="14"/>
                <w:szCs w:val="14"/>
                <w:color w:val="auto"/>
              </w:rPr>
            </w:pPr>
          </w:p>
        </w:tc>
        <w:tc>
          <w:tcPr>
            <w:tcW w:w="180" w:type="dxa"/>
            <w:vAlign w:val="bottom"/>
            <w:tcBorders>
              <w:bottom w:val="single" w:sz="8" w:color="5D89B4"/>
            </w:tcBorders>
          </w:tcPr>
          <w:p>
            <w:pPr>
              <w:spacing w:after="0"/>
              <w:rPr>
                <w:sz w:val="14"/>
                <w:szCs w:val="14"/>
                <w:color w:val="auto"/>
              </w:rPr>
            </w:pPr>
          </w:p>
        </w:tc>
        <w:tc>
          <w:tcPr>
            <w:tcW w:w="80" w:type="dxa"/>
            <w:vAlign w:val="bottom"/>
            <w:tcBorders>
              <w:bottom w:val="single" w:sz="8" w:color="5D89B4"/>
            </w:tcBorders>
          </w:tcPr>
          <w:p>
            <w:pPr>
              <w:spacing w:after="0"/>
              <w:rPr>
                <w:sz w:val="14"/>
                <w:szCs w:val="14"/>
                <w:color w:val="auto"/>
              </w:rPr>
            </w:pPr>
          </w:p>
        </w:tc>
        <w:tc>
          <w:tcPr>
            <w:tcW w:w="320" w:type="dxa"/>
            <w:vAlign w:val="bottom"/>
            <w:tcBorders>
              <w:bottom w:val="single" w:sz="8" w:color="5D89B4"/>
            </w:tcBorders>
          </w:tcPr>
          <w:p>
            <w:pPr>
              <w:spacing w:after="0"/>
              <w:rPr>
                <w:sz w:val="14"/>
                <w:szCs w:val="14"/>
                <w:color w:val="auto"/>
              </w:rPr>
            </w:pPr>
          </w:p>
        </w:tc>
        <w:tc>
          <w:tcPr>
            <w:tcW w:w="600" w:type="dxa"/>
            <w:vAlign w:val="bottom"/>
            <w:tcBorders>
              <w:bottom w:val="single" w:sz="8" w:color="5D89B4"/>
            </w:tcBorders>
          </w:tcPr>
          <w:p>
            <w:pPr>
              <w:spacing w:after="0"/>
              <w:rPr>
                <w:sz w:val="14"/>
                <w:szCs w:val="14"/>
                <w:color w:val="auto"/>
              </w:rPr>
            </w:pPr>
          </w:p>
        </w:tc>
        <w:tc>
          <w:tcPr>
            <w:tcW w:w="380" w:type="dxa"/>
            <w:vAlign w:val="bottom"/>
            <w:tcBorders>
              <w:bottom w:val="single" w:sz="8" w:color="5D89B4"/>
            </w:tcBorders>
          </w:tcPr>
          <w:p>
            <w:pPr>
              <w:spacing w:after="0"/>
              <w:rPr>
                <w:sz w:val="14"/>
                <w:szCs w:val="14"/>
                <w:color w:val="auto"/>
              </w:rPr>
            </w:pPr>
          </w:p>
        </w:tc>
        <w:tc>
          <w:tcPr>
            <w:tcW w:w="200" w:type="dxa"/>
            <w:vAlign w:val="bottom"/>
            <w:tcBorders>
              <w:bottom w:val="single" w:sz="8" w:color="5D89B4"/>
            </w:tcBorders>
          </w:tcPr>
          <w:p>
            <w:pPr>
              <w:spacing w:after="0"/>
              <w:rPr>
                <w:sz w:val="14"/>
                <w:szCs w:val="14"/>
                <w:color w:val="auto"/>
              </w:rPr>
            </w:pPr>
          </w:p>
        </w:tc>
        <w:tc>
          <w:tcPr>
            <w:tcW w:w="380" w:type="dxa"/>
            <w:vAlign w:val="bottom"/>
            <w:tcBorders>
              <w:bottom w:val="single" w:sz="8" w:color="5D89B4"/>
            </w:tcBorders>
          </w:tcPr>
          <w:p>
            <w:pPr>
              <w:spacing w:after="0"/>
              <w:rPr>
                <w:sz w:val="14"/>
                <w:szCs w:val="14"/>
                <w:color w:val="auto"/>
              </w:rPr>
            </w:pPr>
          </w:p>
        </w:tc>
        <w:tc>
          <w:tcPr>
            <w:tcW w:w="240" w:type="dxa"/>
            <w:vAlign w:val="bottom"/>
            <w:tcBorders>
              <w:bottom w:val="single" w:sz="8" w:color="5D89B4"/>
            </w:tcBorders>
          </w:tcPr>
          <w:p>
            <w:pPr>
              <w:spacing w:after="0"/>
              <w:rPr>
                <w:sz w:val="14"/>
                <w:szCs w:val="14"/>
                <w:color w:val="auto"/>
              </w:rPr>
            </w:pPr>
          </w:p>
        </w:tc>
        <w:tc>
          <w:tcPr>
            <w:tcW w:w="420" w:type="dxa"/>
            <w:vAlign w:val="bottom"/>
            <w:tcBorders>
              <w:bottom w:val="single" w:sz="8" w:color="5D89B4"/>
            </w:tcBorders>
          </w:tcPr>
          <w:p>
            <w:pPr>
              <w:spacing w:after="0"/>
              <w:rPr>
                <w:sz w:val="14"/>
                <w:szCs w:val="14"/>
                <w:color w:val="auto"/>
              </w:rPr>
            </w:pPr>
          </w:p>
        </w:tc>
        <w:tc>
          <w:tcPr>
            <w:tcW w:w="20" w:type="dxa"/>
            <w:vAlign w:val="bottom"/>
            <w:tcBorders>
              <w:bottom w:val="single" w:sz="8" w:color="5D89B4"/>
            </w:tcBorders>
          </w:tcPr>
          <w:p>
            <w:pPr>
              <w:spacing w:after="0"/>
              <w:rPr>
                <w:sz w:val="14"/>
                <w:szCs w:val="14"/>
                <w:color w:val="auto"/>
              </w:rPr>
            </w:pPr>
          </w:p>
        </w:tc>
        <w:tc>
          <w:tcPr>
            <w:tcW w:w="140" w:type="dxa"/>
            <w:vAlign w:val="bottom"/>
            <w:tcBorders>
              <w:bottom w:val="single" w:sz="8" w:color="5D89B4"/>
            </w:tcBorders>
          </w:tcPr>
          <w:p>
            <w:pPr>
              <w:spacing w:after="0"/>
              <w:rPr>
                <w:sz w:val="14"/>
                <w:szCs w:val="14"/>
                <w:color w:val="auto"/>
              </w:rPr>
            </w:pPr>
          </w:p>
        </w:tc>
        <w:tc>
          <w:tcPr>
            <w:tcW w:w="640" w:type="dxa"/>
            <w:vAlign w:val="bottom"/>
            <w:tcBorders>
              <w:bottom w:val="single" w:sz="8" w:color="5D89B4"/>
            </w:tcBorders>
          </w:tcPr>
          <w:p>
            <w:pPr>
              <w:spacing w:after="0"/>
              <w:rPr>
                <w:sz w:val="14"/>
                <w:szCs w:val="14"/>
                <w:color w:val="auto"/>
              </w:rPr>
            </w:pPr>
          </w:p>
        </w:tc>
        <w:tc>
          <w:tcPr>
            <w:tcW w:w="2360" w:type="dxa"/>
            <w:vAlign w:val="bottom"/>
            <w:tcBorders>
              <w:bottom w:val="single" w:sz="8" w:color="5D89B4"/>
            </w:tcBorders>
          </w:tcPr>
          <w:p>
            <w:pPr>
              <w:spacing w:after="0"/>
              <w:rPr>
                <w:sz w:val="14"/>
                <w:szCs w:val="14"/>
                <w:color w:val="auto"/>
              </w:rPr>
            </w:pPr>
          </w:p>
        </w:tc>
        <w:tc>
          <w:tcPr>
            <w:tcW w:w="174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5600" w:type="dxa"/>
            <w:vAlign w:val="bottom"/>
            <w:gridSpan w:val="30"/>
          </w:tcPr>
          <w:p>
            <w:pPr>
              <w:ind w:left="5360"/>
              <w:spacing w:after="0"/>
              <w:rPr>
                <w:sz w:val="20"/>
                <w:szCs w:val="20"/>
                <w:color w:val="auto"/>
              </w:rPr>
            </w:pPr>
            <w:r>
              <w:rPr>
                <w:rFonts w:ascii="Arial" w:cs="Arial" w:eastAsia="Arial" w:hAnsi="Arial"/>
                <w:sz w:val="20"/>
                <w:szCs w:val="20"/>
                <w:b w:val="1"/>
                <w:bCs w:val="1"/>
                <w:color w:val="5D89B4"/>
                <w:w w:val="98"/>
              </w:rPr>
              <w:t>22</w:t>
            </w:r>
          </w:p>
        </w:tc>
        <w:tc>
          <w:tcPr>
            <w:tcW w:w="3580" w:type="dxa"/>
            <w:vAlign w:val="bottom"/>
            <w:gridSpan w:val="5"/>
          </w:tcPr>
          <w:p>
            <w:pPr>
              <w:ind w:left="420"/>
              <w:spacing w:after="0"/>
              <w:rPr>
                <w:sz w:val="20"/>
                <w:szCs w:val="20"/>
                <w:color w:val="auto"/>
              </w:rPr>
            </w:pPr>
            <w:r>
              <w:rPr>
                <w:rFonts w:ascii="Arial" w:cs="Arial" w:eastAsia="Arial" w:hAnsi="Arial"/>
                <w:sz w:val="16"/>
                <w:szCs w:val="16"/>
                <w:b w:val="1"/>
                <w:bCs w:val="1"/>
                <w:color w:val="BFBFBF"/>
              </w:rPr>
              <w:t>2022 Proxy Statement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20" w:type="dxa"/>
            <w:vAlign w:val="bottom"/>
            <w:gridSpan w:val="2"/>
          </w:tcPr>
          <w:p>
            <w:pPr>
              <w:jc w:val="right"/>
              <w:spacing w:after="0"/>
              <w:rPr>
                <w:sz w:val="20"/>
                <w:szCs w:val="20"/>
                <w:color w:val="auto"/>
              </w:rPr>
            </w:pPr>
            <w:r>
              <w:rPr>
                <w:rFonts w:ascii="Arial" w:cs="Arial" w:eastAsia="Arial" w:hAnsi="Arial"/>
                <w:sz w:val="16"/>
                <w:szCs w:val="16"/>
                <w:b w:val="1"/>
                <w:bCs w:val="1"/>
                <w:color w:val="5D89B4"/>
              </w:rPr>
              <w:t>COMPENSATION DISCUSSION AND ANALYSIS</w:t>
            </w: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5580" w:type="dxa"/>
            <w:vAlign w:val="bottom"/>
            <w:gridSpan w:val="14"/>
          </w:tcPr>
          <w:p>
            <w:pPr>
              <w:ind w:left="220"/>
              <w:spacing w:after="0"/>
              <w:rPr>
                <w:rFonts w:ascii="Arial" w:cs="Arial" w:eastAsia="Arial" w:hAnsi="Arial"/>
                <w:sz w:val="16"/>
                <w:szCs w:val="16"/>
                <w:color w:val="0000EE"/>
              </w:rPr>
            </w:pPr>
            <w:hyperlink w:anchor="page56">
              <w:r>
                <w:rPr>
                  <w:rFonts w:ascii="Arial" w:cs="Arial" w:eastAsia="Arial" w:hAnsi="Arial"/>
                  <w:sz w:val="16"/>
                  <w:szCs w:val="16"/>
                  <w:color w:val="0000EE"/>
                </w:rPr>
                <w:t>Impact of COVID-19 on Performance Share Units</w:t>
              </w:r>
            </w:hyperlink>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44</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60" w:type="dxa"/>
            <w:vAlign w:val="bottom"/>
            <w:tcBorders>
              <w:bottom w:val="single" w:sz="8" w:color="0000EE"/>
            </w:tcBorders>
            <w:gridSpan w:val="14"/>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Pandemic Had Significant Adverse Impact on PSU Awards Made in 2018, 2019 and 2020</w:t>
              </w:r>
            </w:hyperlink>
          </w:p>
        </w:tc>
        <w:tc>
          <w:tcPr>
            <w:tcW w:w="218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40" w:type="dxa"/>
            <w:vAlign w:val="bottom"/>
            <w:tcBorders>
              <w:bottom w:val="single" w:sz="8" w:color="0000EE"/>
            </w:tcBorders>
            <w:gridSpan w:val="13"/>
          </w:tcPr>
          <w:p>
            <w:pPr>
              <w:spacing w:after="0"/>
              <w:rPr>
                <w:rFonts w:ascii="Arial" w:cs="Arial" w:eastAsia="Arial" w:hAnsi="Arial"/>
                <w:sz w:val="16"/>
                <w:szCs w:val="16"/>
                <w:color w:val="0000EE"/>
                <w:w w:val="99"/>
              </w:rPr>
            </w:pPr>
            <w:hyperlink w:anchor="page57">
              <w:r>
                <w:rPr>
                  <w:rFonts w:ascii="Arial" w:cs="Arial" w:eastAsia="Arial" w:hAnsi="Arial"/>
                  <w:sz w:val="16"/>
                  <w:szCs w:val="16"/>
                  <w:color w:val="0000EE"/>
                  <w:w w:val="99"/>
                </w:rPr>
                <w:t>Introduction of a Special Grant and Utilization of a One-Year Performance Period</w:t>
              </w:r>
            </w:hyperlink>
          </w:p>
        </w:tc>
        <w:tc>
          <w:tcPr>
            <w:tcW w:w="2800" w:type="dxa"/>
            <w:vAlign w:val="bottom"/>
            <w:gridSpan w:val="2"/>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45</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158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57">
              <w:r>
                <w:rPr>
                  <w:rFonts w:ascii="Arial" w:cs="Arial" w:eastAsia="Arial" w:hAnsi="Arial"/>
                  <w:sz w:val="16"/>
                  <w:szCs w:val="16"/>
                  <w:color w:val="0000EE"/>
                  <w:w w:val="99"/>
                </w:rPr>
                <w:t>Restricted Stock Units</w:t>
              </w:r>
            </w:hyperlink>
          </w:p>
        </w:tc>
        <w:tc>
          <w:tcPr>
            <w:tcW w:w="4000" w:type="dxa"/>
            <w:vAlign w:val="bottom"/>
            <w:gridSpan w:val="9"/>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45</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580" w:type="dxa"/>
            <w:vAlign w:val="bottom"/>
            <w:gridSpan w:val="14"/>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Stock Options</w:t>
              </w:r>
            </w:hyperlink>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45</w:t>
            </w: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48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620" w:type="dxa"/>
            <w:vAlign w:val="bottom"/>
            <w:tcBorders>
              <w:bottom w:val="single" w:sz="8" w:color="5D89B4"/>
            </w:tcBorders>
          </w:tcPr>
          <w:p>
            <w:pPr>
              <w:spacing w:after="0"/>
              <w:rPr>
                <w:sz w:val="16"/>
                <w:szCs w:val="16"/>
                <w:color w:val="auto"/>
              </w:rPr>
            </w:pPr>
          </w:p>
        </w:tc>
        <w:tc>
          <w:tcPr>
            <w:tcW w:w="218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0" w:type="dxa"/>
            <w:vAlign w:val="bottom"/>
            <w:gridSpan w:val="15"/>
          </w:tcPr>
          <w:p>
            <w:pPr>
              <w:spacing w:after="0" w:line="154" w:lineRule="exact"/>
              <w:rPr>
                <w:rFonts w:ascii="Arial" w:cs="Arial" w:eastAsia="Arial" w:hAnsi="Arial"/>
                <w:sz w:val="16"/>
                <w:szCs w:val="16"/>
                <w:color w:val="0000EE"/>
              </w:rPr>
            </w:pPr>
            <w:hyperlink w:anchor="page57">
              <w:r>
                <w:rPr>
                  <w:rFonts w:ascii="Arial" w:cs="Arial" w:eastAsia="Arial" w:hAnsi="Arial"/>
                  <w:sz w:val="16"/>
                  <w:szCs w:val="16"/>
                  <w:color w:val="0000EE"/>
                </w:rPr>
                <w:t>Career Shares, Retirement and Deferred Compensation Plans</w:t>
              </w:r>
            </w:hyperlink>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5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1740" w:type="dxa"/>
            <w:vAlign w:val="bottom"/>
            <w:tcBorders>
              <w:top w:val="single" w:sz="8" w:color="0000EE"/>
              <w:bottom w:val="single" w:sz="8" w:color="5D89B4"/>
            </w:tcBorders>
          </w:tcPr>
          <w:p>
            <w:pPr>
              <w:spacing w:after="0"/>
              <w:rPr>
                <w:sz w:val="16"/>
                <w:szCs w:val="16"/>
                <w:color w:val="auto"/>
              </w:rPr>
            </w:pPr>
          </w:p>
        </w:tc>
        <w:tc>
          <w:tcPr>
            <w:tcW w:w="480" w:type="dxa"/>
            <w:vAlign w:val="bottom"/>
            <w:tcBorders>
              <w:top w:val="single" w:sz="8" w:color="0000EE"/>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620" w:type="dxa"/>
            <w:vAlign w:val="bottom"/>
            <w:tcBorders>
              <w:bottom w:val="single" w:sz="8" w:color="5D89B4"/>
            </w:tcBorders>
          </w:tcPr>
          <w:p>
            <w:pPr>
              <w:spacing w:after="0"/>
              <w:rPr>
                <w:sz w:val="16"/>
                <w:szCs w:val="16"/>
                <w:color w:val="auto"/>
              </w:rPr>
            </w:pPr>
          </w:p>
        </w:tc>
        <w:tc>
          <w:tcPr>
            <w:tcW w:w="218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040" w:type="dxa"/>
            <w:vAlign w:val="bottom"/>
            <w:tcBorders>
              <w:bottom w:val="single" w:sz="8" w:color="0000EE"/>
            </w:tcBorders>
            <w:gridSpan w:val="4"/>
          </w:tcPr>
          <w:p>
            <w:pPr>
              <w:spacing w:after="0" w:line="154" w:lineRule="exact"/>
              <w:rPr>
                <w:rFonts w:ascii="Arial" w:cs="Arial" w:eastAsia="Arial" w:hAnsi="Arial"/>
                <w:sz w:val="16"/>
                <w:szCs w:val="16"/>
                <w:color w:val="0000EE"/>
                <w:w w:val="99"/>
              </w:rPr>
            </w:pPr>
            <w:hyperlink w:anchor="page57">
              <w:r>
                <w:rPr>
                  <w:rFonts w:ascii="Arial" w:cs="Arial" w:eastAsia="Arial" w:hAnsi="Arial"/>
                  <w:sz w:val="16"/>
                  <w:szCs w:val="16"/>
                  <w:color w:val="0000EE"/>
                  <w:w w:val="99"/>
                </w:rPr>
                <w:t>Other Benefits</w:t>
              </w:r>
            </w:hyperlink>
          </w:p>
        </w:tc>
        <w:tc>
          <w:tcPr>
            <w:tcW w:w="4760" w:type="dxa"/>
            <w:vAlign w:val="bottom"/>
            <w:gridSpan w:val="11"/>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580" w:type="dxa"/>
            <w:vAlign w:val="bottom"/>
            <w:gridSpan w:val="14"/>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Severance Agreements</w:t>
              </w:r>
            </w:hyperlink>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46</w:t>
            </w: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5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48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620" w:type="dxa"/>
            <w:vAlign w:val="bottom"/>
            <w:tcBorders>
              <w:bottom w:val="single" w:sz="8" w:color="5D89B4"/>
            </w:tcBorders>
          </w:tcPr>
          <w:p>
            <w:pPr>
              <w:spacing w:after="0"/>
              <w:rPr>
                <w:sz w:val="16"/>
                <w:szCs w:val="16"/>
                <w:color w:val="auto"/>
              </w:rPr>
            </w:pPr>
          </w:p>
        </w:tc>
        <w:tc>
          <w:tcPr>
            <w:tcW w:w="218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620" w:type="dxa"/>
            <w:vAlign w:val="bottom"/>
            <w:tcBorders>
              <w:bottom w:val="single" w:sz="8" w:color="0000EE"/>
            </w:tcBorders>
            <w:gridSpan w:val="13"/>
          </w:tcPr>
          <w:p>
            <w:pPr>
              <w:spacing w:after="0" w:line="154" w:lineRule="exact"/>
              <w:rPr>
                <w:rFonts w:ascii="Arial" w:cs="Arial" w:eastAsia="Arial" w:hAnsi="Arial"/>
                <w:sz w:val="16"/>
                <w:szCs w:val="16"/>
                <w:color w:val="0000EE"/>
              </w:rPr>
            </w:pPr>
            <w:hyperlink w:anchor="page58">
              <w:r>
                <w:rPr>
                  <w:rFonts w:ascii="Arial" w:cs="Arial" w:eastAsia="Arial" w:hAnsi="Arial"/>
                  <w:sz w:val="16"/>
                  <w:szCs w:val="16"/>
                  <w:color w:val="0000EE"/>
                </w:rPr>
                <w:t>Governance Features of Our Executive Compensation Programs</w:t>
              </w:r>
            </w:hyperlink>
          </w:p>
        </w:tc>
        <w:tc>
          <w:tcPr>
            <w:tcW w:w="118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580" w:type="dxa"/>
            <w:vAlign w:val="bottom"/>
            <w:gridSpan w:val="14"/>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We Have Stock Ownership Guidelines for Executive Officers</w:t>
              </w:r>
            </w:hyperlink>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280" w:type="dxa"/>
            <w:vAlign w:val="bottom"/>
            <w:tcBorders>
              <w:top w:val="single" w:sz="8" w:color="0000EE"/>
            </w:tcBorders>
            <w:gridSpan w:val="11"/>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We Have a Clawback Policy</w:t>
              </w:r>
            </w:hyperlink>
          </w:p>
        </w:tc>
        <w:tc>
          <w:tcPr>
            <w:tcW w:w="1300" w:type="dxa"/>
            <w:vAlign w:val="bottom"/>
            <w:gridSpan w:val="3"/>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gridSpan w:val="7"/>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47</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5580" w:type="dxa"/>
            <w:vAlign w:val="bottom"/>
            <w:gridSpan w:val="14"/>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We Prohibit Hedging, Pledging and Short-Sale Transactions</w:t>
              </w:r>
            </w:hyperlink>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5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1740" w:type="dxa"/>
            <w:vAlign w:val="bottom"/>
            <w:tcBorders>
              <w:top w:val="single" w:sz="8" w:color="0000EE"/>
              <w:bottom w:val="single" w:sz="8" w:color="5D89B4"/>
            </w:tcBorders>
          </w:tcPr>
          <w:p>
            <w:pPr>
              <w:spacing w:after="0"/>
              <w:rPr>
                <w:sz w:val="16"/>
                <w:szCs w:val="16"/>
                <w:color w:val="auto"/>
              </w:rPr>
            </w:pPr>
          </w:p>
        </w:tc>
        <w:tc>
          <w:tcPr>
            <w:tcW w:w="4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620" w:type="dxa"/>
            <w:vAlign w:val="bottom"/>
            <w:tcBorders>
              <w:bottom w:val="single" w:sz="8" w:color="5D89B4"/>
            </w:tcBorders>
          </w:tcPr>
          <w:p>
            <w:pPr>
              <w:spacing w:after="0"/>
              <w:rPr>
                <w:sz w:val="16"/>
                <w:szCs w:val="16"/>
                <w:color w:val="auto"/>
              </w:rPr>
            </w:pPr>
          </w:p>
        </w:tc>
        <w:tc>
          <w:tcPr>
            <w:tcW w:w="218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0" w:type="dxa"/>
            <w:vAlign w:val="bottom"/>
            <w:gridSpan w:val="15"/>
          </w:tcPr>
          <w:p>
            <w:pPr>
              <w:spacing w:after="0" w:line="154" w:lineRule="exact"/>
              <w:rPr>
                <w:rFonts w:ascii="Arial" w:cs="Arial" w:eastAsia="Arial" w:hAnsi="Arial"/>
                <w:sz w:val="16"/>
                <w:szCs w:val="16"/>
                <w:color w:val="0000EE"/>
              </w:rPr>
            </w:pPr>
            <w:hyperlink w:anchor="page59">
              <w:r>
                <w:rPr>
                  <w:rFonts w:ascii="Arial" w:cs="Arial" w:eastAsia="Arial" w:hAnsi="Arial"/>
                  <w:sz w:val="16"/>
                  <w:szCs w:val="16"/>
                  <w:color w:val="0000EE"/>
                </w:rPr>
                <w:t>Other Material Tax Implications of the Executive Compensation Program</w:t>
              </w:r>
            </w:hyperlink>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0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5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1740" w:type="dxa"/>
            <w:vAlign w:val="bottom"/>
            <w:tcBorders>
              <w:top w:val="single" w:sz="8" w:color="0000EE"/>
              <w:bottom w:val="single" w:sz="8" w:color="5D89B4"/>
            </w:tcBorders>
          </w:tcPr>
          <w:p>
            <w:pPr>
              <w:spacing w:after="0"/>
              <w:rPr>
                <w:sz w:val="16"/>
                <w:szCs w:val="16"/>
                <w:color w:val="auto"/>
              </w:rPr>
            </w:pPr>
          </w:p>
        </w:tc>
        <w:tc>
          <w:tcPr>
            <w:tcW w:w="4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520" w:type="dxa"/>
            <w:vAlign w:val="bottom"/>
            <w:tcBorders>
              <w:top w:val="single" w:sz="8" w:color="0000EE"/>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620" w:type="dxa"/>
            <w:vAlign w:val="bottom"/>
            <w:tcBorders>
              <w:bottom w:val="single" w:sz="8" w:color="5D89B4"/>
            </w:tcBorders>
          </w:tcPr>
          <w:p>
            <w:pPr>
              <w:spacing w:after="0"/>
              <w:rPr>
                <w:sz w:val="16"/>
                <w:szCs w:val="16"/>
                <w:color w:val="auto"/>
              </w:rPr>
            </w:pPr>
          </w:p>
        </w:tc>
        <w:tc>
          <w:tcPr>
            <w:tcW w:w="218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20" w:type="dxa"/>
            <w:vAlign w:val="bottom"/>
            <w:tcBorders>
              <w:bottom w:val="single" w:sz="8" w:color="5D89B4"/>
            </w:tcBorders>
          </w:tcPr>
          <w:p>
            <w:pPr>
              <w:spacing w:after="0"/>
              <w:rPr>
                <w:sz w:val="14"/>
                <w:szCs w:val="14"/>
                <w:color w:val="auto"/>
              </w:rPr>
            </w:pPr>
          </w:p>
        </w:tc>
        <w:tc>
          <w:tcPr>
            <w:tcW w:w="220" w:type="dxa"/>
            <w:vAlign w:val="bottom"/>
            <w:tcBorders>
              <w:bottom w:val="single" w:sz="8" w:color="5D89B4"/>
            </w:tcBorders>
          </w:tcPr>
          <w:p>
            <w:pPr>
              <w:spacing w:after="0"/>
              <w:rPr>
                <w:sz w:val="14"/>
                <w:szCs w:val="14"/>
                <w:color w:val="auto"/>
              </w:rPr>
            </w:pPr>
          </w:p>
        </w:tc>
        <w:tc>
          <w:tcPr>
            <w:tcW w:w="200" w:type="dxa"/>
            <w:vAlign w:val="bottom"/>
            <w:tcBorders>
              <w:bottom w:val="single" w:sz="8" w:color="5D89B4"/>
            </w:tcBorders>
          </w:tcPr>
          <w:p>
            <w:pPr>
              <w:spacing w:after="0"/>
              <w:rPr>
                <w:sz w:val="14"/>
                <w:szCs w:val="14"/>
                <w:color w:val="auto"/>
              </w:rPr>
            </w:pPr>
          </w:p>
        </w:tc>
        <w:tc>
          <w:tcPr>
            <w:tcW w:w="400" w:type="dxa"/>
            <w:vAlign w:val="bottom"/>
            <w:tcBorders>
              <w:bottom w:val="single" w:sz="8" w:color="5D89B4"/>
            </w:tcBorders>
          </w:tcPr>
          <w:p>
            <w:pPr>
              <w:spacing w:after="0"/>
              <w:rPr>
                <w:sz w:val="14"/>
                <w:szCs w:val="14"/>
                <w:color w:val="auto"/>
              </w:rPr>
            </w:pPr>
          </w:p>
        </w:tc>
        <w:tc>
          <w:tcPr>
            <w:tcW w:w="180" w:type="dxa"/>
            <w:vAlign w:val="bottom"/>
            <w:tcBorders>
              <w:bottom w:val="single" w:sz="8" w:color="5D89B4"/>
            </w:tcBorders>
          </w:tcPr>
          <w:p>
            <w:pPr>
              <w:spacing w:after="0"/>
              <w:rPr>
                <w:sz w:val="14"/>
                <w:szCs w:val="14"/>
                <w:color w:val="auto"/>
              </w:rPr>
            </w:pPr>
          </w:p>
        </w:tc>
        <w:tc>
          <w:tcPr>
            <w:tcW w:w="580" w:type="dxa"/>
            <w:vAlign w:val="bottom"/>
            <w:tcBorders>
              <w:bottom w:val="single" w:sz="8" w:color="5D89B4"/>
            </w:tcBorders>
          </w:tcPr>
          <w:p>
            <w:pPr>
              <w:spacing w:after="0"/>
              <w:rPr>
                <w:sz w:val="14"/>
                <w:szCs w:val="14"/>
                <w:color w:val="auto"/>
              </w:rPr>
            </w:pPr>
          </w:p>
        </w:tc>
        <w:tc>
          <w:tcPr>
            <w:tcW w:w="100" w:type="dxa"/>
            <w:vAlign w:val="bottom"/>
            <w:tcBorders>
              <w:bottom w:val="single" w:sz="8" w:color="5D89B4"/>
            </w:tcBorders>
          </w:tcPr>
          <w:p>
            <w:pPr>
              <w:spacing w:after="0"/>
              <w:rPr>
                <w:sz w:val="14"/>
                <w:szCs w:val="14"/>
                <w:color w:val="auto"/>
              </w:rPr>
            </w:pPr>
          </w:p>
        </w:tc>
        <w:tc>
          <w:tcPr>
            <w:tcW w:w="320" w:type="dxa"/>
            <w:vAlign w:val="bottom"/>
            <w:tcBorders>
              <w:bottom w:val="single" w:sz="8" w:color="5D89B4"/>
            </w:tcBorders>
          </w:tcPr>
          <w:p>
            <w:pPr>
              <w:spacing w:after="0"/>
              <w:rPr>
                <w:sz w:val="14"/>
                <w:szCs w:val="14"/>
                <w:color w:val="auto"/>
              </w:rPr>
            </w:pPr>
          </w:p>
        </w:tc>
        <w:tc>
          <w:tcPr>
            <w:tcW w:w="1740" w:type="dxa"/>
            <w:vAlign w:val="bottom"/>
            <w:tcBorders>
              <w:bottom w:val="single" w:sz="8" w:color="5D89B4"/>
            </w:tcBorders>
          </w:tcPr>
          <w:p>
            <w:pPr>
              <w:spacing w:after="0"/>
              <w:rPr>
                <w:sz w:val="14"/>
                <w:szCs w:val="14"/>
                <w:color w:val="auto"/>
              </w:rPr>
            </w:pPr>
          </w:p>
        </w:tc>
        <w:tc>
          <w:tcPr>
            <w:tcW w:w="480" w:type="dxa"/>
            <w:vAlign w:val="bottom"/>
            <w:tcBorders>
              <w:bottom w:val="single" w:sz="8" w:color="5D89B4"/>
            </w:tcBorders>
          </w:tcPr>
          <w:p>
            <w:pPr>
              <w:spacing w:after="0"/>
              <w:rPr>
                <w:sz w:val="14"/>
                <w:szCs w:val="14"/>
                <w:color w:val="auto"/>
              </w:rPr>
            </w:pPr>
          </w:p>
        </w:tc>
        <w:tc>
          <w:tcPr>
            <w:tcW w:w="40" w:type="dxa"/>
            <w:vAlign w:val="bottom"/>
            <w:tcBorders>
              <w:bottom w:val="single" w:sz="8" w:color="5D89B4"/>
            </w:tcBorders>
          </w:tcPr>
          <w:p>
            <w:pPr>
              <w:spacing w:after="0"/>
              <w:rPr>
                <w:sz w:val="14"/>
                <w:szCs w:val="14"/>
                <w:color w:val="auto"/>
              </w:rPr>
            </w:pPr>
          </w:p>
        </w:tc>
        <w:tc>
          <w:tcPr>
            <w:tcW w:w="20" w:type="dxa"/>
            <w:vAlign w:val="bottom"/>
            <w:tcBorders>
              <w:bottom w:val="single" w:sz="8" w:color="5D89B4"/>
            </w:tcBorders>
          </w:tcPr>
          <w:p>
            <w:pPr>
              <w:spacing w:after="0"/>
              <w:rPr>
                <w:sz w:val="14"/>
                <w:szCs w:val="14"/>
                <w:color w:val="auto"/>
              </w:rPr>
            </w:pPr>
          </w:p>
        </w:tc>
        <w:tc>
          <w:tcPr>
            <w:tcW w:w="120" w:type="dxa"/>
            <w:vAlign w:val="bottom"/>
            <w:tcBorders>
              <w:bottom w:val="single" w:sz="8" w:color="5D89B4"/>
            </w:tcBorders>
          </w:tcPr>
          <w:p>
            <w:pPr>
              <w:spacing w:after="0"/>
              <w:rPr>
                <w:sz w:val="14"/>
                <w:szCs w:val="14"/>
                <w:color w:val="auto"/>
              </w:rPr>
            </w:pPr>
          </w:p>
        </w:tc>
        <w:tc>
          <w:tcPr>
            <w:tcW w:w="520" w:type="dxa"/>
            <w:vAlign w:val="bottom"/>
            <w:tcBorders>
              <w:bottom w:val="single" w:sz="8" w:color="5D89B4"/>
            </w:tcBorders>
          </w:tcPr>
          <w:p>
            <w:pPr>
              <w:spacing w:after="0"/>
              <w:rPr>
                <w:sz w:val="14"/>
                <w:szCs w:val="14"/>
                <w:color w:val="auto"/>
              </w:rPr>
            </w:pPr>
          </w:p>
        </w:tc>
        <w:tc>
          <w:tcPr>
            <w:tcW w:w="660" w:type="dxa"/>
            <w:vAlign w:val="bottom"/>
            <w:tcBorders>
              <w:bottom w:val="single" w:sz="8" w:color="5D89B4"/>
            </w:tcBorders>
          </w:tcPr>
          <w:p>
            <w:pPr>
              <w:spacing w:after="0"/>
              <w:rPr>
                <w:sz w:val="14"/>
                <w:szCs w:val="14"/>
                <w:color w:val="auto"/>
              </w:rPr>
            </w:pPr>
          </w:p>
        </w:tc>
        <w:tc>
          <w:tcPr>
            <w:tcW w:w="580" w:type="dxa"/>
            <w:vAlign w:val="bottom"/>
            <w:tcBorders>
              <w:bottom w:val="single" w:sz="8" w:color="5D89B4"/>
            </w:tcBorders>
          </w:tcPr>
          <w:p>
            <w:pPr>
              <w:spacing w:after="0"/>
              <w:rPr>
                <w:sz w:val="14"/>
                <w:szCs w:val="14"/>
                <w:color w:val="auto"/>
              </w:rPr>
            </w:pPr>
          </w:p>
        </w:tc>
        <w:tc>
          <w:tcPr>
            <w:tcW w:w="620" w:type="dxa"/>
            <w:vAlign w:val="bottom"/>
            <w:tcBorders>
              <w:bottom w:val="single" w:sz="8" w:color="5D89B4"/>
            </w:tcBorders>
          </w:tcPr>
          <w:p>
            <w:pPr>
              <w:spacing w:after="0"/>
              <w:rPr>
                <w:sz w:val="14"/>
                <w:szCs w:val="14"/>
                <w:color w:val="auto"/>
              </w:rPr>
            </w:pPr>
          </w:p>
        </w:tc>
        <w:tc>
          <w:tcPr>
            <w:tcW w:w="2180" w:type="dxa"/>
            <w:vAlign w:val="bottom"/>
            <w:tcBorders>
              <w:bottom w:val="single" w:sz="8" w:color="5D89B4"/>
            </w:tcBorders>
          </w:tcPr>
          <w:p>
            <w:pPr>
              <w:spacing w:after="0"/>
              <w:rPr>
                <w:sz w:val="14"/>
                <w:szCs w:val="14"/>
                <w:color w:val="auto"/>
              </w:rPr>
            </w:pPr>
          </w:p>
        </w:tc>
        <w:tc>
          <w:tcPr>
            <w:tcW w:w="174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5800" w:type="dxa"/>
            <w:vAlign w:val="bottom"/>
            <w:gridSpan w:val="15"/>
          </w:tcPr>
          <w:p>
            <w:pPr>
              <w:ind w:left="5360"/>
              <w:spacing w:after="0"/>
              <w:rPr>
                <w:sz w:val="20"/>
                <w:szCs w:val="20"/>
                <w:color w:val="auto"/>
              </w:rPr>
            </w:pPr>
            <w:r>
              <w:rPr>
                <w:rFonts w:ascii="Arial" w:cs="Arial" w:eastAsia="Arial" w:hAnsi="Arial"/>
                <w:sz w:val="20"/>
                <w:szCs w:val="20"/>
                <w:b w:val="1"/>
                <w:bCs w:val="1"/>
                <w:color w:val="5D89B4"/>
              </w:rPr>
              <w:t>23</w:t>
            </w:r>
          </w:p>
        </w:tc>
        <w:tc>
          <w:tcPr>
            <w:tcW w:w="3380" w:type="dxa"/>
            <w:vAlign w:val="bottom"/>
            <w:gridSpan w:val="3"/>
          </w:tcPr>
          <w:p>
            <w:pPr>
              <w:ind w:left="220"/>
              <w:spacing w:after="0"/>
              <w:rPr>
                <w:sz w:val="20"/>
                <w:szCs w:val="20"/>
                <w:color w:val="auto"/>
              </w:rPr>
            </w:pPr>
            <w:r>
              <w:rPr>
                <w:rFonts w:ascii="Arial" w:cs="Arial" w:eastAsia="Arial" w:hAnsi="Arial"/>
                <w:sz w:val="16"/>
                <w:szCs w:val="16"/>
                <w:b w:val="1"/>
                <w:bCs w:val="1"/>
                <w:color w:val="BFBFBF"/>
              </w:rPr>
              <w:t>2022 Proxy Statement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Background</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6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830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4"/>
                <w:szCs w:val="14"/>
                <w:b w:val="1"/>
                <w:bCs w:val="1"/>
                <w:color w:val="5D89B4"/>
              </w:rPr>
              <w:t>TITLE</w:t>
            </w:r>
          </w:p>
        </w:tc>
      </w:tr>
      <w:tr>
        <w:trPr>
          <w:trHeight w:val="27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Jonas Prising</w:t>
            </w:r>
          </w:p>
        </w:tc>
        <w:tc>
          <w:tcPr>
            <w:tcW w:w="8300" w:type="dxa"/>
            <w:vAlign w:val="bottom"/>
          </w:tcPr>
          <w:p>
            <w:pPr>
              <w:ind w:left="120"/>
              <w:spacing w:after="0"/>
              <w:rPr>
                <w:sz w:val="20"/>
                <w:szCs w:val="20"/>
                <w:color w:val="auto"/>
              </w:rPr>
            </w:pPr>
            <w:r>
              <w:rPr>
                <w:rFonts w:ascii="Arial" w:cs="Arial" w:eastAsia="Arial" w:hAnsi="Arial"/>
                <w:sz w:val="15"/>
                <w:szCs w:val="15"/>
                <w:color w:val="auto"/>
              </w:rPr>
              <w:t>Chairman and Chief Executive Officer</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John T. McGinnis</w:t>
            </w:r>
          </w:p>
        </w:tc>
        <w:tc>
          <w:tcPr>
            <w:tcW w:w="8300" w:type="dxa"/>
            <w:vAlign w:val="bottom"/>
          </w:tcPr>
          <w:p>
            <w:pPr>
              <w:ind w:left="120"/>
              <w:spacing w:after="0"/>
              <w:rPr>
                <w:sz w:val="20"/>
                <w:szCs w:val="20"/>
                <w:color w:val="auto"/>
              </w:rPr>
            </w:pPr>
            <w:r>
              <w:rPr>
                <w:rFonts w:ascii="Arial" w:cs="Arial" w:eastAsia="Arial" w:hAnsi="Arial"/>
                <w:sz w:val="15"/>
                <w:szCs w:val="15"/>
                <w:color w:val="auto"/>
              </w:rPr>
              <w:t>Executive Vice President and Chief Financial Officer</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Michelle S. Nettles</w:t>
            </w:r>
          </w:p>
        </w:tc>
        <w:tc>
          <w:tcPr>
            <w:tcW w:w="8300" w:type="dxa"/>
            <w:vAlign w:val="bottom"/>
          </w:tcPr>
          <w:p>
            <w:pPr>
              <w:ind w:left="120"/>
              <w:spacing w:after="0"/>
              <w:rPr>
                <w:sz w:val="20"/>
                <w:szCs w:val="20"/>
                <w:color w:val="auto"/>
              </w:rPr>
            </w:pPr>
            <w:r>
              <w:rPr>
                <w:rFonts w:ascii="Arial" w:cs="Arial" w:eastAsia="Arial" w:hAnsi="Arial"/>
                <w:sz w:val="15"/>
                <w:szCs w:val="15"/>
                <w:color w:val="auto"/>
              </w:rPr>
              <w:t>Chief People and Culture Officer</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Richard Buchband</w:t>
            </w:r>
          </w:p>
        </w:tc>
        <w:tc>
          <w:tcPr>
            <w:tcW w:w="8300" w:type="dxa"/>
            <w:vAlign w:val="bottom"/>
          </w:tcPr>
          <w:p>
            <w:pPr>
              <w:ind w:left="120"/>
              <w:spacing w:after="0"/>
              <w:rPr>
                <w:sz w:val="20"/>
                <w:szCs w:val="20"/>
                <w:color w:val="auto"/>
              </w:rPr>
            </w:pPr>
            <w:r>
              <w:rPr>
                <w:rFonts w:ascii="Arial" w:cs="Arial" w:eastAsia="Arial" w:hAnsi="Arial"/>
                <w:sz w:val="15"/>
                <w:szCs w:val="15"/>
                <w:color w:val="auto"/>
              </w:rPr>
              <w:t>Senior Vice President, 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6934200" cy="33648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34200" cy="3364865"/>
                    </a:xfrm>
                    <a:prstGeom prst="rect">
                      <a:avLst/>
                    </a:prstGeom>
                    <a:noFill/>
                  </pic:spPr>
                </pic:pic>
              </a:graphicData>
            </a:graphic>
          </wp:anchor>
        </w:drawing>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32"/>
          <w:szCs w:val="32"/>
          <w:b w:val="1"/>
          <w:bCs w:val="1"/>
          <w:color w:val="5D89B4"/>
        </w:rPr>
        <w:t>Executive Summary</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2021 Results Reflected Business Recovery and Strategic Progress</w:t>
      </w:r>
    </w:p>
    <w:p>
      <w:pPr>
        <w:spacing w:after="0" w:line="77" w:lineRule="exact"/>
        <w:rPr>
          <w:sz w:val="20"/>
          <w:szCs w:val="20"/>
          <w:color w:val="auto"/>
        </w:rPr>
      </w:pPr>
    </w:p>
    <w:p>
      <w:pPr>
        <w:ind w:left="180" w:right="280"/>
        <w:spacing w:after="0" w:line="227" w:lineRule="auto"/>
        <w:rPr>
          <w:sz w:val="20"/>
          <w:szCs w:val="20"/>
          <w:color w:val="auto"/>
        </w:rPr>
      </w:pPr>
      <w:r>
        <w:rPr>
          <w:rFonts w:ascii="Arial" w:cs="Arial" w:eastAsia="Arial" w:hAnsi="Arial"/>
          <w:sz w:val="15"/>
          <w:szCs w:val="15"/>
          <w:color w:val="auto"/>
        </w:rPr>
        <w:t xml:space="preserve">Our executive compensation programs are designed to reward performance, and our results were positive when measured against the performance targets established by the People, Culture and Compensation Committee (formerly the Executive Compensation and Human Resources Committee, and referred to here as the “Committee”). During 2021, we significantly increased revenues and profitability when compared to the prior year, exceeding the key financial targets set by the Committee. We also accomplished significant strategic objectives, including the enhancement of our Experis business through the acquisition of ettain group during the fourth quarter. We continued to make important investments in our technology infrastructure and progressed our Digitization, Diversification and Innovation initiative, in order to position the Company for long -term profitable growth. Finally, we re-affirmed our focus on our people and our corporate culture, and advanced our long-term commitment to ESG goals as demonstrated in our </w:t>
      </w:r>
      <w:r>
        <w:rPr>
          <w:rFonts w:ascii="Arial" w:cs="Arial" w:eastAsia="Arial" w:hAnsi="Arial"/>
          <w:sz w:val="15"/>
          <w:szCs w:val="15"/>
          <w:i w:val="1"/>
          <w:iCs w:val="1"/>
          <w:color w:val="auto"/>
        </w:rPr>
        <w:t>Working to Change the World Plan</w:t>
      </w:r>
      <w:r>
        <w:rPr>
          <w:rFonts w:ascii="Arial" w:cs="Arial" w:eastAsia="Arial" w:hAnsi="Arial"/>
          <w:sz w:val="15"/>
          <w:szCs w:val="15"/>
          <w:color w:val="auto"/>
        </w:rPr>
        <w:t>.</w:t>
      </w:r>
    </w:p>
    <w:p>
      <w:pPr>
        <w:spacing w:after="0" w:line="129" w:lineRule="exact"/>
        <w:rPr>
          <w:sz w:val="20"/>
          <w:szCs w:val="20"/>
          <w:color w:val="auto"/>
        </w:rPr>
      </w:pPr>
    </w:p>
    <w:p>
      <w:pPr>
        <w:ind w:left="180" w:right="200"/>
        <w:spacing w:after="0" w:line="228" w:lineRule="auto"/>
        <w:rPr>
          <w:sz w:val="20"/>
          <w:szCs w:val="20"/>
          <w:color w:val="auto"/>
        </w:rPr>
      </w:pPr>
      <w:r>
        <w:rPr>
          <w:rFonts w:ascii="Arial" w:cs="Arial" w:eastAsia="Arial" w:hAnsi="Arial"/>
          <w:sz w:val="15"/>
          <w:szCs w:val="15"/>
          <w:color w:val="auto"/>
        </w:rPr>
        <w:t>While the impact of COVID-19 continued to present challenges and uncertainty, our executive team was able to execute effectively in a fluid environment. We reported nearly $21 billion in revenue, with significant improvement in Earnings Per share (“EPS”) and Return on Invested Capital (“ROIC”). We reported significantly improved results in most of our major markets, and continued our progression toward pre-pandemic performance levels. Once again, we enjoyed strong cash flow, which enabled us to increase our dividend, and to continue our return of cash to shareholders. Leadership also progressed our objective of rebalancing our operations toward more profitable businesses, including the acquisition of ettain group, and the disposition of smaller country operations with less favorable returns.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2021 Key Committee Actions</w:t>
      </w:r>
    </w:p>
    <w:p>
      <w:pPr>
        <w:spacing w:after="0" w:line="77" w:lineRule="exact"/>
        <w:rPr>
          <w:sz w:val="20"/>
          <w:szCs w:val="20"/>
          <w:color w:val="auto"/>
        </w:rPr>
      </w:pPr>
    </w:p>
    <w:p>
      <w:pPr>
        <w:ind w:left="180" w:right="340"/>
        <w:spacing w:after="0" w:line="237" w:lineRule="auto"/>
        <w:rPr>
          <w:sz w:val="20"/>
          <w:szCs w:val="20"/>
          <w:color w:val="auto"/>
        </w:rPr>
      </w:pPr>
      <w:r>
        <w:rPr>
          <w:rFonts w:ascii="Arial" w:cs="Arial" w:eastAsia="Arial" w:hAnsi="Arial"/>
          <w:sz w:val="15"/>
          <w:szCs w:val="15"/>
          <w:color w:val="auto"/>
        </w:rPr>
        <w:t>During this time, the Committee adhered to its guiding principles, including its commitment to being market competitive in executive compensation and aligning pay with performance. The Committee took a number of important actions during 2021 to enhance the executive compensation program, including:</w:t>
      </w:r>
    </w:p>
    <w:p>
      <w:pPr>
        <w:spacing w:after="0" w:line="221" w:lineRule="exact"/>
        <w:rPr>
          <w:sz w:val="20"/>
          <w:szCs w:val="20"/>
          <w:color w:val="auto"/>
        </w:rPr>
      </w:pPr>
    </w:p>
    <w:p>
      <w:pPr>
        <w:ind w:left="580" w:right="340" w:hanging="195"/>
        <w:spacing w:after="0" w:line="237" w:lineRule="auto"/>
        <w:tabs>
          <w:tab w:leader="none" w:pos="5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Set financial goals for 2021 short-term compensation that reflected the changed economic environment, and that increased the weighting of individual executive key performance indicators (“KPIs”).</w:t>
      </w:r>
    </w:p>
    <w:p>
      <w:pPr>
        <w:spacing w:after="0" w:line="60" w:lineRule="exact"/>
        <w:rPr>
          <w:rFonts w:ascii="Arial" w:cs="Arial" w:eastAsia="Arial" w:hAnsi="Arial"/>
          <w:sz w:val="15"/>
          <w:szCs w:val="15"/>
          <w:color w:val="auto"/>
        </w:rPr>
      </w:pPr>
    </w:p>
    <w:p>
      <w:pPr>
        <w:ind w:left="580" w:hanging="195"/>
        <w:spacing w:after="0"/>
        <w:tabs>
          <w:tab w:leader="none" w:pos="5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Modernized its compensation philosophy to better reflect the Company’s values.</w:t>
      </w:r>
    </w:p>
    <w:p>
      <w:pPr>
        <w:spacing w:after="0" w:line="68" w:lineRule="exact"/>
        <w:rPr>
          <w:rFonts w:ascii="Arial" w:cs="Arial" w:eastAsia="Arial" w:hAnsi="Arial"/>
          <w:sz w:val="15"/>
          <w:szCs w:val="15"/>
          <w:color w:val="auto"/>
        </w:rPr>
      </w:pPr>
    </w:p>
    <w:p>
      <w:pPr>
        <w:ind w:left="580" w:hanging="195"/>
        <w:spacing w:after="0"/>
        <w:tabs>
          <w:tab w:leader="none" w:pos="5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Made no adjustments to short-term or long-term financial metrics that had been set in early 2020, before the onset of the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69297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24</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104775</wp:posOffset>
            </wp:positionV>
            <wp:extent cx="6934200" cy="55581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34200" cy="5558155"/>
                    </a:xfrm>
                    <a:prstGeom prst="rect">
                      <a:avLst/>
                    </a:prstGeom>
                    <a:noFill/>
                  </pic:spPr>
                </pic:pic>
              </a:graphicData>
            </a:graphic>
          </wp:anchor>
        </w:drawing>
      </w:r>
    </w:p>
    <w:p>
      <w:pPr>
        <w:spacing w:after="0" w:line="332" w:lineRule="exact"/>
        <w:rPr>
          <w:sz w:val="20"/>
          <w:szCs w:val="20"/>
          <w:color w:val="auto"/>
        </w:rPr>
      </w:pPr>
    </w:p>
    <w:p>
      <w:pPr>
        <w:jc w:val="both"/>
        <w:ind w:left="400" w:right="400" w:hanging="195"/>
        <w:spacing w:after="0" w:line="232" w:lineRule="auto"/>
        <w:tabs>
          <w:tab w:leader="none" w:pos="4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Given the difficulty setting long-term performance targets in light of pandemic-era uncertainty, shortened the financial performance period to one year for the 2021 annual grant of Performance Share Units (“PSUs”) (but preserved the three-year vesting period and KPI modifier period). Returned to a three-year performance period for the 2022 annual grant.</w:t>
      </w:r>
    </w:p>
    <w:p>
      <w:pPr>
        <w:spacing w:after="0" w:line="61" w:lineRule="exact"/>
        <w:rPr>
          <w:rFonts w:ascii="Arial" w:cs="Arial" w:eastAsia="Arial" w:hAnsi="Arial"/>
          <w:sz w:val="15"/>
          <w:szCs w:val="15"/>
          <w:color w:val="auto"/>
        </w:rPr>
      </w:pPr>
    </w:p>
    <w:p>
      <w:pPr>
        <w:ind w:left="400" w:hanging="195"/>
        <w:spacing w:after="0"/>
        <w:tabs>
          <w:tab w:leader="none" w:pos="4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For PSU awards starting in 2021, reduced the threshold payout level from 50% to 0%.</w:t>
      </w:r>
    </w:p>
    <w:p>
      <w:pPr>
        <w:spacing w:after="0" w:line="68" w:lineRule="exact"/>
        <w:rPr>
          <w:rFonts w:ascii="Arial" w:cs="Arial" w:eastAsia="Arial" w:hAnsi="Arial"/>
          <w:sz w:val="15"/>
          <w:szCs w:val="15"/>
          <w:color w:val="auto"/>
        </w:rPr>
      </w:pPr>
    </w:p>
    <w:p>
      <w:pPr>
        <w:ind w:left="400" w:right="420" w:hanging="195"/>
        <w:spacing w:after="0" w:line="237" w:lineRule="auto"/>
        <w:tabs>
          <w:tab w:leader="none" w:pos="4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Additionally, the Committee made several changes that will impact executive compensation in 2022 and beyond, including the development of a new compensation peer group and the elimination of stock options as an element of executive pay.</w:t>
      </w:r>
    </w:p>
    <w:p>
      <w:pPr>
        <w:spacing w:after="0" w:line="114" w:lineRule="exact"/>
        <w:rPr>
          <w:sz w:val="20"/>
          <w:szCs w:val="20"/>
          <w:color w:val="auto"/>
        </w:rPr>
      </w:pPr>
    </w:p>
    <w:p>
      <w:pPr>
        <w:ind w:right="200"/>
        <w:spacing w:after="0" w:line="227" w:lineRule="auto"/>
        <w:rPr>
          <w:sz w:val="20"/>
          <w:szCs w:val="20"/>
          <w:color w:val="auto"/>
        </w:rPr>
      </w:pPr>
      <w:r>
        <w:rPr>
          <w:rFonts w:ascii="Arial" w:cs="Arial" w:eastAsia="Arial" w:hAnsi="Arial"/>
          <w:sz w:val="15"/>
          <w:szCs w:val="15"/>
          <w:color w:val="auto"/>
        </w:rPr>
        <w:t>As previously reported, the onset of the pandemic in early 2020 disrupted the Committee’s normal target-setting process, making the performance targets set in February 2020 for the 2020-2022 PSU cycle obsolete shortly after their adoption. The Committee elected not to modify or adjust the awards that had been granted in 2020, even though the ultimate financial targets appeared unachievable throughout 2020 based on the COVID-impaired performance of the Company. Instead, the Committee took action in February 2021 and, recognizing the importance of proper incentivization for the executive team for the remainder of the 2020-2022 PSU cycle, made a one-time special PSU grant in February 2021 with a two-year performance and vesting period. This grant reflected more achievable operating profit margin targets for 2021 and 2022, the remaining two years of the 2020 grant cycle, and was sized at approximately two-thirds of the 2020 PSU grant value. It is referred to in this CD&amp;A as the 2021 Special Grant.</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5D89B4"/>
        </w:rPr>
        <w:t>Annual Incentive Payouts for 2021</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6"/>
          <w:szCs w:val="16"/>
          <w:color w:val="5D89B4"/>
        </w:rPr>
        <w:t>Consistent with prior years, the Committee set key financial performance metrics in mid-February 2021, as summarized below.</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080" w:type="dxa"/>
            <w:vAlign w:val="bottom"/>
            <w:tcBorders>
              <w:right w:val="single" w:sz="8" w:color="5D89B4"/>
            </w:tcBorders>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EPS</w:t>
            </w:r>
            <w:r>
              <w:rPr>
                <w:rFonts w:ascii="Arial" w:cs="Arial" w:eastAsia="Arial" w:hAnsi="Arial"/>
                <w:sz w:val="14"/>
                <w:szCs w:val="14"/>
                <w:color w:val="auto"/>
              </w:rPr>
              <w:t xml:space="preserve"> – Designed to focus our executives on</w:t>
            </w:r>
          </w:p>
        </w:tc>
        <w:tc>
          <w:tcPr>
            <w:tcW w:w="4320" w:type="dxa"/>
            <w:vAlign w:val="bottom"/>
            <w:tcBorders>
              <w:right w:val="single" w:sz="8" w:color="5D89B4"/>
            </w:tcBorders>
          </w:tcPr>
          <w:p>
            <w:pPr>
              <w:ind w:left="2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ROIC</w:t>
            </w:r>
            <w:r>
              <w:rPr>
                <w:rFonts w:ascii="Arial" w:cs="Arial" w:eastAsia="Arial" w:hAnsi="Arial"/>
                <w:sz w:val="14"/>
                <w:szCs w:val="14"/>
                <w:color w:val="auto"/>
              </w:rPr>
              <w:t xml:space="preserve"> – Even though we operate in the services industry, our</w:t>
            </w:r>
          </w:p>
        </w:tc>
        <w:tc>
          <w:tcPr>
            <w:tcW w:w="2780" w:type="dxa"/>
            <w:vAlign w:val="bottom"/>
          </w:tcPr>
          <w:p>
            <w:pPr>
              <w:ind w:left="2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Revenue</w:t>
            </w:r>
            <w:r>
              <w:rPr>
                <w:rFonts w:ascii="Arial" w:cs="Arial" w:eastAsia="Arial" w:hAnsi="Arial"/>
                <w:sz w:val="14"/>
                <w:szCs w:val="14"/>
                <w:color w:val="auto"/>
              </w:rPr>
              <w:t xml:space="preserve"> – We believe Revenue is a</w:t>
            </w:r>
          </w:p>
        </w:tc>
      </w:tr>
      <w:tr>
        <w:trPr>
          <w:trHeight w:val="160"/>
        </w:trPr>
        <w:tc>
          <w:tcPr>
            <w:tcW w:w="3080" w:type="dxa"/>
            <w:vAlign w:val="bottom"/>
            <w:tcBorders>
              <w:right w:val="single" w:sz="8" w:color="5D89B4"/>
            </w:tcBorders>
          </w:tcPr>
          <w:p>
            <w:pPr>
              <w:ind w:left="180"/>
              <w:spacing w:after="0"/>
              <w:rPr>
                <w:sz w:val="20"/>
                <w:szCs w:val="20"/>
                <w:color w:val="auto"/>
              </w:rPr>
            </w:pPr>
            <w:r>
              <w:rPr>
                <w:rFonts w:ascii="Arial" w:cs="Arial" w:eastAsia="Arial" w:hAnsi="Arial"/>
                <w:sz w:val="14"/>
                <w:szCs w:val="14"/>
                <w:color w:val="auto"/>
              </w:rPr>
              <w:t>producing financial results that align with</w:t>
            </w:r>
          </w:p>
        </w:tc>
        <w:tc>
          <w:tcPr>
            <w:tcW w:w="4320" w:type="dxa"/>
            <w:vAlign w:val="bottom"/>
            <w:tcBorders>
              <w:right w:val="single" w:sz="8" w:color="5D89B4"/>
            </w:tcBorders>
          </w:tcPr>
          <w:p>
            <w:pPr>
              <w:ind w:left="360"/>
              <w:spacing w:after="0"/>
              <w:rPr>
                <w:sz w:val="20"/>
                <w:szCs w:val="20"/>
                <w:color w:val="auto"/>
              </w:rPr>
            </w:pPr>
            <w:r>
              <w:rPr>
                <w:rFonts w:ascii="Arial" w:cs="Arial" w:eastAsia="Arial" w:hAnsi="Arial"/>
                <w:sz w:val="14"/>
                <w:szCs w:val="14"/>
                <w:color w:val="auto"/>
              </w:rPr>
              <w:t>business is capital intensive. We must pay our associates</w:t>
            </w:r>
          </w:p>
        </w:tc>
        <w:tc>
          <w:tcPr>
            <w:tcW w:w="2780" w:type="dxa"/>
            <w:vAlign w:val="bottom"/>
          </w:tcPr>
          <w:p>
            <w:pPr>
              <w:ind w:left="380"/>
              <w:spacing w:after="0"/>
              <w:rPr>
                <w:sz w:val="20"/>
                <w:szCs w:val="20"/>
                <w:color w:val="auto"/>
              </w:rPr>
            </w:pPr>
            <w:r>
              <w:rPr>
                <w:rFonts w:ascii="Arial" w:cs="Arial" w:eastAsia="Arial" w:hAnsi="Arial"/>
                <w:sz w:val="14"/>
                <w:szCs w:val="14"/>
                <w:color w:val="auto"/>
              </w:rPr>
              <w:t>key metric as it keeps executives</w:t>
            </w:r>
          </w:p>
        </w:tc>
      </w:tr>
      <w:tr>
        <w:trPr>
          <w:trHeight w:val="160"/>
        </w:trPr>
        <w:tc>
          <w:tcPr>
            <w:tcW w:w="3080" w:type="dxa"/>
            <w:vAlign w:val="bottom"/>
            <w:tcBorders>
              <w:right w:val="single" w:sz="8" w:color="5D89B4"/>
            </w:tcBorders>
          </w:tcPr>
          <w:p>
            <w:pPr>
              <w:ind w:left="180"/>
              <w:spacing w:after="0"/>
              <w:rPr>
                <w:sz w:val="20"/>
                <w:szCs w:val="20"/>
                <w:color w:val="auto"/>
              </w:rPr>
            </w:pPr>
            <w:r>
              <w:rPr>
                <w:rFonts w:ascii="Arial" w:cs="Arial" w:eastAsia="Arial" w:hAnsi="Arial"/>
                <w:sz w:val="14"/>
                <w:szCs w:val="14"/>
                <w:color w:val="auto"/>
              </w:rPr>
              <w:t>shareholder interest. We consider this</w:t>
            </w:r>
          </w:p>
        </w:tc>
        <w:tc>
          <w:tcPr>
            <w:tcW w:w="4320" w:type="dxa"/>
            <w:vAlign w:val="bottom"/>
            <w:tcBorders>
              <w:right w:val="single" w:sz="8" w:color="5D89B4"/>
            </w:tcBorders>
          </w:tcPr>
          <w:p>
            <w:pPr>
              <w:ind w:left="360"/>
              <w:spacing w:after="0"/>
              <w:rPr>
                <w:sz w:val="20"/>
                <w:szCs w:val="20"/>
                <w:color w:val="auto"/>
              </w:rPr>
            </w:pPr>
            <w:r>
              <w:rPr>
                <w:rFonts w:ascii="Arial" w:cs="Arial" w:eastAsia="Arial" w:hAnsi="Arial"/>
                <w:sz w:val="14"/>
                <w:szCs w:val="14"/>
                <w:color w:val="auto"/>
              </w:rPr>
              <w:t>and consultants before we typically bill and collect from our</w:t>
            </w:r>
          </w:p>
        </w:tc>
        <w:tc>
          <w:tcPr>
            <w:tcW w:w="2780" w:type="dxa"/>
            <w:vAlign w:val="bottom"/>
          </w:tcPr>
          <w:p>
            <w:pPr>
              <w:ind w:left="380"/>
              <w:spacing w:after="0"/>
              <w:rPr>
                <w:sz w:val="20"/>
                <w:szCs w:val="20"/>
                <w:color w:val="auto"/>
              </w:rPr>
            </w:pPr>
            <w:r>
              <w:rPr>
                <w:rFonts w:ascii="Arial" w:cs="Arial" w:eastAsia="Arial" w:hAnsi="Arial"/>
                <w:sz w:val="14"/>
                <w:szCs w:val="14"/>
                <w:color w:val="auto"/>
              </w:rPr>
              <w:t>focused on top-line growth, in addition</w:t>
            </w:r>
          </w:p>
        </w:tc>
      </w:tr>
      <w:tr>
        <w:trPr>
          <w:trHeight w:val="160"/>
        </w:trPr>
        <w:tc>
          <w:tcPr>
            <w:tcW w:w="3080" w:type="dxa"/>
            <w:vAlign w:val="bottom"/>
            <w:tcBorders>
              <w:right w:val="single" w:sz="8" w:color="5D89B4"/>
            </w:tcBorders>
          </w:tcPr>
          <w:p>
            <w:pPr>
              <w:ind w:left="180"/>
              <w:spacing w:after="0"/>
              <w:rPr>
                <w:sz w:val="20"/>
                <w:szCs w:val="20"/>
                <w:color w:val="auto"/>
              </w:rPr>
            </w:pPr>
            <w:r>
              <w:rPr>
                <w:rFonts w:ascii="Arial" w:cs="Arial" w:eastAsia="Arial" w:hAnsi="Arial"/>
                <w:sz w:val="14"/>
                <w:szCs w:val="14"/>
                <w:color w:val="auto"/>
              </w:rPr>
              <w:t>metric a critical measure of executive</w:t>
            </w:r>
          </w:p>
        </w:tc>
        <w:tc>
          <w:tcPr>
            <w:tcW w:w="4320" w:type="dxa"/>
            <w:vAlign w:val="bottom"/>
            <w:tcBorders>
              <w:right w:val="single" w:sz="8" w:color="5D89B4"/>
            </w:tcBorders>
          </w:tcPr>
          <w:p>
            <w:pPr>
              <w:ind w:left="360"/>
              <w:spacing w:after="0"/>
              <w:rPr>
                <w:sz w:val="20"/>
                <w:szCs w:val="20"/>
                <w:color w:val="auto"/>
              </w:rPr>
            </w:pPr>
            <w:r>
              <w:rPr>
                <w:rFonts w:ascii="Arial" w:cs="Arial" w:eastAsia="Arial" w:hAnsi="Arial"/>
                <w:sz w:val="14"/>
                <w:szCs w:val="14"/>
                <w:color w:val="auto"/>
              </w:rPr>
              <w:t>clients. ROIC measures how efficiently we are converting</w:t>
            </w:r>
          </w:p>
        </w:tc>
        <w:tc>
          <w:tcPr>
            <w:tcW w:w="2780" w:type="dxa"/>
            <w:vAlign w:val="bottom"/>
          </w:tcPr>
          <w:p>
            <w:pPr>
              <w:ind w:left="380"/>
              <w:spacing w:after="0"/>
              <w:rPr>
                <w:sz w:val="20"/>
                <w:szCs w:val="20"/>
                <w:color w:val="auto"/>
              </w:rPr>
            </w:pPr>
            <w:r>
              <w:rPr>
                <w:rFonts w:ascii="Arial" w:cs="Arial" w:eastAsia="Arial" w:hAnsi="Arial"/>
                <w:sz w:val="14"/>
                <w:szCs w:val="14"/>
                <w:color w:val="auto"/>
              </w:rPr>
              <w:t>to profitability.</w:t>
            </w:r>
          </w:p>
        </w:tc>
      </w:tr>
      <w:tr>
        <w:trPr>
          <w:trHeight w:val="156"/>
        </w:trPr>
        <w:tc>
          <w:tcPr>
            <w:tcW w:w="3080" w:type="dxa"/>
            <w:vAlign w:val="bottom"/>
            <w:tcBorders>
              <w:right w:val="single" w:sz="8" w:color="5D89B4"/>
            </w:tcBorders>
          </w:tcPr>
          <w:p>
            <w:pPr>
              <w:ind w:left="180"/>
              <w:spacing w:after="0" w:line="156" w:lineRule="exact"/>
              <w:rPr>
                <w:sz w:val="20"/>
                <w:szCs w:val="20"/>
                <w:color w:val="auto"/>
              </w:rPr>
            </w:pPr>
            <w:r>
              <w:rPr>
                <w:rFonts w:ascii="Arial" w:cs="Arial" w:eastAsia="Arial" w:hAnsi="Arial"/>
                <w:sz w:val="14"/>
                <w:szCs w:val="14"/>
                <w:color w:val="auto"/>
              </w:rPr>
              <w:t>performance.</w:t>
            </w:r>
          </w:p>
        </w:tc>
        <w:tc>
          <w:tcPr>
            <w:tcW w:w="4320" w:type="dxa"/>
            <w:vAlign w:val="bottom"/>
            <w:tcBorders>
              <w:right w:val="single" w:sz="8" w:color="5D89B4"/>
            </w:tcBorders>
          </w:tcPr>
          <w:p>
            <w:pPr>
              <w:ind w:left="360"/>
              <w:spacing w:after="0" w:line="156" w:lineRule="exact"/>
              <w:rPr>
                <w:sz w:val="20"/>
                <w:szCs w:val="20"/>
                <w:color w:val="auto"/>
              </w:rPr>
            </w:pPr>
            <w:r>
              <w:rPr>
                <w:rFonts w:ascii="Arial" w:cs="Arial" w:eastAsia="Arial" w:hAnsi="Arial"/>
                <w:sz w:val="14"/>
                <w:szCs w:val="14"/>
                <w:color w:val="auto"/>
              </w:rPr>
              <w:t>our services into cash.</w:t>
            </w:r>
          </w:p>
        </w:tc>
        <w:tc>
          <w:tcPr>
            <w:tcW w:w="2780" w:type="dxa"/>
            <w:vAlign w:val="bottom"/>
          </w:tcPr>
          <w:p>
            <w:pPr>
              <w:spacing w:after="0"/>
              <w:rPr>
                <w:sz w:val="13"/>
                <w:szCs w:val="13"/>
                <w:color w:val="auto"/>
              </w:rPr>
            </w:pPr>
          </w:p>
        </w:tc>
      </w:tr>
    </w:tbl>
    <w:p>
      <w:pPr>
        <w:spacing w:after="0" w:line="197" w:lineRule="exact"/>
        <w:rPr>
          <w:sz w:val="20"/>
          <w:szCs w:val="20"/>
          <w:color w:val="auto"/>
        </w:rPr>
      </w:pPr>
    </w:p>
    <w:p>
      <w:pPr>
        <w:ind w:left="220"/>
        <w:spacing w:after="0"/>
        <w:rPr>
          <w:sz w:val="20"/>
          <w:szCs w:val="20"/>
          <w:color w:val="auto"/>
        </w:rPr>
      </w:pPr>
      <w:r>
        <w:rPr>
          <w:rFonts w:ascii="Arial" w:cs="Arial" w:eastAsia="Arial" w:hAnsi="Arial"/>
          <w:sz w:val="15"/>
          <w:szCs w:val="15"/>
          <w:color w:val="5D89B4"/>
        </w:rPr>
        <w:t>Additionally, the Committee set KPIs for executives based on individual operating objectives.</w:t>
      </w:r>
    </w:p>
    <w:p>
      <w:pPr>
        <w:spacing w:after="0" w:line="108" w:lineRule="exact"/>
        <w:rPr>
          <w:sz w:val="20"/>
          <w:szCs w:val="20"/>
          <w:color w:val="auto"/>
        </w:rPr>
      </w:pPr>
    </w:p>
    <w:p>
      <w:pPr>
        <w:ind w:left="220" w:right="680"/>
        <w:spacing w:after="0" w:line="237" w:lineRule="auto"/>
        <w:rPr>
          <w:sz w:val="20"/>
          <w:szCs w:val="20"/>
          <w:color w:val="auto"/>
        </w:rPr>
      </w:pPr>
      <w:r>
        <w:rPr>
          <w:rFonts w:ascii="Arial" w:cs="Arial" w:eastAsia="Arial" w:hAnsi="Arial"/>
          <w:sz w:val="15"/>
          <w:szCs w:val="15"/>
          <w:color w:val="auto"/>
        </w:rPr>
        <w:t>The financial metrics were achieved at the outstanding levels for EPS, ROIC and Revenue, and these, combined with individual KPIs, were used to determine the individual payouts for the NEOs.</w:t>
      </w:r>
    </w:p>
    <w:p>
      <w:pPr>
        <w:spacing w:after="0" w:line="200" w:lineRule="exact"/>
        <w:rPr>
          <w:sz w:val="20"/>
          <w:szCs w:val="20"/>
          <w:color w:val="auto"/>
        </w:rPr>
      </w:pPr>
    </w:p>
    <w:p>
      <w:pPr>
        <w:spacing w:after="0" w:line="370"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5D89B4"/>
        </w:rPr>
        <w:t>Long-Term Incentive Payouts for 2021</w:t>
      </w:r>
    </w:p>
    <w:p>
      <w:pPr>
        <w:spacing w:after="0" w:line="157" w:lineRule="exact"/>
        <w:rPr>
          <w:sz w:val="20"/>
          <w:szCs w:val="20"/>
          <w:color w:val="auto"/>
        </w:rPr>
      </w:pPr>
    </w:p>
    <w:p>
      <w:pPr>
        <w:jc w:val="center"/>
        <w:ind w:right="160"/>
        <w:spacing w:after="0" w:line="256" w:lineRule="auto"/>
        <w:rPr>
          <w:sz w:val="20"/>
          <w:szCs w:val="20"/>
          <w:color w:val="auto"/>
        </w:rPr>
      </w:pPr>
      <w:r>
        <w:rPr>
          <w:rFonts w:ascii="Arial" w:cs="Arial" w:eastAsia="Arial" w:hAnsi="Arial"/>
          <w:sz w:val="16"/>
          <w:szCs w:val="16"/>
          <w:color w:val="5D89B4"/>
        </w:rPr>
        <w:t>The pandemic has had a significant adverse impact on our profit margins. This resulted in a sizeable decline in Operating Profit Margin Percent (“OPMP”) in 2020 and 2021, significantly below the level of the preceding years.</w:t>
      </w:r>
    </w:p>
    <w:p>
      <w:pPr>
        <w:spacing w:after="0" w:line="87" w:lineRule="exact"/>
        <w:rPr>
          <w:sz w:val="20"/>
          <w:szCs w:val="20"/>
          <w:color w:val="auto"/>
        </w:rPr>
      </w:pPr>
    </w:p>
    <w:p>
      <w:pPr>
        <w:ind w:left="300" w:right="580" w:hanging="185"/>
        <w:spacing w:after="0" w:line="260" w:lineRule="auto"/>
        <w:tabs>
          <w:tab w:leader="none" w:pos="271"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PSUs </w:t>
      </w:r>
      <w:r>
        <w:rPr>
          <w:rFonts w:ascii="Arial" w:cs="Arial" w:eastAsia="Arial" w:hAnsi="Arial"/>
          <w:sz w:val="14"/>
          <w:szCs w:val="14"/>
          <w:color w:val="auto"/>
        </w:rPr>
        <w:t>represent the largest component of performance pay for our NEOs. There, our key performance metric is OPMP, which measures how efficiently our</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officers have deployed our operating resources to generate a profit. We believe using this metric drives a long-term focus on achieving sustainable profits, and it is the cornerstone of our long-term incentive plan.</w:t>
      </w:r>
    </w:p>
    <w:p>
      <w:pPr>
        <w:spacing w:after="0" w:line="209" w:lineRule="exact"/>
        <w:rPr>
          <w:sz w:val="20"/>
          <w:szCs w:val="20"/>
          <w:color w:val="auto"/>
        </w:rPr>
      </w:pPr>
    </w:p>
    <w:p>
      <w:pPr>
        <w:ind w:left="220" w:right="540"/>
        <w:spacing w:after="0" w:line="237" w:lineRule="auto"/>
        <w:rPr>
          <w:sz w:val="20"/>
          <w:szCs w:val="20"/>
          <w:color w:val="auto"/>
        </w:rPr>
      </w:pPr>
      <w:r>
        <w:rPr>
          <w:rFonts w:ascii="Arial" w:cs="Arial" w:eastAsia="Arial" w:hAnsi="Arial"/>
          <w:sz w:val="15"/>
          <w:szCs w:val="15"/>
          <w:color w:val="auto"/>
        </w:rPr>
        <w:t>This level of OPMP performance in 2020 and 2021, when measured against the OPMP benchmarks set by the Committee in February 2019, resulted in a payout percentage for the PSU awards for the 2019-2021 performance cycle that was only slightly above the threshold level.</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significant reduction in OPMP will also continue to have an adverse impact on outstanding PSU awards granted before the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504190</wp:posOffset>
            </wp:positionV>
            <wp:extent cx="69297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80"/>
        <w:spacing w:after="0"/>
        <w:tabs>
          <w:tab w:leader="none" w:pos="5820" w:val="left"/>
        </w:tabs>
        <w:rPr>
          <w:sz w:val="20"/>
          <w:szCs w:val="20"/>
          <w:color w:val="auto"/>
        </w:rPr>
      </w:pPr>
      <w:r>
        <w:rPr>
          <w:rFonts w:ascii="Arial" w:cs="Arial" w:eastAsia="Arial" w:hAnsi="Arial"/>
          <w:sz w:val="20"/>
          <w:szCs w:val="20"/>
          <w:b w:val="1"/>
          <w:bCs w:val="1"/>
          <w:color w:val="5D89B4"/>
        </w:rPr>
        <w:t>25</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-117475</wp:posOffset>
            </wp:positionV>
            <wp:extent cx="934085" cy="169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40"/>
          </w:cols>
          <w:pgMar w:left="660" w:top="1165" w:right="49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934200" cy="61950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34200" cy="6195060"/>
                    </a:xfrm>
                    <a:prstGeom prst="rect">
                      <a:avLst/>
                    </a:prstGeom>
                    <a:noFill/>
                  </pic:spPr>
                </pic:pic>
              </a:graphicData>
            </a:graphic>
          </wp:anchor>
        </w:drawing>
      </w:r>
    </w:p>
    <w:p>
      <w:pPr>
        <w:spacing w:after="0" w:line="313"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5D89B4"/>
        </w:rPr>
        <w:t>Annual Incentive Plan Metrics</w:t>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5D89B4"/>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2320"/>
        <w:spacing w:after="0" w:line="237" w:lineRule="auto"/>
        <w:rPr>
          <w:sz w:val="20"/>
          <w:szCs w:val="20"/>
          <w:color w:val="auto"/>
        </w:rPr>
      </w:pPr>
      <w:r>
        <w:rPr>
          <w:rFonts w:ascii="Arial" w:cs="Arial" w:eastAsia="Arial" w:hAnsi="Arial"/>
          <w:sz w:val="18"/>
          <w:szCs w:val="18"/>
          <w:color w:val="auto"/>
        </w:rPr>
        <w:t>Performance under the financial targets in the Annual Incentive Plan was at the outstanding level. For 2021, the Committee increased individual KPIs to a 30% weighting from 20%. The resulting AIP payout ranged from 174% to 178% of target for the NEOs.</w:t>
      </w:r>
    </w:p>
    <w:p>
      <w:pPr>
        <w:spacing w:after="0" w:line="26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5D89B4"/>
        </w:rPr>
        <w:t>PSU Performance Metric — Operating Profit Margin Percent</w:t>
      </w:r>
    </w:p>
    <w:p>
      <w:pPr>
        <w:spacing w:after="0" w:line="16"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5D89B4"/>
        </w:rPr>
        <w:t>(2019 - 2021 performance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2320" w:right="20"/>
        <w:spacing w:after="0" w:line="236" w:lineRule="auto"/>
        <w:rPr>
          <w:sz w:val="20"/>
          <w:szCs w:val="20"/>
          <w:color w:val="auto"/>
        </w:rPr>
      </w:pPr>
      <w:r>
        <w:rPr>
          <w:rFonts w:ascii="Arial" w:cs="Arial" w:eastAsia="Arial" w:hAnsi="Arial"/>
          <w:sz w:val="18"/>
          <w:szCs w:val="18"/>
          <w:color w:val="auto"/>
        </w:rPr>
        <w:t>The average OPMP for the 2019-2021 performance cycle was 2.85%. The 2019 grant cycle was the first time the Committee was eligible to increase or decrease this result based on strategic performance indicators. It elected not to apply a multiplier resulting in a payout percentage of 63%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69297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26</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9979"/>
          </w:cols>
          <w:pgMar w:left="480" w:top="1165"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Calculation of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-137795</wp:posOffset>
            </wp:positionV>
            <wp:extent cx="6934200" cy="49383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34200" cy="4938395"/>
                    </a:xfrm>
                    <a:prstGeom prst="rect">
                      <a:avLst/>
                    </a:prstGeom>
                    <a:noFill/>
                  </pic:spPr>
                </pic:pic>
              </a:graphicData>
            </a:graphic>
          </wp:anchor>
        </w:drawing>
      </w:r>
    </w:p>
    <w:p>
      <w:pPr>
        <w:spacing w:after="0" w:line="70" w:lineRule="exact"/>
        <w:rPr>
          <w:sz w:val="20"/>
          <w:szCs w:val="20"/>
          <w:color w:val="auto"/>
        </w:rPr>
      </w:pPr>
    </w:p>
    <w:p>
      <w:pPr>
        <w:ind w:right="380"/>
        <w:spacing w:after="0" w:line="237" w:lineRule="auto"/>
        <w:rPr>
          <w:sz w:val="20"/>
          <w:szCs w:val="20"/>
          <w:color w:val="auto"/>
        </w:rPr>
      </w:pPr>
      <w:r>
        <w:rPr>
          <w:rFonts w:ascii="Arial" w:cs="Arial" w:eastAsia="Arial" w:hAnsi="Arial"/>
          <w:sz w:val="15"/>
          <w:szCs w:val="15"/>
          <w:color w:val="auto"/>
        </w:rPr>
        <w:t>One of our principles is that NEO compensation should reward for the underlying performance of our business. As is our practice, the Committee, in adopting financial targets at the beginning of the 2021 performance year, determined that certain items should be excluded from our performance metrics:</w:t>
      </w:r>
    </w:p>
    <w:p>
      <w:pPr>
        <w:spacing w:after="0" w:line="127" w:lineRule="exact"/>
        <w:rPr>
          <w:sz w:val="20"/>
          <w:szCs w:val="20"/>
          <w:color w:val="auto"/>
        </w:rPr>
      </w:pPr>
    </w:p>
    <w:p>
      <w:pPr>
        <w:ind w:left="220" w:right="520" w:hanging="219"/>
        <w:spacing w:after="0" w:line="237" w:lineRule="auto"/>
        <w:tabs>
          <w:tab w:leader="none" w:pos="220" w:val="left"/>
        </w:tabs>
        <w:numPr>
          <w:ilvl w:val="0"/>
          <w:numId w:val="63"/>
        </w:numPr>
        <w:rPr>
          <w:rFonts w:ascii="Arial" w:cs="Arial" w:eastAsia="Arial" w:hAnsi="Arial"/>
          <w:sz w:val="15"/>
          <w:szCs w:val="15"/>
          <w:color w:val="auto"/>
        </w:rPr>
      </w:pPr>
      <w:r>
        <w:rPr>
          <w:rFonts w:ascii="Arial" w:cs="Arial" w:eastAsia="Arial" w:hAnsi="Arial"/>
          <w:sz w:val="15"/>
          <w:szCs w:val="15"/>
          <w:color w:val="5D89B4"/>
        </w:rPr>
        <w:t xml:space="preserve">Constant Currency. </w:t>
      </w:r>
      <w:r>
        <w:rPr>
          <w:rFonts w:ascii="Arial" w:cs="Arial" w:eastAsia="Arial" w:hAnsi="Arial"/>
          <w:sz w:val="15"/>
          <w:szCs w:val="15"/>
          <w:color w:val="000000"/>
        </w:rPr>
        <w:t>We eliminate the impact of changes in exchange rates for EPS, ROIC and Revenue. This allows us to better capture year-over-year</w:t>
      </w:r>
      <w:r>
        <w:rPr>
          <w:rFonts w:ascii="Arial" w:cs="Arial" w:eastAsia="Arial" w:hAnsi="Arial"/>
          <w:sz w:val="15"/>
          <w:szCs w:val="15"/>
          <w:color w:val="5D89B4"/>
        </w:rPr>
        <w:t xml:space="preserve"> </w:t>
      </w:r>
      <w:r>
        <w:rPr>
          <w:rFonts w:ascii="Arial" w:cs="Arial" w:eastAsia="Arial" w:hAnsi="Arial"/>
          <w:sz w:val="15"/>
          <w:szCs w:val="15"/>
          <w:color w:val="000000"/>
        </w:rPr>
        <w:t>changes in underlying performance.</w:t>
      </w:r>
    </w:p>
    <w:p>
      <w:pPr>
        <w:spacing w:after="0" w:line="60" w:lineRule="exact"/>
        <w:rPr>
          <w:rFonts w:ascii="Arial" w:cs="Arial" w:eastAsia="Arial" w:hAnsi="Arial"/>
          <w:sz w:val="15"/>
          <w:szCs w:val="15"/>
          <w:color w:val="auto"/>
        </w:rPr>
      </w:pPr>
    </w:p>
    <w:p>
      <w:pPr>
        <w:ind w:left="220" w:right="400" w:hanging="219"/>
        <w:spacing w:after="0" w:line="237" w:lineRule="auto"/>
        <w:tabs>
          <w:tab w:leader="none" w:pos="220" w:val="left"/>
        </w:tabs>
        <w:numPr>
          <w:ilvl w:val="0"/>
          <w:numId w:val="63"/>
        </w:numPr>
        <w:rPr>
          <w:rFonts w:ascii="Arial" w:cs="Arial" w:eastAsia="Arial" w:hAnsi="Arial"/>
          <w:sz w:val="15"/>
          <w:szCs w:val="15"/>
          <w:color w:val="auto"/>
        </w:rPr>
      </w:pPr>
      <w:r>
        <w:rPr>
          <w:rFonts w:ascii="Arial" w:cs="Arial" w:eastAsia="Arial" w:hAnsi="Arial"/>
          <w:sz w:val="15"/>
          <w:szCs w:val="15"/>
          <w:color w:val="5D89B4"/>
        </w:rPr>
        <w:t xml:space="preserve">Share Repurchases. </w:t>
      </w:r>
      <w:r>
        <w:rPr>
          <w:rFonts w:ascii="Arial" w:cs="Arial" w:eastAsia="Arial" w:hAnsi="Arial"/>
          <w:sz w:val="15"/>
          <w:szCs w:val="15"/>
          <w:color w:val="000000"/>
        </w:rPr>
        <w:t>We remove the benefit of share repurchases from our EPS calculation except to the extent necessary to offset dilution resulting from</w:t>
      </w:r>
      <w:r>
        <w:rPr>
          <w:rFonts w:ascii="Arial" w:cs="Arial" w:eastAsia="Arial" w:hAnsi="Arial"/>
          <w:sz w:val="15"/>
          <w:szCs w:val="15"/>
          <w:color w:val="5D89B4"/>
        </w:rPr>
        <w:t xml:space="preserve"> </w:t>
      </w:r>
      <w:r>
        <w:rPr>
          <w:rFonts w:ascii="Arial" w:cs="Arial" w:eastAsia="Arial" w:hAnsi="Arial"/>
          <w:sz w:val="15"/>
          <w:szCs w:val="15"/>
          <w:color w:val="000000"/>
        </w:rPr>
        <w:t>shares issued under our equity plans.</w:t>
      </w:r>
    </w:p>
    <w:p>
      <w:pPr>
        <w:spacing w:after="0" w:line="60" w:lineRule="exact"/>
        <w:rPr>
          <w:rFonts w:ascii="Arial" w:cs="Arial" w:eastAsia="Arial" w:hAnsi="Arial"/>
          <w:sz w:val="15"/>
          <w:szCs w:val="15"/>
          <w:color w:val="auto"/>
        </w:rPr>
      </w:pPr>
    </w:p>
    <w:p>
      <w:pPr>
        <w:ind w:left="220" w:right="220" w:hanging="219"/>
        <w:spacing w:after="0" w:line="237" w:lineRule="auto"/>
        <w:tabs>
          <w:tab w:leader="none" w:pos="220" w:val="left"/>
        </w:tabs>
        <w:numPr>
          <w:ilvl w:val="0"/>
          <w:numId w:val="63"/>
        </w:numPr>
        <w:rPr>
          <w:rFonts w:ascii="Arial" w:cs="Arial" w:eastAsia="Arial" w:hAnsi="Arial"/>
          <w:sz w:val="15"/>
          <w:szCs w:val="15"/>
          <w:color w:val="auto"/>
        </w:rPr>
      </w:pPr>
      <w:r>
        <w:rPr>
          <w:rFonts w:ascii="Arial" w:cs="Arial" w:eastAsia="Arial" w:hAnsi="Arial"/>
          <w:sz w:val="15"/>
          <w:szCs w:val="15"/>
          <w:color w:val="5D89B4"/>
        </w:rPr>
        <w:t xml:space="preserve">Restructuring Costs. </w:t>
      </w:r>
      <w:r>
        <w:rPr>
          <w:rFonts w:ascii="Arial" w:cs="Arial" w:eastAsia="Arial" w:hAnsi="Arial"/>
          <w:sz w:val="15"/>
          <w:szCs w:val="15"/>
          <w:color w:val="000000"/>
        </w:rPr>
        <w:t>We exclude restructuring costs from our EPS, ROIC and OPMP calculations, net of the savings related to these costs. This allows us to</w:t>
      </w:r>
      <w:r>
        <w:rPr>
          <w:rFonts w:ascii="Arial" w:cs="Arial" w:eastAsia="Arial" w:hAnsi="Arial"/>
          <w:sz w:val="15"/>
          <w:szCs w:val="15"/>
          <w:color w:val="5D89B4"/>
        </w:rPr>
        <w:t xml:space="preserve"> </w:t>
      </w:r>
      <w:r>
        <w:rPr>
          <w:rFonts w:ascii="Arial" w:cs="Arial" w:eastAsia="Arial" w:hAnsi="Arial"/>
          <w:sz w:val="15"/>
          <w:szCs w:val="15"/>
          <w:color w:val="000000"/>
        </w:rPr>
        <w:t>better reflect the Company’s performance for the year.</w:t>
      </w:r>
    </w:p>
    <w:p>
      <w:pPr>
        <w:spacing w:after="0" w:line="60" w:lineRule="exact"/>
        <w:rPr>
          <w:rFonts w:ascii="Arial" w:cs="Arial" w:eastAsia="Arial" w:hAnsi="Arial"/>
          <w:sz w:val="15"/>
          <w:szCs w:val="15"/>
          <w:color w:val="auto"/>
        </w:rPr>
      </w:pPr>
    </w:p>
    <w:p>
      <w:pPr>
        <w:ind w:left="220" w:right="720" w:hanging="219"/>
        <w:spacing w:after="0" w:line="237" w:lineRule="auto"/>
        <w:tabs>
          <w:tab w:leader="none" w:pos="220" w:val="left"/>
        </w:tabs>
        <w:numPr>
          <w:ilvl w:val="0"/>
          <w:numId w:val="63"/>
        </w:numPr>
        <w:rPr>
          <w:rFonts w:ascii="Arial" w:cs="Arial" w:eastAsia="Arial" w:hAnsi="Arial"/>
          <w:sz w:val="15"/>
          <w:szCs w:val="15"/>
          <w:color w:val="auto"/>
        </w:rPr>
      </w:pPr>
      <w:r>
        <w:rPr>
          <w:rFonts w:ascii="Arial" w:cs="Arial" w:eastAsia="Arial" w:hAnsi="Arial"/>
          <w:sz w:val="15"/>
          <w:szCs w:val="15"/>
          <w:color w:val="5D89B4"/>
        </w:rPr>
        <w:t xml:space="preserve">Goodwill Impairment. </w:t>
      </w:r>
      <w:r>
        <w:rPr>
          <w:rFonts w:ascii="Arial" w:cs="Arial" w:eastAsia="Arial" w:hAnsi="Arial"/>
          <w:sz w:val="15"/>
          <w:szCs w:val="15"/>
          <w:color w:val="000000"/>
        </w:rPr>
        <w:t>We exclude goodwill impairment charges from our EPS, ROIC and OPMP calculations. This, too, better reflects the Company’s</w:t>
      </w:r>
      <w:r>
        <w:rPr>
          <w:rFonts w:ascii="Arial" w:cs="Arial" w:eastAsia="Arial" w:hAnsi="Arial"/>
          <w:sz w:val="15"/>
          <w:szCs w:val="15"/>
          <w:color w:val="5D89B4"/>
        </w:rPr>
        <w:t xml:space="preserve"> </w:t>
      </w:r>
      <w:r>
        <w:rPr>
          <w:rFonts w:ascii="Arial" w:cs="Arial" w:eastAsia="Arial" w:hAnsi="Arial"/>
          <w:sz w:val="15"/>
          <w:szCs w:val="15"/>
          <w:color w:val="000000"/>
        </w:rPr>
        <w:t>performance for the year.</w:t>
      </w:r>
    </w:p>
    <w:p>
      <w:pPr>
        <w:spacing w:after="0" w:line="60" w:lineRule="exact"/>
        <w:rPr>
          <w:rFonts w:ascii="Arial" w:cs="Arial" w:eastAsia="Arial" w:hAnsi="Arial"/>
          <w:sz w:val="15"/>
          <w:szCs w:val="15"/>
          <w:color w:val="auto"/>
        </w:rPr>
      </w:pPr>
    </w:p>
    <w:p>
      <w:pPr>
        <w:ind w:left="220" w:right="120" w:hanging="219"/>
        <w:spacing w:after="0" w:line="237" w:lineRule="auto"/>
        <w:tabs>
          <w:tab w:leader="none" w:pos="220" w:val="left"/>
        </w:tabs>
        <w:numPr>
          <w:ilvl w:val="0"/>
          <w:numId w:val="63"/>
        </w:numPr>
        <w:rPr>
          <w:rFonts w:ascii="Arial" w:cs="Arial" w:eastAsia="Arial" w:hAnsi="Arial"/>
          <w:sz w:val="15"/>
          <w:szCs w:val="15"/>
          <w:color w:val="auto"/>
        </w:rPr>
      </w:pPr>
      <w:r>
        <w:rPr>
          <w:rFonts w:ascii="Arial" w:cs="Arial" w:eastAsia="Arial" w:hAnsi="Arial"/>
          <w:sz w:val="15"/>
          <w:szCs w:val="15"/>
          <w:color w:val="5D89B4"/>
        </w:rPr>
        <w:t xml:space="preserve">Other Non-Recurring Items. </w:t>
      </w:r>
      <w:r>
        <w:rPr>
          <w:rFonts w:ascii="Arial" w:cs="Arial" w:eastAsia="Arial" w:hAnsi="Arial"/>
          <w:sz w:val="15"/>
          <w:szCs w:val="15"/>
          <w:color w:val="000000"/>
        </w:rPr>
        <w:t>We exclude from EPS and OPMP certain items and any non-recurring accrual adjustments greater than $10 million. As explained</w:t>
      </w:r>
      <w:r>
        <w:rPr>
          <w:rFonts w:ascii="Arial" w:cs="Arial" w:eastAsia="Arial" w:hAnsi="Arial"/>
          <w:sz w:val="15"/>
          <w:szCs w:val="15"/>
          <w:color w:val="5D89B4"/>
        </w:rPr>
        <w:t xml:space="preserve"> </w:t>
      </w:r>
      <w:r>
        <w:rPr>
          <w:rFonts w:ascii="Arial" w:cs="Arial" w:eastAsia="Arial" w:hAnsi="Arial"/>
          <w:sz w:val="15"/>
          <w:szCs w:val="15"/>
          <w:color w:val="000000"/>
        </w:rPr>
        <w:t>above, excluding these items better reflects the Company’s performance during the year.</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impact of each of these items on our performance metrics for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80" w:type="dxa"/>
            <w:vAlign w:val="bottom"/>
            <w:shd w:val="clear" w:color="auto" w:fill="EAEAEA"/>
          </w:tcPr>
          <w:p>
            <w:pPr>
              <w:spacing w:after="0"/>
              <w:rPr>
                <w:sz w:val="15"/>
                <w:szCs w:val="15"/>
                <w:color w:val="auto"/>
              </w:rPr>
            </w:pPr>
          </w:p>
        </w:tc>
        <w:tc>
          <w:tcPr>
            <w:tcW w:w="480" w:type="dxa"/>
            <w:vAlign w:val="bottom"/>
            <w:shd w:val="clear" w:color="auto" w:fill="EAEAEA"/>
          </w:tcPr>
          <w:p>
            <w:pPr>
              <w:spacing w:after="0"/>
              <w:rPr>
                <w:sz w:val="15"/>
                <w:szCs w:val="15"/>
                <w:color w:val="auto"/>
              </w:rPr>
            </w:pPr>
          </w:p>
        </w:tc>
        <w:tc>
          <w:tcPr>
            <w:tcW w:w="740" w:type="dxa"/>
            <w:vAlign w:val="bottom"/>
            <w:shd w:val="clear" w:color="auto" w:fill="EAEAEA"/>
          </w:tcPr>
          <w:p>
            <w:pPr>
              <w:spacing w:after="0"/>
              <w:rPr>
                <w:sz w:val="15"/>
                <w:szCs w:val="15"/>
                <w:color w:val="auto"/>
              </w:rPr>
            </w:pPr>
          </w:p>
        </w:tc>
        <w:tc>
          <w:tcPr>
            <w:tcW w:w="360" w:type="dxa"/>
            <w:vAlign w:val="bottom"/>
            <w:shd w:val="clear" w:color="auto" w:fill="EAEAEA"/>
          </w:tcPr>
          <w:p>
            <w:pPr>
              <w:spacing w:after="0"/>
              <w:rPr>
                <w:sz w:val="15"/>
                <w:szCs w:val="15"/>
                <w:color w:val="auto"/>
              </w:rPr>
            </w:pPr>
          </w:p>
        </w:tc>
        <w:tc>
          <w:tcPr>
            <w:tcW w:w="820" w:type="dxa"/>
            <w:vAlign w:val="bottom"/>
            <w:shd w:val="clear" w:color="auto" w:fill="EAEAEA"/>
          </w:tcPr>
          <w:p>
            <w:pPr>
              <w:spacing w:after="0"/>
              <w:rPr>
                <w:sz w:val="15"/>
                <w:szCs w:val="15"/>
                <w:color w:val="auto"/>
              </w:rPr>
            </w:pPr>
          </w:p>
        </w:tc>
        <w:tc>
          <w:tcPr>
            <w:tcW w:w="320" w:type="dxa"/>
            <w:vAlign w:val="bottom"/>
            <w:shd w:val="clear" w:color="auto" w:fill="EAEAEA"/>
          </w:tcPr>
          <w:p>
            <w:pPr>
              <w:spacing w:after="0"/>
              <w:rPr>
                <w:sz w:val="15"/>
                <w:szCs w:val="15"/>
                <w:color w:val="auto"/>
              </w:rPr>
            </w:pPr>
          </w:p>
        </w:tc>
        <w:tc>
          <w:tcPr>
            <w:tcW w:w="980" w:type="dxa"/>
            <w:vAlign w:val="bottom"/>
            <w:shd w:val="clear" w:color="auto" w:fill="EAEAEA"/>
          </w:tcPr>
          <w:p>
            <w:pPr>
              <w:spacing w:after="0"/>
              <w:rPr>
                <w:sz w:val="15"/>
                <w:szCs w:val="15"/>
                <w:color w:val="auto"/>
              </w:rPr>
            </w:pPr>
          </w:p>
        </w:tc>
        <w:tc>
          <w:tcPr>
            <w:tcW w:w="500" w:type="dxa"/>
            <w:vAlign w:val="bottom"/>
            <w:shd w:val="clear" w:color="auto" w:fill="EAEAEA"/>
          </w:tcPr>
          <w:p>
            <w:pPr>
              <w:spacing w:after="0"/>
              <w:rPr>
                <w:sz w:val="15"/>
                <w:szCs w:val="15"/>
                <w:color w:val="auto"/>
              </w:rPr>
            </w:pPr>
          </w:p>
        </w:tc>
        <w:tc>
          <w:tcPr>
            <w:tcW w:w="1000" w:type="dxa"/>
            <w:vAlign w:val="bottom"/>
            <w:shd w:val="clear" w:color="auto" w:fill="EAEAEA"/>
          </w:tcPr>
          <w:p>
            <w:pPr>
              <w:spacing w:after="0"/>
              <w:rPr>
                <w:sz w:val="15"/>
                <w:szCs w:val="15"/>
                <w:color w:val="auto"/>
              </w:rPr>
            </w:pPr>
          </w:p>
        </w:tc>
        <w:tc>
          <w:tcPr>
            <w:tcW w:w="1100" w:type="dxa"/>
            <w:vAlign w:val="bottom"/>
            <w:shd w:val="clear" w:color="auto" w:fill="EAEAEA"/>
          </w:tcPr>
          <w:p>
            <w:pPr>
              <w:spacing w:after="0"/>
              <w:rPr>
                <w:sz w:val="15"/>
                <w:szCs w:val="15"/>
                <w:color w:val="auto"/>
              </w:rPr>
            </w:pPr>
          </w:p>
        </w:tc>
        <w:tc>
          <w:tcPr>
            <w:tcW w:w="30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220" w:type="dxa"/>
            <w:vAlign w:val="bottom"/>
            <w:shd w:val="clear" w:color="auto" w:fill="EAEAEA"/>
          </w:tcPr>
          <w:p>
            <w:pPr>
              <w:spacing w:after="0"/>
              <w:rPr>
                <w:sz w:val="15"/>
                <w:szCs w:val="15"/>
                <w:color w:val="auto"/>
              </w:rPr>
            </w:pPr>
          </w:p>
        </w:tc>
        <w:tc>
          <w:tcPr>
            <w:tcW w:w="1120" w:type="dxa"/>
            <w:vAlign w:val="bottom"/>
            <w:shd w:val="clear" w:color="auto" w:fill="EAEAEA"/>
          </w:tcPr>
          <w:p>
            <w:pPr>
              <w:jc w:val="right"/>
              <w:ind w:right="171"/>
              <w:spacing w:after="0"/>
              <w:rPr>
                <w:sz w:val="20"/>
                <w:szCs w:val="20"/>
                <w:color w:val="auto"/>
              </w:rPr>
            </w:pPr>
            <w:r>
              <w:rPr>
                <w:rFonts w:ascii="Arial" w:cs="Arial" w:eastAsia="Arial" w:hAnsi="Arial"/>
                <w:sz w:val="12"/>
                <w:szCs w:val="12"/>
                <w:b w:val="1"/>
                <w:bCs w:val="1"/>
                <w:color w:val="5D89B4"/>
              </w:rPr>
              <w:t>AS</w:t>
            </w:r>
          </w:p>
        </w:tc>
      </w:tr>
      <w:tr>
        <w:trPr>
          <w:trHeight w:val="134"/>
        </w:trPr>
        <w:tc>
          <w:tcPr>
            <w:tcW w:w="2080" w:type="dxa"/>
            <w:vAlign w:val="bottom"/>
            <w:shd w:val="clear" w:color="auto" w:fill="EAEAEA"/>
          </w:tcPr>
          <w:p>
            <w:pPr>
              <w:spacing w:after="0"/>
              <w:rPr>
                <w:sz w:val="11"/>
                <w:szCs w:val="11"/>
                <w:color w:val="auto"/>
              </w:rPr>
            </w:pPr>
          </w:p>
        </w:tc>
        <w:tc>
          <w:tcPr>
            <w:tcW w:w="480" w:type="dxa"/>
            <w:vAlign w:val="bottom"/>
            <w:shd w:val="clear" w:color="auto" w:fill="EAEAEA"/>
          </w:tcPr>
          <w:p>
            <w:pPr>
              <w:spacing w:after="0"/>
              <w:rPr>
                <w:sz w:val="11"/>
                <w:szCs w:val="11"/>
                <w:color w:val="auto"/>
              </w:rPr>
            </w:pPr>
          </w:p>
        </w:tc>
        <w:tc>
          <w:tcPr>
            <w:tcW w:w="740" w:type="dxa"/>
            <w:vAlign w:val="bottom"/>
            <w:shd w:val="clear" w:color="auto" w:fill="EAEAEA"/>
          </w:tcPr>
          <w:p>
            <w:pPr>
              <w:spacing w:after="0"/>
              <w:rPr>
                <w:sz w:val="11"/>
                <w:szCs w:val="11"/>
                <w:color w:val="auto"/>
              </w:rPr>
            </w:pPr>
          </w:p>
        </w:tc>
        <w:tc>
          <w:tcPr>
            <w:tcW w:w="360" w:type="dxa"/>
            <w:vAlign w:val="bottom"/>
            <w:shd w:val="clear" w:color="auto" w:fill="EAEAEA"/>
          </w:tcPr>
          <w:p>
            <w:pPr>
              <w:spacing w:after="0"/>
              <w:rPr>
                <w:sz w:val="11"/>
                <w:szCs w:val="11"/>
                <w:color w:val="auto"/>
              </w:rPr>
            </w:pPr>
          </w:p>
        </w:tc>
        <w:tc>
          <w:tcPr>
            <w:tcW w:w="820" w:type="dxa"/>
            <w:vAlign w:val="bottom"/>
            <w:shd w:val="clear" w:color="auto" w:fill="EAEAEA"/>
          </w:tcPr>
          <w:p>
            <w:pPr>
              <w:spacing w:after="0"/>
              <w:rPr>
                <w:sz w:val="11"/>
                <w:szCs w:val="11"/>
                <w:color w:val="auto"/>
              </w:rPr>
            </w:pPr>
          </w:p>
        </w:tc>
        <w:tc>
          <w:tcPr>
            <w:tcW w:w="320" w:type="dxa"/>
            <w:vAlign w:val="bottom"/>
            <w:shd w:val="clear" w:color="auto" w:fill="EAEAEA"/>
          </w:tcPr>
          <w:p>
            <w:pPr>
              <w:spacing w:after="0"/>
              <w:rPr>
                <w:sz w:val="11"/>
                <w:szCs w:val="11"/>
                <w:color w:val="auto"/>
              </w:rPr>
            </w:pPr>
          </w:p>
        </w:tc>
        <w:tc>
          <w:tcPr>
            <w:tcW w:w="980" w:type="dxa"/>
            <w:vAlign w:val="bottom"/>
            <w:shd w:val="clear" w:color="auto" w:fill="EAEAEA"/>
          </w:tcPr>
          <w:p>
            <w:pPr>
              <w:spacing w:after="0"/>
              <w:rPr>
                <w:sz w:val="11"/>
                <w:szCs w:val="11"/>
                <w:color w:val="auto"/>
              </w:rPr>
            </w:pPr>
          </w:p>
        </w:tc>
        <w:tc>
          <w:tcPr>
            <w:tcW w:w="50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1100" w:type="dxa"/>
            <w:vAlign w:val="bottom"/>
            <w:shd w:val="clear" w:color="auto" w:fill="EAEAEA"/>
          </w:tcPr>
          <w:p>
            <w:pPr>
              <w:spacing w:after="0"/>
              <w:rPr>
                <w:sz w:val="11"/>
                <w:szCs w:val="11"/>
                <w:color w:val="auto"/>
              </w:rPr>
            </w:pPr>
          </w:p>
        </w:tc>
        <w:tc>
          <w:tcPr>
            <w:tcW w:w="300" w:type="dxa"/>
            <w:vAlign w:val="bottom"/>
            <w:shd w:val="clear" w:color="auto" w:fill="EAEAEA"/>
          </w:tcPr>
          <w:p>
            <w:pPr>
              <w:spacing w:after="0"/>
              <w:rPr>
                <w:sz w:val="11"/>
                <w:szCs w:val="11"/>
                <w:color w:val="auto"/>
              </w:rPr>
            </w:pPr>
          </w:p>
        </w:tc>
        <w:tc>
          <w:tcPr>
            <w:tcW w:w="860" w:type="dxa"/>
            <w:vAlign w:val="bottom"/>
            <w:shd w:val="clear" w:color="auto" w:fill="EAEAEA"/>
          </w:tcPr>
          <w:p>
            <w:pPr>
              <w:jc w:val="right"/>
              <w:ind w:right="170"/>
              <w:spacing w:after="0" w:line="134" w:lineRule="exact"/>
              <w:rPr>
                <w:sz w:val="20"/>
                <w:szCs w:val="20"/>
                <w:color w:val="auto"/>
              </w:rPr>
            </w:pPr>
            <w:r>
              <w:rPr>
                <w:rFonts w:ascii="Arial" w:cs="Arial" w:eastAsia="Arial" w:hAnsi="Arial"/>
                <w:sz w:val="12"/>
                <w:szCs w:val="12"/>
                <w:b w:val="1"/>
                <w:bCs w:val="1"/>
                <w:color w:val="5D89B4"/>
              </w:rPr>
              <w:t>OTHER</w:t>
            </w:r>
          </w:p>
        </w:tc>
        <w:tc>
          <w:tcPr>
            <w:tcW w:w="220" w:type="dxa"/>
            <w:vAlign w:val="bottom"/>
            <w:shd w:val="clear" w:color="auto" w:fill="EAEAEA"/>
          </w:tcPr>
          <w:p>
            <w:pPr>
              <w:spacing w:after="0"/>
              <w:rPr>
                <w:sz w:val="11"/>
                <w:szCs w:val="11"/>
                <w:color w:val="auto"/>
              </w:rPr>
            </w:pPr>
          </w:p>
        </w:tc>
        <w:tc>
          <w:tcPr>
            <w:tcW w:w="1120" w:type="dxa"/>
            <w:vAlign w:val="bottom"/>
            <w:shd w:val="clear" w:color="auto" w:fill="EAEAEA"/>
          </w:tcPr>
          <w:p>
            <w:pPr>
              <w:jc w:val="right"/>
              <w:ind w:right="171"/>
              <w:spacing w:after="0" w:line="134" w:lineRule="exact"/>
              <w:rPr>
                <w:sz w:val="20"/>
                <w:szCs w:val="20"/>
                <w:color w:val="auto"/>
              </w:rPr>
            </w:pPr>
            <w:r>
              <w:rPr>
                <w:rFonts w:ascii="Arial" w:cs="Arial" w:eastAsia="Arial" w:hAnsi="Arial"/>
                <w:sz w:val="12"/>
                <w:szCs w:val="12"/>
                <w:b w:val="1"/>
                <w:bCs w:val="1"/>
                <w:color w:val="5D89B4"/>
              </w:rPr>
              <w:t>CALCULATED</w:t>
            </w:r>
          </w:p>
        </w:tc>
      </w:tr>
      <w:tr>
        <w:trPr>
          <w:trHeight w:val="134"/>
        </w:trPr>
        <w:tc>
          <w:tcPr>
            <w:tcW w:w="2080" w:type="dxa"/>
            <w:vAlign w:val="bottom"/>
            <w:shd w:val="clear" w:color="auto" w:fill="EAEAEA"/>
          </w:tcPr>
          <w:p>
            <w:pPr>
              <w:spacing w:after="0"/>
              <w:rPr>
                <w:sz w:val="11"/>
                <w:szCs w:val="11"/>
                <w:color w:val="auto"/>
              </w:rPr>
            </w:pPr>
          </w:p>
        </w:tc>
        <w:tc>
          <w:tcPr>
            <w:tcW w:w="480" w:type="dxa"/>
            <w:vAlign w:val="bottom"/>
            <w:shd w:val="clear" w:color="auto" w:fill="EAEAEA"/>
          </w:tcPr>
          <w:p>
            <w:pPr>
              <w:spacing w:after="0"/>
              <w:rPr>
                <w:sz w:val="11"/>
                <w:szCs w:val="11"/>
                <w:color w:val="auto"/>
              </w:rPr>
            </w:pPr>
          </w:p>
        </w:tc>
        <w:tc>
          <w:tcPr>
            <w:tcW w:w="740" w:type="dxa"/>
            <w:vAlign w:val="bottom"/>
            <w:shd w:val="clear" w:color="auto" w:fill="EAEAEA"/>
          </w:tcPr>
          <w:p>
            <w:pPr>
              <w:spacing w:after="0"/>
              <w:rPr>
                <w:sz w:val="11"/>
                <w:szCs w:val="11"/>
                <w:color w:val="auto"/>
              </w:rPr>
            </w:pPr>
          </w:p>
        </w:tc>
        <w:tc>
          <w:tcPr>
            <w:tcW w:w="1180" w:type="dxa"/>
            <w:vAlign w:val="bottom"/>
            <w:gridSpan w:val="2"/>
            <w:shd w:val="clear" w:color="auto" w:fill="EAEAEA"/>
          </w:tcPr>
          <w:p>
            <w:pPr>
              <w:jc w:val="right"/>
              <w:ind w:right="264"/>
              <w:spacing w:after="0" w:line="134" w:lineRule="exact"/>
              <w:rPr>
                <w:sz w:val="20"/>
                <w:szCs w:val="20"/>
                <w:color w:val="auto"/>
              </w:rPr>
            </w:pPr>
            <w:r>
              <w:rPr>
                <w:rFonts w:ascii="Arial" w:cs="Arial" w:eastAsia="Arial" w:hAnsi="Arial"/>
                <w:sz w:val="12"/>
                <w:szCs w:val="12"/>
                <w:b w:val="1"/>
                <w:bCs w:val="1"/>
                <w:color w:val="5D89B4"/>
              </w:rPr>
              <w:t>IMPACT OF</w:t>
            </w:r>
          </w:p>
        </w:tc>
        <w:tc>
          <w:tcPr>
            <w:tcW w:w="320" w:type="dxa"/>
            <w:vAlign w:val="bottom"/>
            <w:shd w:val="clear" w:color="auto" w:fill="EAEAEA"/>
          </w:tcPr>
          <w:p>
            <w:pPr>
              <w:spacing w:after="0"/>
              <w:rPr>
                <w:sz w:val="11"/>
                <w:szCs w:val="11"/>
                <w:color w:val="auto"/>
              </w:rPr>
            </w:pPr>
          </w:p>
        </w:tc>
        <w:tc>
          <w:tcPr>
            <w:tcW w:w="980" w:type="dxa"/>
            <w:vAlign w:val="bottom"/>
            <w:shd w:val="clear" w:color="auto" w:fill="EAEAEA"/>
          </w:tcPr>
          <w:p>
            <w:pPr>
              <w:jc w:val="right"/>
              <w:ind w:right="129"/>
              <w:spacing w:after="0" w:line="134" w:lineRule="exact"/>
              <w:rPr>
                <w:sz w:val="20"/>
                <w:szCs w:val="20"/>
                <w:color w:val="auto"/>
              </w:rPr>
            </w:pPr>
            <w:r>
              <w:rPr>
                <w:rFonts w:ascii="Arial" w:cs="Arial" w:eastAsia="Arial" w:hAnsi="Arial"/>
                <w:sz w:val="12"/>
                <w:szCs w:val="12"/>
                <w:b w:val="1"/>
                <w:bCs w:val="1"/>
                <w:color w:val="5D89B4"/>
              </w:rPr>
              <w:t>IMPACT OF</w:t>
            </w:r>
          </w:p>
        </w:tc>
        <w:tc>
          <w:tcPr>
            <w:tcW w:w="50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1100" w:type="dxa"/>
            <w:vAlign w:val="bottom"/>
            <w:shd w:val="clear" w:color="auto" w:fill="EAEAEA"/>
          </w:tcPr>
          <w:p>
            <w:pPr>
              <w:spacing w:after="0"/>
              <w:rPr>
                <w:sz w:val="11"/>
                <w:szCs w:val="11"/>
                <w:color w:val="auto"/>
              </w:rPr>
            </w:pPr>
          </w:p>
        </w:tc>
        <w:tc>
          <w:tcPr>
            <w:tcW w:w="300" w:type="dxa"/>
            <w:vAlign w:val="bottom"/>
            <w:shd w:val="clear" w:color="auto" w:fill="EAEAEA"/>
          </w:tcPr>
          <w:p>
            <w:pPr>
              <w:spacing w:after="0"/>
              <w:rPr>
                <w:sz w:val="11"/>
                <w:szCs w:val="11"/>
                <w:color w:val="auto"/>
              </w:rPr>
            </w:pPr>
          </w:p>
        </w:tc>
        <w:tc>
          <w:tcPr>
            <w:tcW w:w="860" w:type="dxa"/>
            <w:vAlign w:val="bottom"/>
            <w:shd w:val="clear" w:color="auto" w:fill="EAEAEA"/>
          </w:tcPr>
          <w:p>
            <w:pPr>
              <w:jc w:val="right"/>
              <w:ind w:right="170"/>
              <w:spacing w:after="0" w:line="134" w:lineRule="exact"/>
              <w:rPr>
                <w:sz w:val="20"/>
                <w:szCs w:val="20"/>
                <w:color w:val="auto"/>
              </w:rPr>
            </w:pPr>
            <w:r>
              <w:rPr>
                <w:rFonts w:ascii="Arial" w:cs="Arial" w:eastAsia="Arial" w:hAnsi="Arial"/>
                <w:sz w:val="12"/>
                <w:szCs w:val="12"/>
                <w:b w:val="1"/>
                <w:bCs w:val="1"/>
                <w:color w:val="5D89B4"/>
              </w:rPr>
              <w:t>NON-</w:t>
            </w:r>
          </w:p>
        </w:tc>
        <w:tc>
          <w:tcPr>
            <w:tcW w:w="220" w:type="dxa"/>
            <w:vAlign w:val="bottom"/>
            <w:shd w:val="clear" w:color="auto" w:fill="EAEAEA"/>
          </w:tcPr>
          <w:p>
            <w:pPr>
              <w:spacing w:after="0"/>
              <w:rPr>
                <w:sz w:val="11"/>
                <w:szCs w:val="11"/>
                <w:color w:val="auto"/>
              </w:rPr>
            </w:pPr>
          </w:p>
        </w:tc>
        <w:tc>
          <w:tcPr>
            <w:tcW w:w="1120" w:type="dxa"/>
            <w:vAlign w:val="bottom"/>
            <w:shd w:val="clear" w:color="auto" w:fill="EAEAEA"/>
          </w:tcPr>
          <w:p>
            <w:pPr>
              <w:jc w:val="right"/>
              <w:ind w:right="171"/>
              <w:spacing w:after="0" w:line="134" w:lineRule="exact"/>
              <w:rPr>
                <w:sz w:val="20"/>
                <w:szCs w:val="20"/>
                <w:color w:val="auto"/>
              </w:rPr>
            </w:pPr>
            <w:r>
              <w:rPr>
                <w:rFonts w:ascii="Arial" w:cs="Arial" w:eastAsia="Arial" w:hAnsi="Arial"/>
                <w:sz w:val="12"/>
                <w:szCs w:val="12"/>
                <w:b w:val="1"/>
                <w:bCs w:val="1"/>
                <w:color w:val="5D89B4"/>
              </w:rPr>
              <w:t>UNDER</w:t>
            </w:r>
          </w:p>
        </w:tc>
      </w:tr>
      <w:tr>
        <w:trPr>
          <w:trHeight w:val="134"/>
        </w:trPr>
        <w:tc>
          <w:tcPr>
            <w:tcW w:w="2080" w:type="dxa"/>
            <w:vAlign w:val="bottom"/>
            <w:shd w:val="clear" w:color="auto" w:fill="EAEAEA"/>
          </w:tcPr>
          <w:p>
            <w:pPr>
              <w:spacing w:after="0"/>
              <w:rPr>
                <w:sz w:val="11"/>
                <w:szCs w:val="11"/>
                <w:color w:val="auto"/>
              </w:rPr>
            </w:pPr>
          </w:p>
        </w:tc>
        <w:tc>
          <w:tcPr>
            <w:tcW w:w="480" w:type="dxa"/>
            <w:vAlign w:val="bottom"/>
            <w:shd w:val="clear" w:color="auto" w:fill="EAEAEA"/>
          </w:tcPr>
          <w:p>
            <w:pPr>
              <w:spacing w:after="0"/>
              <w:rPr>
                <w:sz w:val="11"/>
                <w:szCs w:val="11"/>
                <w:color w:val="auto"/>
              </w:rPr>
            </w:pPr>
          </w:p>
        </w:tc>
        <w:tc>
          <w:tcPr>
            <w:tcW w:w="740" w:type="dxa"/>
            <w:vAlign w:val="bottom"/>
            <w:shd w:val="clear" w:color="auto" w:fill="EAEAEA"/>
          </w:tcPr>
          <w:p>
            <w:pPr>
              <w:ind w:left="280"/>
              <w:spacing w:after="0" w:line="134" w:lineRule="exact"/>
              <w:rPr>
                <w:sz w:val="20"/>
                <w:szCs w:val="20"/>
                <w:color w:val="auto"/>
              </w:rPr>
            </w:pPr>
            <w:r>
              <w:rPr>
                <w:rFonts w:ascii="Arial" w:cs="Arial" w:eastAsia="Arial" w:hAnsi="Arial"/>
                <w:sz w:val="12"/>
                <w:szCs w:val="12"/>
                <w:b w:val="1"/>
                <w:bCs w:val="1"/>
                <w:color w:val="5D89B4"/>
              </w:rPr>
              <w:t>AS</w:t>
            </w:r>
          </w:p>
        </w:tc>
        <w:tc>
          <w:tcPr>
            <w:tcW w:w="1180" w:type="dxa"/>
            <w:vAlign w:val="bottom"/>
            <w:gridSpan w:val="2"/>
            <w:shd w:val="clear" w:color="auto" w:fill="EAEAEA"/>
          </w:tcPr>
          <w:p>
            <w:pPr>
              <w:jc w:val="right"/>
              <w:ind w:right="264"/>
              <w:spacing w:after="0" w:line="134" w:lineRule="exact"/>
              <w:rPr>
                <w:sz w:val="20"/>
                <w:szCs w:val="20"/>
                <w:color w:val="auto"/>
              </w:rPr>
            </w:pPr>
            <w:r>
              <w:rPr>
                <w:rFonts w:ascii="Arial" w:cs="Arial" w:eastAsia="Arial" w:hAnsi="Arial"/>
                <w:sz w:val="12"/>
                <w:szCs w:val="12"/>
                <w:b w:val="1"/>
                <w:bCs w:val="1"/>
                <w:color w:val="5D89B4"/>
              </w:rPr>
              <w:t>CONSTANT</w:t>
            </w:r>
          </w:p>
        </w:tc>
        <w:tc>
          <w:tcPr>
            <w:tcW w:w="320" w:type="dxa"/>
            <w:vAlign w:val="bottom"/>
            <w:shd w:val="clear" w:color="auto" w:fill="EAEAEA"/>
          </w:tcPr>
          <w:p>
            <w:pPr>
              <w:spacing w:after="0"/>
              <w:rPr>
                <w:sz w:val="11"/>
                <w:szCs w:val="11"/>
                <w:color w:val="auto"/>
              </w:rPr>
            </w:pPr>
          </w:p>
        </w:tc>
        <w:tc>
          <w:tcPr>
            <w:tcW w:w="980" w:type="dxa"/>
            <w:vAlign w:val="bottom"/>
            <w:shd w:val="clear" w:color="auto" w:fill="EAEAEA"/>
          </w:tcPr>
          <w:p>
            <w:pPr>
              <w:jc w:val="right"/>
              <w:ind w:right="129"/>
              <w:spacing w:after="0" w:line="134" w:lineRule="exact"/>
              <w:rPr>
                <w:sz w:val="20"/>
                <w:szCs w:val="20"/>
                <w:color w:val="auto"/>
              </w:rPr>
            </w:pPr>
            <w:r>
              <w:rPr>
                <w:rFonts w:ascii="Arial" w:cs="Arial" w:eastAsia="Arial" w:hAnsi="Arial"/>
                <w:sz w:val="12"/>
                <w:szCs w:val="12"/>
                <w:b w:val="1"/>
                <w:bCs w:val="1"/>
                <w:color w:val="5D89B4"/>
              </w:rPr>
              <w:t>SHARE</w:t>
            </w:r>
          </w:p>
        </w:tc>
        <w:tc>
          <w:tcPr>
            <w:tcW w:w="1500" w:type="dxa"/>
            <w:vAlign w:val="bottom"/>
            <w:gridSpan w:val="2"/>
            <w:shd w:val="clear" w:color="auto" w:fill="EAEAEA"/>
          </w:tcPr>
          <w:p>
            <w:pPr>
              <w:jc w:val="right"/>
              <w:ind w:right="207"/>
              <w:spacing w:after="0" w:line="134" w:lineRule="exact"/>
              <w:rPr>
                <w:sz w:val="20"/>
                <w:szCs w:val="20"/>
                <w:color w:val="auto"/>
              </w:rPr>
            </w:pPr>
            <w:r>
              <w:rPr>
                <w:rFonts w:ascii="Arial" w:cs="Arial" w:eastAsia="Arial" w:hAnsi="Arial"/>
                <w:sz w:val="12"/>
                <w:szCs w:val="12"/>
                <w:b w:val="1"/>
                <w:bCs w:val="1"/>
                <w:color w:val="5D89B4"/>
              </w:rPr>
              <w:t>RESTRUCTURING</w:t>
            </w:r>
          </w:p>
        </w:tc>
        <w:tc>
          <w:tcPr>
            <w:tcW w:w="1100" w:type="dxa"/>
            <w:vAlign w:val="bottom"/>
            <w:shd w:val="clear" w:color="auto" w:fill="EAEAEA"/>
          </w:tcPr>
          <w:p>
            <w:pPr>
              <w:jc w:val="right"/>
              <w:ind w:right="89"/>
              <w:spacing w:after="0" w:line="134" w:lineRule="exact"/>
              <w:rPr>
                <w:sz w:val="20"/>
                <w:szCs w:val="20"/>
                <w:color w:val="auto"/>
              </w:rPr>
            </w:pPr>
            <w:r>
              <w:rPr>
                <w:rFonts w:ascii="Arial" w:cs="Arial" w:eastAsia="Arial" w:hAnsi="Arial"/>
                <w:sz w:val="12"/>
                <w:szCs w:val="12"/>
                <w:b w:val="1"/>
                <w:bCs w:val="1"/>
                <w:color w:val="5D89B4"/>
              </w:rPr>
              <w:t>GOODWILL</w:t>
            </w:r>
          </w:p>
        </w:tc>
        <w:tc>
          <w:tcPr>
            <w:tcW w:w="1160" w:type="dxa"/>
            <w:vAlign w:val="bottom"/>
            <w:gridSpan w:val="2"/>
            <w:shd w:val="clear" w:color="auto" w:fill="EAEAEA"/>
          </w:tcPr>
          <w:p>
            <w:pPr>
              <w:jc w:val="right"/>
              <w:ind w:right="170"/>
              <w:spacing w:after="0" w:line="134" w:lineRule="exact"/>
              <w:rPr>
                <w:sz w:val="20"/>
                <w:szCs w:val="20"/>
                <w:color w:val="auto"/>
              </w:rPr>
            </w:pPr>
            <w:r>
              <w:rPr>
                <w:rFonts w:ascii="Arial" w:cs="Arial" w:eastAsia="Arial" w:hAnsi="Arial"/>
                <w:sz w:val="12"/>
                <w:szCs w:val="12"/>
                <w:b w:val="1"/>
                <w:bCs w:val="1"/>
                <w:color w:val="5D89B4"/>
              </w:rPr>
              <w:t>RECURRING</w:t>
            </w:r>
          </w:p>
        </w:tc>
        <w:tc>
          <w:tcPr>
            <w:tcW w:w="1340" w:type="dxa"/>
            <w:vAlign w:val="bottom"/>
            <w:gridSpan w:val="2"/>
            <w:shd w:val="clear" w:color="auto" w:fill="EAEAEA"/>
          </w:tcPr>
          <w:p>
            <w:pPr>
              <w:jc w:val="right"/>
              <w:ind w:right="171"/>
              <w:spacing w:after="0" w:line="134" w:lineRule="exact"/>
              <w:rPr>
                <w:sz w:val="20"/>
                <w:szCs w:val="20"/>
                <w:color w:val="auto"/>
              </w:rPr>
            </w:pPr>
            <w:r>
              <w:rPr>
                <w:rFonts w:ascii="Arial" w:cs="Arial" w:eastAsia="Arial" w:hAnsi="Arial"/>
                <w:sz w:val="12"/>
                <w:szCs w:val="12"/>
                <w:b w:val="1"/>
                <w:bCs w:val="1"/>
                <w:color w:val="5D89B4"/>
              </w:rPr>
              <w:t>COMPENSATION</w:t>
            </w:r>
          </w:p>
        </w:tc>
      </w:tr>
      <w:tr>
        <w:trPr>
          <w:trHeight w:val="163"/>
        </w:trPr>
        <w:tc>
          <w:tcPr>
            <w:tcW w:w="2080" w:type="dxa"/>
            <w:vAlign w:val="bottom"/>
            <w:shd w:val="clear" w:color="auto" w:fill="EAEAEA"/>
          </w:tcPr>
          <w:p>
            <w:pPr>
              <w:spacing w:after="0"/>
              <w:rPr>
                <w:sz w:val="14"/>
                <w:szCs w:val="14"/>
                <w:color w:val="auto"/>
              </w:rPr>
            </w:pPr>
          </w:p>
        </w:tc>
        <w:tc>
          <w:tcPr>
            <w:tcW w:w="1220" w:type="dxa"/>
            <w:vAlign w:val="bottom"/>
            <w:gridSpan w:val="2"/>
            <w:shd w:val="clear" w:color="auto" w:fill="EAEAEA"/>
          </w:tcPr>
          <w:p>
            <w:pPr>
              <w:ind w:left="240"/>
              <w:spacing w:after="0"/>
              <w:rPr>
                <w:sz w:val="20"/>
                <w:szCs w:val="20"/>
                <w:color w:val="auto"/>
              </w:rPr>
            </w:pPr>
            <w:r>
              <w:rPr>
                <w:rFonts w:ascii="Arial" w:cs="Arial" w:eastAsia="Arial" w:hAnsi="Arial"/>
                <w:sz w:val="12"/>
                <w:szCs w:val="12"/>
                <w:b w:val="1"/>
                <w:bCs w:val="1"/>
                <w:color w:val="5D89B4"/>
              </w:rPr>
              <w:t>REPORTED</w:t>
            </w:r>
          </w:p>
        </w:tc>
        <w:tc>
          <w:tcPr>
            <w:tcW w:w="1180" w:type="dxa"/>
            <w:vAlign w:val="bottom"/>
            <w:gridSpan w:val="2"/>
            <w:shd w:val="clear" w:color="auto" w:fill="EAEAEA"/>
          </w:tcPr>
          <w:p>
            <w:pPr>
              <w:jc w:val="right"/>
              <w:ind w:right="264"/>
              <w:spacing w:after="0"/>
              <w:rPr>
                <w:sz w:val="20"/>
                <w:szCs w:val="20"/>
                <w:color w:val="auto"/>
              </w:rPr>
            </w:pPr>
            <w:r>
              <w:rPr>
                <w:rFonts w:ascii="Arial" w:cs="Arial" w:eastAsia="Arial" w:hAnsi="Arial"/>
                <w:sz w:val="12"/>
                <w:szCs w:val="12"/>
                <w:b w:val="1"/>
                <w:bCs w:val="1"/>
                <w:color w:val="5D89B4"/>
              </w:rPr>
              <w:t>CURRENCY</w:t>
            </w:r>
          </w:p>
        </w:tc>
        <w:tc>
          <w:tcPr>
            <w:tcW w:w="1300" w:type="dxa"/>
            <w:vAlign w:val="bottom"/>
            <w:gridSpan w:val="2"/>
            <w:shd w:val="clear" w:color="auto" w:fill="EAEAEA"/>
          </w:tcPr>
          <w:p>
            <w:pPr>
              <w:jc w:val="right"/>
              <w:ind w:right="129"/>
              <w:spacing w:after="0"/>
              <w:rPr>
                <w:sz w:val="20"/>
                <w:szCs w:val="20"/>
                <w:color w:val="auto"/>
              </w:rPr>
            </w:pPr>
            <w:r>
              <w:rPr>
                <w:rFonts w:ascii="Arial" w:cs="Arial" w:eastAsia="Arial" w:hAnsi="Arial"/>
                <w:sz w:val="12"/>
                <w:szCs w:val="12"/>
                <w:b w:val="1"/>
                <w:bCs w:val="1"/>
                <w:color w:val="5D89B4"/>
              </w:rPr>
              <w:t>REPURCHASES</w:t>
            </w:r>
          </w:p>
        </w:tc>
        <w:tc>
          <w:tcPr>
            <w:tcW w:w="500" w:type="dxa"/>
            <w:vAlign w:val="bottom"/>
            <w:shd w:val="clear" w:color="auto" w:fill="EAEAEA"/>
          </w:tcPr>
          <w:p>
            <w:pPr>
              <w:spacing w:after="0"/>
              <w:rPr>
                <w:sz w:val="14"/>
                <w:szCs w:val="14"/>
                <w:color w:val="auto"/>
              </w:rPr>
            </w:pPr>
          </w:p>
        </w:tc>
        <w:tc>
          <w:tcPr>
            <w:tcW w:w="1000" w:type="dxa"/>
            <w:vAlign w:val="bottom"/>
            <w:shd w:val="clear" w:color="auto" w:fill="EAEAEA"/>
          </w:tcPr>
          <w:p>
            <w:pPr>
              <w:jc w:val="right"/>
              <w:ind w:right="207"/>
              <w:spacing w:after="0"/>
              <w:rPr>
                <w:sz w:val="20"/>
                <w:szCs w:val="20"/>
                <w:color w:val="auto"/>
              </w:rPr>
            </w:pPr>
            <w:r>
              <w:rPr>
                <w:rFonts w:ascii="Arial" w:cs="Arial" w:eastAsia="Arial" w:hAnsi="Arial"/>
                <w:sz w:val="12"/>
                <w:szCs w:val="12"/>
                <w:b w:val="1"/>
                <w:bCs w:val="1"/>
                <w:color w:val="5D89B4"/>
              </w:rPr>
              <w:t>COSTS</w:t>
            </w:r>
          </w:p>
        </w:tc>
        <w:tc>
          <w:tcPr>
            <w:tcW w:w="1100" w:type="dxa"/>
            <w:vAlign w:val="bottom"/>
            <w:shd w:val="clear" w:color="auto" w:fill="EAEAEA"/>
          </w:tcPr>
          <w:p>
            <w:pPr>
              <w:jc w:val="right"/>
              <w:ind w:right="89"/>
              <w:spacing w:after="0"/>
              <w:rPr>
                <w:sz w:val="20"/>
                <w:szCs w:val="20"/>
                <w:color w:val="auto"/>
              </w:rPr>
            </w:pPr>
            <w:r>
              <w:rPr>
                <w:rFonts w:ascii="Arial" w:cs="Arial" w:eastAsia="Arial" w:hAnsi="Arial"/>
                <w:sz w:val="12"/>
                <w:szCs w:val="12"/>
                <w:b w:val="1"/>
                <w:bCs w:val="1"/>
                <w:color w:val="5D89B4"/>
              </w:rPr>
              <w:t>IMPAIRMENT</w:t>
            </w:r>
          </w:p>
        </w:tc>
        <w:tc>
          <w:tcPr>
            <w:tcW w:w="300" w:type="dxa"/>
            <w:vAlign w:val="bottom"/>
            <w:shd w:val="clear" w:color="auto" w:fill="EAEAEA"/>
          </w:tcPr>
          <w:p>
            <w:pPr>
              <w:spacing w:after="0"/>
              <w:rPr>
                <w:sz w:val="14"/>
                <w:szCs w:val="14"/>
                <w:color w:val="auto"/>
              </w:rPr>
            </w:pPr>
          </w:p>
        </w:tc>
        <w:tc>
          <w:tcPr>
            <w:tcW w:w="860" w:type="dxa"/>
            <w:vAlign w:val="bottom"/>
            <w:shd w:val="clear" w:color="auto" w:fill="EAEAEA"/>
          </w:tcPr>
          <w:p>
            <w:pPr>
              <w:jc w:val="right"/>
              <w:ind w:right="170"/>
              <w:spacing w:after="0"/>
              <w:rPr>
                <w:sz w:val="20"/>
                <w:szCs w:val="20"/>
                <w:color w:val="auto"/>
              </w:rPr>
            </w:pPr>
            <w:r>
              <w:rPr>
                <w:rFonts w:ascii="Arial" w:cs="Arial" w:eastAsia="Arial" w:hAnsi="Arial"/>
                <w:sz w:val="12"/>
                <w:szCs w:val="12"/>
                <w:b w:val="1"/>
                <w:bCs w:val="1"/>
                <w:color w:val="5D89B4"/>
              </w:rPr>
              <w:t>ITEMS(1)</w:t>
            </w:r>
          </w:p>
        </w:tc>
        <w:tc>
          <w:tcPr>
            <w:tcW w:w="220" w:type="dxa"/>
            <w:vAlign w:val="bottom"/>
            <w:shd w:val="clear" w:color="auto" w:fill="EAEAEA"/>
          </w:tcPr>
          <w:p>
            <w:pPr>
              <w:spacing w:after="0"/>
              <w:rPr>
                <w:sz w:val="14"/>
                <w:szCs w:val="14"/>
                <w:color w:val="auto"/>
              </w:rPr>
            </w:pPr>
          </w:p>
        </w:tc>
        <w:tc>
          <w:tcPr>
            <w:tcW w:w="1120" w:type="dxa"/>
            <w:vAlign w:val="bottom"/>
            <w:shd w:val="clear" w:color="auto" w:fill="EAEAEA"/>
          </w:tcPr>
          <w:p>
            <w:pPr>
              <w:jc w:val="right"/>
              <w:ind w:right="171"/>
              <w:spacing w:after="0"/>
              <w:rPr>
                <w:sz w:val="20"/>
                <w:szCs w:val="20"/>
                <w:color w:val="auto"/>
              </w:rPr>
            </w:pPr>
            <w:r>
              <w:rPr>
                <w:rFonts w:ascii="Arial" w:cs="Arial" w:eastAsia="Arial" w:hAnsi="Arial"/>
                <w:sz w:val="12"/>
                <w:szCs w:val="12"/>
                <w:b w:val="1"/>
                <w:bCs w:val="1"/>
                <w:color w:val="5D89B4"/>
              </w:rPr>
              <w:t>PLANS</w:t>
            </w:r>
          </w:p>
        </w:tc>
      </w:tr>
      <w:tr>
        <w:trPr>
          <w:trHeight w:val="71"/>
        </w:trPr>
        <w:tc>
          <w:tcPr>
            <w:tcW w:w="2080" w:type="dxa"/>
            <w:vAlign w:val="bottom"/>
            <w:shd w:val="clear" w:color="auto" w:fill="EAEAEA"/>
          </w:tcPr>
          <w:p>
            <w:pPr>
              <w:spacing w:after="0"/>
              <w:rPr>
                <w:sz w:val="6"/>
                <w:szCs w:val="6"/>
                <w:color w:val="auto"/>
              </w:rPr>
            </w:pPr>
          </w:p>
        </w:tc>
        <w:tc>
          <w:tcPr>
            <w:tcW w:w="480" w:type="dxa"/>
            <w:vAlign w:val="bottom"/>
            <w:shd w:val="clear" w:color="auto" w:fill="EAEAEA"/>
          </w:tcPr>
          <w:p>
            <w:pPr>
              <w:spacing w:after="0"/>
              <w:rPr>
                <w:sz w:val="6"/>
                <w:szCs w:val="6"/>
                <w:color w:val="auto"/>
              </w:rPr>
            </w:pPr>
          </w:p>
        </w:tc>
        <w:tc>
          <w:tcPr>
            <w:tcW w:w="740" w:type="dxa"/>
            <w:vAlign w:val="bottom"/>
            <w:shd w:val="clear" w:color="auto" w:fill="EAEAEA"/>
          </w:tcPr>
          <w:p>
            <w:pPr>
              <w:spacing w:after="0"/>
              <w:rPr>
                <w:sz w:val="6"/>
                <w:szCs w:val="6"/>
                <w:color w:val="auto"/>
              </w:rPr>
            </w:pPr>
          </w:p>
        </w:tc>
        <w:tc>
          <w:tcPr>
            <w:tcW w:w="360" w:type="dxa"/>
            <w:vAlign w:val="bottom"/>
            <w:shd w:val="clear" w:color="auto" w:fill="EAEAEA"/>
          </w:tcPr>
          <w:p>
            <w:pPr>
              <w:spacing w:after="0"/>
              <w:rPr>
                <w:sz w:val="6"/>
                <w:szCs w:val="6"/>
                <w:color w:val="auto"/>
              </w:rPr>
            </w:pPr>
          </w:p>
        </w:tc>
        <w:tc>
          <w:tcPr>
            <w:tcW w:w="820" w:type="dxa"/>
            <w:vAlign w:val="bottom"/>
            <w:shd w:val="clear" w:color="auto" w:fill="EAEAEA"/>
          </w:tcPr>
          <w:p>
            <w:pPr>
              <w:spacing w:after="0"/>
              <w:rPr>
                <w:sz w:val="6"/>
                <w:szCs w:val="6"/>
                <w:color w:val="auto"/>
              </w:rPr>
            </w:pPr>
          </w:p>
        </w:tc>
        <w:tc>
          <w:tcPr>
            <w:tcW w:w="320" w:type="dxa"/>
            <w:vAlign w:val="bottom"/>
            <w:shd w:val="clear" w:color="auto" w:fill="EAEAEA"/>
          </w:tcPr>
          <w:p>
            <w:pPr>
              <w:spacing w:after="0"/>
              <w:rPr>
                <w:sz w:val="6"/>
                <w:szCs w:val="6"/>
                <w:color w:val="auto"/>
              </w:rPr>
            </w:pPr>
          </w:p>
        </w:tc>
        <w:tc>
          <w:tcPr>
            <w:tcW w:w="980" w:type="dxa"/>
            <w:vAlign w:val="bottom"/>
            <w:shd w:val="clear" w:color="auto" w:fill="EAEAEA"/>
          </w:tcPr>
          <w:p>
            <w:pPr>
              <w:spacing w:after="0"/>
              <w:rPr>
                <w:sz w:val="6"/>
                <w:szCs w:val="6"/>
                <w:color w:val="auto"/>
              </w:rPr>
            </w:pPr>
          </w:p>
        </w:tc>
        <w:tc>
          <w:tcPr>
            <w:tcW w:w="500" w:type="dxa"/>
            <w:vAlign w:val="bottom"/>
            <w:shd w:val="clear" w:color="auto" w:fill="EAEAEA"/>
          </w:tcPr>
          <w:p>
            <w:pPr>
              <w:spacing w:after="0"/>
              <w:rPr>
                <w:sz w:val="6"/>
                <w:szCs w:val="6"/>
                <w:color w:val="auto"/>
              </w:rPr>
            </w:pPr>
          </w:p>
        </w:tc>
        <w:tc>
          <w:tcPr>
            <w:tcW w:w="1000" w:type="dxa"/>
            <w:vAlign w:val="bottom"/>
            <w:shd w:val="clear" w:color="auto" w:fill="EAEAEA"/>
          </w:tcPr>
          <w:p>
            <w:pPr>
              <w:spacing w:after="0"/>
              <w:rPr>
                <w:sz w:val="6"/>
                <w:szCs w:val="6"/>
                <w:color w:val="auto"/>
              </w:rPr>
            </w:pPr>
          </w:p>
        </w:tc>
        <w:tc>
          <w:tcPr>
            <w:tcW w:w="1100" w:type="dxa"/>
            <w:vAlign w:val="bottom"/>
            <w:shd w:val="clear" w:color="auto" w:fill="EAEAEA"/>
          </w:tcPr>
          <w:p>
            <w:pPr>
              <w:spacing w:after="0"/>
              <w:rPr>
                <w:sz w:val="6"/>
                <w:szCs w:val="6"/>
                <w:color w:val="auto"/>
              </w:rPr>
            </w:pPr>
          </w:p>
        </w:tc>
        <w:tc>
          <w:tcPr>
            <w:tcW w:w="300" w:type="dxa"/>
            <w:vAlign w:val="bottom"/>
            <w:shd w:val="clear" w:color="auto" w:fill="EAEAEA"/>
          </w:tcPr>
          <w:p>
            <w:pPr>
              <w:spacing w:after="0"/>
              <w:rPr>
                <w:sz w:val="6"/>
                <w:szCs w:val="6"/>
                <w:color w:val="auto"/>
              </w:rPr>
            </w:pPr>
          </w:p>
        </w:tc>
        <w:tc>
          <w:tcPr>
            <w:tcW w:w="860" w:type="dxa"/>
            <w:vAlign w:val="bottom"/>
            <w:shd w:val="clear" w:color="auto" w:fill="EAEAEA"/>
          </w:tcPr>
          <w:p>
            <w:pPr>
              <w:spacing w:after="0"/>
              <w:rPr>
                <w:sz w:val="6"/>
                <w:szCs w:val="6"/>
                <w:color w:val="auto"/>
              </w:rPr>
            </w:pPr>
          </w:p>
        </w:tc>
        <w:tc>
          <w:tcPr>
            <w:tcW w:w="22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r>
      <w:tr>
        <w:trPr>
          <w:trHeight w:val="245"/>
        </w:trPr>
        <w:tc>
          <w:tcPr>
            <w:tcW w:w="2080" w:type="dxa"/>
            <w:vAlign w:val="bottom"/>
          </w:tcPr>
          <w:p>
            <w:pPr>
              <w:ind w:left="80"/>
              <w:spacing w:after="0"/>
              <w:rPr>
                <w:sz w:val="20"/>
                <w:szCs w:val="20"/>
                <w:color w:val="auto"/>
              </w:rPr>
            </w:pPr>
            <w:r>
              <w:rPr>
                <w:rFonts w:ascii="Arial" w:cs="Arial" w:eastAsia="Arial" w:hAnsi="Arial"/>
                <w:sz w:val="14"/>
                <w:szCs w:val="14"/>
                <w:b w:val="1"/>
                <w:bCs w:val="1"/>
                <w:color w:val="auto"/>
              </w:rPr>
              <w:t>EPS</w:t>
            </w:r>
          </w:p>
        </w:tc>
        <w:tc>
          <w:tcPr>
            <w:tcW w:w="480" w:type="dxa"/>
            <w:vAlign w:val="bottom"/>
          </w:tcPr>
          <w:p>
            <w:pPr>
              <w:ind w:left="240"/>
              <w:spacing w:after="0"/>
              <w:rPr>
                <w:sz w:val="20"/>
                <w:szCs w:val="20"/>
                <w:color w:val="auto"/>
              </w:rPr>
            </w:pPr>
            <w:r>
              <w:rPr>
                <w:rFonts w:ascii="Arial" w:cs="Arial" w:eastAsia="Arial" w:hAnsi="Arial"/>
                <w:sz w:val="15"/>
                <w:szCs w:val="15"/>
                <w:color w:val="auto"/>
              </w:rPr>
              <w:t>$</w:t>
            </w:r>
          </w:p>
        </w:tc>
        <w:tc>
          <w:tcPr>
            <w:tcW w:w="740" w:type="dxa"/>
            <w:vAlign w:val="bottom"/>
          </w:tcPr>
          <w:p>
            <w:pPr>
              <w:ind w:left="160"/>
              <w:spacing w:after="0"/>
              <w:rPr>
                <w:sz w:val="20"/>
                <w:szCs w:val="20"/>
                <w:color w:val="auto"/>
              </w:rPr>
            </w:pPr>
            <w:r>
              <w:rPr>
                <w:rFonts w:ascii="Arial" w:cs="Arial" w:eastAsia="Arial" w:hAnsi="Arial"/>
                <w:sz w:val="15"/>
                <w:szCs w:val="15"/>
                <w:color w:val="auto"/>
              </w:rPr>
              <w:t>6.91</w:t>
            </w:r>
          </w:p>
        </w:tc>
        <w:tc>
          <w:tcPr>
            <w:tcW w:w="360" w:type="dxa"/>
            <w:vAlign w:val="bottom"/>
          </w:tcPr>
          <w:p>
            <w:pPr>
              <w:jc w:val="right"/>
              <w:ind w:right="72"/>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4"/>
              <w:spacing w:after="0"/>
              <w:rPr>
                <w:sz w:val="20"/>
                <w:szCs w:val="20"/>
                <w:color w:val="auto"/>
              </w:rPr>
            </w:pPr>
            <w:r>
              <w:rPr>
                <w:rFonts w:ascii="Arial" w:cs="Arial" w:eastAsia="Arial" w:hAnsi="Arial"/>
                <w:sz w:val="15"/>
                <w:szCs w:val="15"/>
                <w:color w:val="auto"/>
              </w:rPr>
              <w:t>(0.17)</w:t>
            </w:r>
          </w:p>
        </w:tc>
        <w:tc>
          <w:tcPr>
            <w:tcW w:w="320" w:type="dxa"/>
            <w:vAlign w:val="bottom"/>
          </w:tcPr>
          <w:p>
            <w:pPr>
              <w:jc w:val="right"/>
              <w:ind w:right="31"/>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9"/>
              <w:spacing w:after="0"/>
              <w:rPr>
                <w:sz w:val="20"/>
                <w:szCs w:val="20"/>
                <w:color w:val="auto"/>
              </w:rPr>
            </w:pPr>
            <w:r>
              <w:rPr>
                <w:rFonts w:ascii="Arial" w:cs="Arial" w:eastAsia="Arial" w:hAnsi="Arial"/>
                <w:sz w:val="15"/>
                <w:szCs w:val="15"/>
                <w:color w:val="auto"/>
              </w:rPr>
              <w:t>(0.13)</w:t>
            </w:r>
          </w:p>
        </w:tc>
        <w:tc>
          <w:tcPr>
            <w:tcW w:w="500" w:type="dxa"/>
            <w:vAlign w:val="bottom"/>
          </w:tcPr>
          <w:p>
            <w:pPr>
              <w:jc w:val="right"/>
              <w:ind w:right="211"/>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07"/>
              <w:spacing w:after="0"/>
              <w:rPr>
                <w:sz w:val="20"/>
                <w:szCs w:val="20"/>
                <w:color w:val="auto"/>
              </w:rPr>
            </w:pPr>
            <w:r>
              <w:rPr>
                <w:rFonts w:ascii="Arial" w:cs="Arial" w:eastAsia="Arial" w:hAnsi="Arial"/>
                <w:sz w:val="15"/>
                <w:szCs w:val="15"/>
                <w:color w:val="auto"/>
              </w:rPr>
              <w:t>0.20</w:t>
            </w:r>
          </w:p>
        </w:tc>
        <w:tc>
          <w:tcPr>
            <w:tcW w:w="1100" w:type="dxa"/>
            <w:vAlign w:val="bottom"/>
          </w:tcPr>
          <w:p>
            <w:pPr>
              <w:jc w:val="right"/>
              <w:ind w:right="89"/>
              <w:spacing w:after="0"/>
              <w:rPr>
                <w:sz w:val="20"/>
                <w:szCs w:val="20"/>
                <w:color w:val="auto"/>
              </w:rPr>
            </w:pPr>
            <w:r>
              <w:rPr>
                <w:rFonts w:ascii="Arial" w:cs="Arial" w:eastAsia="Arial" w:hAnsi="Arial"/>
                <w:sz w:val="15"/>
                <w:szCs w:val="15"/>
                <w:color w:val="auto"/>
              </w:rPr>
              <w:t>n/a</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70"/>
              <w:spacing w:after="0"/>
              <w:rPr>
                <w:sz w:val="20"/>
                <w:szCs w:val="20"/>
                <w:color w:val="auto"/>
              </w:rPr>
            </w:pPr>
            <w:r>
              <w:rPr>
                <w:rFonts w:ascii="Arial" w:cs="Arial" w:eastAsia="Arial" w:hAnsi="Arial"/>
                <w:sz w:val="15"/>
                <w:szCs w:val="15"/>
                <w:color w:val="auto"/>
              </w:rPr>
              <w:t>0.07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ind w:left="600"/>
              <w:spacing w:after="0"/>
              <w:rPr>
                <w:sz w:val="20"/>
                <w:szCs w:val="20"/>
                <w:color w:val="auto"/>
              </w:rPr>
            </w:pPr>
            <w:r>
              <w:rPr>
                <w:rFonts w:ascii="Arial" w:cs="Arial" w:eastAsia="Arial" w:hAnsi="Arial"/>
                <w:sz w:val="15"/>
                <w:szCs w:val="15"/>
                <w:color w:val="auto"/>
              </w:rPr>
              <w:t>6.88</w:t>
            </w:r>
          </w:p>
        </w:tc>
      </w:tr>
      <w:tr>
        <w:trPr>
          <w:trHeight w:val="50"/>
        </w:trPr>
        <w:tc>
          <w:tcPr>
            <w:tcW w:w="2080" w:type="dxa"/>
            <w:vAlign w:val="bottom"/>
            <w:tcBorders>
              <w:bottom w:val="single" w:sz="8" w:color="5D89B4"/>
            </w:tcBorders>
          </w:tcPr>
          <w:p>
            <w:pPr>
              <w:spacing w:after="0"/>
              <w:rPr>
                <w:sz w:val="4"/>
                <w:szCs w:val="4"/>
                <w:color w:val="auto"/>
              </w:rPr>
            </w:pPr>
          </w:p>
        </w:tc>
        <w:tc>
          <w:tcPr>
            <w:tcW w:w="48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32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1100" w:type="dxa"/>
            <w:vAlign w:val="bottom"/>
            <w:tcBorders>
              <w:bottom w:val="single" w:sz="8" w:color="5D89B4"/>
            </w:tcBorders>
          </w:tcPr>
          <w:p>
            <w:pPr>
              <w:spacing w:after="0"/>
              <w:rPr>
                <w:sz w:val="4"/>
                <w:szCs w:val="4"/>
                <w:color w:val="auto"/>
              </w:rPr>
            </w:pPr>
          </w:p>
        </w:tc>
        <w:tc>
          <w:tcPr>
            <w:tcW w:w="3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2080" w:type="dxa"/>
            <w:vAlign w:val="bottom"/>
          </w:tcPr>
          <w:p>
            <w:pPr>
              <w:ind w:left="80"/>
              <w:spacing w:after="0"/>
              <w:rPr>
                <w:sz w:val="20"/>
                <w:szCs w:val="20"/>
                <w:color w:val="auto"/>
              </w:rPr>
            </w:pPr>
            <w:r>
              <w:rPr>
                <w:rFonts w:ascii="Arial" w:cs="Arial" w:eastAsia="Arial" w:hAnsi="Arial"/>
                <w:sz w:val="14"/>
                <w:szCs w:val="14"/>
                <w:b w:val="1"/>
                <w:bCs w:val="1"/>
                <w:color w:val="auto"/>
              </w:rPr>
              <w:t>ROIC</w:t>
            </w:r>
          </w:p>
        </w:tc>
        <w:tc>
          <w:tcPr>
            <w:tcW w:w="48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Arial" w:cs="Arial" w:eastAsia="Arial" w:hAnsi="Arial"/>
                <w:sz w:val="15"/>
                <w:szCs w:val="15"/>
                <w:color w:val="auto"/>
              </w:rPr>
              <w:t>14.2%</w:t>
            </w:r>
          </w:p>
        </w:tc>
        <w:tc>
          <w:tcPr>
            <w:tcW w:w="360" w:type="dxa"/>
            <w:vAlign w:val="bottom"/>
          </w:tcPr>
          <w:p>
            <w:pPr>
              <w:spacing w:after="0"/>
              <w:rPr>
                <w:sz w:val="19"/>
                <w:szCs w:val="19"/>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(0.3)%</w:t>
            </w:r>
          </w:p>
        </w:tc>
        <w:tc>
          <w:tcPr>
            <w:tcW w:w="320" w:type="dxa"/>
            <w:vAlign w:val="bottom"/>
          </w:tcPr>
          <w:p>
            <w:pPr>
              <w:spacing w:after="0"/>
              <w:rPr>
                <w:sz w:val="19"/>
                <w:szCs w:val="19"/>
                <w:color w:val="auto"/>
              </w:rPr>
            </w:pPr>
          </w:p>
        </w:tc>
        <w:tc>
          <w:tcPr>
            <w:tcW w:w="980" w:type="dxa"/>
            <w:vAlign w:val="bottom"/>
          </w:tcPr>
          <w:p>
            <w:pPr>
              <w:jc w:val="right"/>
              <w:ind w:right="129"/>
              <w:spacing w:after="0"/>
              <w:rPr>
                <w:sz w:val="20"/>
                <w:szCs w:val="20"/>
                <w:color w:val="auto"/>
              </w:rPr>
            </w:pPr>
            <w:r>
              <w:rPr>
                <w:rFonts w:ascii="Arial" w:cs="Arial" w:eastAsia="Arial" w:hAnsi="Arial"/>
                <w:sz w:val="15"/>
                <w:szCs w:val="15"/>
                <w:color w:val="auto"/>
              </w:rPr>
              <w:t>n/a</w:t>
            </w:r>
          </w:p>
        </w:tc>
        <w:tc>
          <w:tcPr>
            <w:tcW w:w="500" w:type="dxa"/>
            <w:vAlign w:val="bottom"/>
          </w:tcPr>
          <w:p>
            <w:pPr>
              <w:spacing w:after="0"/>
              <w:rPr>
                <w:sz w:val="19"/>
                <w:szCs w:val="19"/>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color w:val="auto"/>
              </w:rPr>
              <w:t>0.3%</w:t>
            </w:r>
          </w:p>
        </w:tc>
        <w:tc>
          <w:tcPr>
            <w:tcW w:w="1100" w:type="dxa"/>
            <w:vAlign w:val="bottom"/>
          </w:tcPr>
          <w:p>
            <w:pPr>
              <w:jc w:val="right"/>
              <w:ind w:right="89"/>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5"/>
                <w:szCs w:val="15"/>
                <w:color w:val="auto"/>
              </w:rPr>
              <w:t>0.2%</w:t>
            </w:r>
          </w:p>
        </w:tc>
        <w:tc>
          <w:tcPr>
            <w:tcW w:w="220" w:type="dxa"/>
            <w:vAlign w:val="bottom"/>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5"/>
                <w:szCs w:val="15"/>
                <w:color w:val="auto"/>
              </w:rPr>
              <w:t>14.4%</w:t>
            </w:r>
          </w:p>
        </w:tc>
      </w:tr>
      <w:tr>
        <w:trPr>
          <w:trHeight w:val="50"/>
        </w:trPr>
        <w:tc>
          <w:tcPr>
            <w:tcW w:w="2080" w:type="dxa"/>
            <w:vAlign w:val="bottom"/>
            <w:tcBorders>
              <w:bottom w:val="single" w:sz="8" w:color="5D89B4"/>
            </w:tcBorders>
          </w:tcPr>
          <w:p>
            <w:pPr>
              <w:spacing w:after="0"/>
              <w:rPr>
                <w:sz w:val="4"/>
                <w:szCs w:val="4"/>
                <w:color w:val="auto"/>
              </w:rPr>
            </w:pPr>
          </w:p>
        </w:tc>
        <w:tc>
          <w:tcPr>
            <w:tcW w:w="48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32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1100" w:type="dxa"/>
            <w:vAlign w:val="bottom"/>
            <w:tcBorders>
              <w:bottom w:val="single" w:sz="8" w:color="5D89B4"/>
            </w:tcBorders>
          </w:tcPr>
          <w:p>
            <w:pPr>
              <w:spacing w:after="0"/>
              <w:rPr>
                <w:sz w:val="4"/>
                <w:szCs w:val="4"/>
                <w:color w:val="auto"/>
              </w:rPr>
            </w:pPr>
          </w:p>
        </w:tc>
        <w:tc>
          <w:tcPr>
            <w:tcW w:w="3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2080" w:type="dxa"/>
            <w:vAlign w:val="bottom"/>
          </w:tcPr>
          <w:p>
            <w:pPr>
              <w:ind w:left="80"/>
              <w:spacing w:after="0"/>
              <w:rPr>
                <w:sz w:val="20"/>
                <w:szCs w:val="20"/>
                <w:color w:val="auto"/>
              </w:rPr>
            </w:pPr>
            <w:r>
              <w:rPr>
                <w:rFonts w:ascii="Arial" w:cs="Arial" w:eastAsia="Arial" w:hAnsi="Arial"/>
                <w:sz w:val="14"/>
                <w:szCs w:val="14"/>
                <w:b w:val="1"/>
                <w:bCs w:val="1"/>
                <w:color w:val="auto"/>
              </w:rPr>
              <w:t>Revenue (in billions)</w:t>
            </w:r>
          </w:p>
        </w:tc>
        <w:tc>
          <w:tcPr>
            <w:tcW w:w="480" w:type="dxa"/>
            <w:vAlign w:val="bottom"/>
          </w:tcPr>
          <w:p>
            <w:pPr>
              <w:ind w:left="240"/>
              <w:spacing w:after="0"/>
              <w:rPr>
                <w:sz w:val="20"/>
                <w:szCs w:val="20"/>
                <w:color w:val="auto"/>
              </w:rPr>
            </w:pPr>
            <w:r>
              <w:rPr>
                <w:rFonts w:ascii="Arial" w:cs="Arial" w:eastAsia="Arial" w:hAnsi="Arial"/>
                <w:sz w:val="15"/>
                <w:szCs w:val="15"/>
                <w:color w:val="auto"/>
              </w:rPr>
              <w:t>$</w:t>
            </w:r>
          </w:p>
        </w:tc>
        <w:tc>
          <w:tcPr>
            <w:tcW w:w="740" w:type="dxa"/>
            <w:vAlign w:val="bottom"/>
          </w:tcPr>
          <w:p>
            <w:pPr>
              <w:ind w:left="160"/>
              <w:spacing w:after="0"/>
              <w:rPr>
                <w:sz w:val="20"/>
                <w:szCs w:val="20"/>
                <w:color w:val="auto"/>
              </w:rPr>
            </w:pPr>
            <w:r>
              <w:rPr>
                <w:rFonts w:ascii="Arial" w:cs="Arial" w:eastAsia="Arial" w:hAnsi="Arial"/>
                <w:sz w:val="15"/>
                <w:szCs w:val="15"/>
                <w:color w:val="auto"/>
              </w:rPr>
              <w:t>20.7</w:t>
            </w:r>
          </w:p>
        </w:tc>
        <w:tc>
          <w:tcPr>
            <w:tcW w:w="360" w:type="dxa"/>
            <w:vAlign w:val="bottom"/>
          </w:tcPr>
          <w:p>
            <w:pPr>
              <w:jc w:val="right"/>
              <w:ind w:right="72"/>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04"/>
              <w:spacing w:after="0"/>
              <w:rPr>
                <w:sz w:val="20"/>
                <w:szCs w:val="20"/>
                <w:color w:val="auto"/>
              </w:rPr>
            </w:pPr>
            <w:r>
              <w:rPr>
                <w:rFonts w:ascii="Arial" w:cs="Arial" w:eastAsia="Arial" w:hAnsi="Arial"/>
                <w:sz w:val="15"/>
                <w:szCs w:val="15"/>
                <w:color w:val="auto"/>
              </w:rPr>
              <w:t>(0.5)</w:t>
            </w:r>
          </w:p>
        </w:tc>
        <w:tc>
          <w:tcPr>
            <w:tcW w:w="320" w:type="dxa"/>
            <w:vAlign w:val="bottom"/>
          </w:tcPr>
          <w:p>
            <w:pPr>
              <w:spacing w:after="0"/>
              <w:rPr>
                <w:sz w:val="19"/>
                <w:szCs w:val="19"/>
                <w:color w:val="auto"/>
              </w:rPr>
            </w:pPr>
          </w:p>
        </w:tc>
        <w:tc>
          <w:tcPr>
            <w:tcW w:w="980" w:type="dxa"/>
            <w:vAlign w:val="bottom"/>
          </w:tcPr>
          <w:p>
            <w:pPr>
              <w:jc w:val="right"/>
              <w:ind w:right="129"/>
              <w:spacing w:after="0"/>
              <w:rPr>
                <w:sz w:val="20"/>
                <w:szCs w:val="20"/>
                <w:color w:val="auto"/>
              </w:rPr>
            </w:pPr>
            <w:r>
              <w:rPr>
                <w:rFonts w:ascii="Arial" w:cs="Arial" w:eastAsia="Arial" w:hAnsi="Arial"/>
                <w:sz w:val="15"/>
                <w:szCs w:val="15"/>
                <w:color w:val="auto"/>
              </w:rPr>
              <w:t>n/a</w:t>
            </w:r>
          </w:p>
        </w:tc>
        <w:tc>
          <w:tcPr>
            <w:tcW w:w="500" w:type="dxa"/>
            <w:vAlign w:val="bottom"/>
          </w:tcPr>
          <w:p>
            <w:pPr>
              <w:spacing w:after="0"/>
              <w:rPr>
                <w:sz w:val="19"/>
                <w:szCs w:val="19"/>
                <w:color w:val="auto"/>
              </w:rPr>
            </w:pPr>
          </w:p>
        </w:tc>
        <w:tc>
          <w:tcPr>
            <w:tcW w:w="1000" w:type="dxa"/>
            <w:vAlign w:val="bottom"/>
          </w:tcPr>
          <w:p>
            <w:pPr>
              <w:jc w:val="right"/>
              <w:ind w:right="207"/>
              <w:spacing w:after="0"/>
              <w:rPr>
                <w:sz w:val="20"/>
                <w:szCs w:val="20"/>
                <w:color w:val="auto"/>
              </w:rPr>
            </w:pPr>
            <w:r>
              <w:rPr>
                <w:rFonts w:ascii="Arial" w:cs="Arial" w:eastAsia="Arial" w:hAnsi="Arial"/>
                <w:sz w:val="15"/>
                <w:szCs w:val="15"/>
                <w:color w:val="auto"/>
              </w:rPr>
              <w:t>n/a</w:t>
            </w:r>
          </w:p>
        </w:tc>
        <w:tc>
          <w:tcPr>
            <w:tcW w:w="1100" w:type="dxa"/>
            <w:vAlign w:val="bottom"/>
          </w:tcPr>
          <w:p>
            <w:pPr>
              <w:jc w:val="right"/>
              <w:ind w:right="89"/>
              <w:spacing w:after="0"/>
              <w:rPr>
                <w:sz w:val="20"/>
                <w:szCs w:val="20"/>
                <w:color w:val="auto"/>
              </w:rPr>
            </w:pPr>
            <w:r>
              <w:rPr>
                <w:rFonts w:ascii="Arial" w:cs="Arial" w:eastAsia="Arial" w:hAnsi="Arial"/>
                <w:sz w:val="15"/>
                <w:szCs w:val="15"/>
                <w:color w:val="auto"/>
              </w:rPr>
              <w:t>n/a</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70"/>
              <w:spacing w:after="0"/>
              <w:rPr>
                <w:sz w:val="20"/>
                <w:szCs w:val="20"/>
                <w:color w:val="auto"/>
              </w:rPr>
            </w:pPr>
            <w:r>
              <w:rPr>
                <w:rFonts w:ascii="Arial" w:cs="Arial" w:eastAsia="Arial" w:hAnsi="Arial"/>
                <w:sz w:val="15"/>
                <w:szCs w:val="15"/>
                <w:color w:val="auto"/>
              </w:rPr>
              <w:t>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ind w:left="600"/>
              <w:spacing w:after="0"/>
              <w:rPr>
                <w:sz w:val="20"/>
                <w:szCs w:val="20"/>
                <w:color w:val="auto"/>
              </w:rPr>
            </w:pPr>
            <w:r>
              <w:rPr>
                <w:rFonts w:ascii="Arial" w:cs="Arial" w:eastAsia="Arial" w:hAnsi="Arial"/>
                <w:sz w:val="15"/>
                <w:szCs w:val="15"/>
                <w:color w:val="auto"/>
              </w:rPr>
              <w:t>20.2</w:t>
            </w:r>
          </w:p>
        </w:tc>
      </w:tr>
      <w:tr>
        <w:trPr>
          <w:trHeight w:val="50"/>
        </w:trPr>
        <w:tc>
          <w:tcPr>
            <w:tcW w:w="2080" w:type="dxa"/>
            <w:vAlign w:val="bottom"/>
            <w:tcBorders>
              <w:bottom w:val="single" w:sz="8" w:color="5D89B4"/>
            </w:tcBorders>
          </w:tcPr>
          <w:p>
            <w:pPr>
              <w:spacing w:after="0"/>
              <w:rPr>
                <w:sz w:val="4"/>
                <w:szCs w:val="4"/>
                <w:color w:val="auto"/>
              </w:rPr>
            </w:pPr>
          </w:p>
        </w:tc>
        <w:tc>
          <w:tcPr>
            <w:tcW w:w="48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32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1100" w:type="dxa"/>
            <w:vAlign w:val="bottom"/>
            <w:tcBorders>
              <w:bottom w:val="single" w:sz="8" w:color="5D89B4"/>
            </w:tcBorders>
          </w:tcPr>
          <w:p>
            <w:pPr>
              <w:spacing w:after="0"/>
              <w:rPr>
                <w:sz w:val="4"/>
                <w:szCs w:val="4"/>
                <w:color w:val="auto"/>
              </w:rPr>
            </w:pPr>
          </w:p>
        </w:tc>
        <w:tc>
          <w:tcPr>
            <w:tcW w:w="3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2080" w:type="dxa"/>
            <w:vAlign w:val="bottom"/>
          </w:tcPr>
          <w:p>
            <w:pPr>
              <w:ind w:left="80"/>
              <w:spacing w:after="0"/>
              <w:rPr>
                <w:sz w:val="20"/>
                <w:szCs w:val="20"/>
                <w:color w:val="auto"/>
              </w:rPr>
            </w:pPr>
            <w:r>
              <w:rPr>
                <w:rFonts w:ascii="Arial" w:cs="Arial" w:eastAsia="Arial" w:hAnsi="Arial"/>
                <w:sz w:val="14"/>
                <w:szCs w:val="14"/>
                <w:b w:val="1"/>
                <w:bCs w:val="1"/>
                <w:color w:val="auto"/>
              </w:rPr>
              <w:t>OPMP</w:t>
            </w:r>
          </w:p>
        </w:tc>
        <w:tc>
          <w:tcPr>
            <w:tcW w:w="48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Arial" w:cs="Arial" w:eastAsia="Arial" w:hAnsi="Arial"/>
                <w:sz w:val="15"/>
                <w:szCs w:val="15"/>
                <w:color w:val="auto"/>
              </w:rPr>
              <w:t>2.82%</w:t>
            </w:r>
          </w:p>
        </w:tc>
        <w:tc>
          <w:tcPr>
            <w:tcW w:w="360" w:type="dxa"/>
            <w:vAlign w:val="bottom"/>
          </w:tcPr>
          <w:p>
            <w:pPr>
              <w:spacing w:after="0"/>
              <w:rPr>
                <w:sz w:val="19"/>
                <w:szCs w:val="19"/>
                <w:color w:val="auto"/>
              </w:rPr>
            </w:pPr>
          </w:p>
        </w:tc>
        <w:tc>
          <w:tcPr>
            <w:tcW w:w="820" w:type="dxa"/>
            <w:vAlign w:val="bottom"/>
          </w:tcPr>
          <w:p>
            <w:pPr>
              <w:jc w:val="right"/>
              <w:ind w:right="264"/>
              <w:spacing w:after="0"/>
              <w:rPr>
                <w:sz w:val="20"/>
                <w:szCs w:val="20"/>
                <w:color w:val="auto"/>
              </w:rPr>
            </w:pPr>
            <w:r>
              <w:rPr>
                <w:rFonts w:ascii="Arial" w:cs="Arial" w:eastAsia="Arial" w:hAnsi="Arial"/>
                <w:sz w:val="15"/>
                <w:szCs w:val="15"/>
                <w:color w:val="auto"/>
              </w:rPr>
              <w:t>n/a</w:t>
            </w:r>
          </w:p>
        </w:tc>
        <w:tc>
          <w:tcPr>
            <w:tcW w:w="320" w:type="dxa"/>
            <w:vAlign w:val="bottom"/>
          </w:tcPr>
          <w:p>
            <w:pPr>
              <w:spacing w:after="0"/>
              <w:rPr>
                <w:sz w:val="19"/>
                <w:szCs w:val="19"/>
                <w:color w:val="auto"/>
              </w:rPr>
            </w:pPr>
          </w:p>
        </w:tc>
        <w:tc>
          <w:tcPr>
            <w:tcW w:w="980" w:type="dxa"/>
            <w:vAlign w:val="bottom"/>
          </w:tcPr>
          <w:p>
            <w:pPr>
              <w:jc w:val="right"/>
              <w:ind w:right="129"/>
              <w:spacing w:after="0"/>
              <w:rPr>
                <w:sz w:val="20"/>
                <w:szCs w:val="20"/>
                <w:color w:val="auto"/>
              </w:rPr>
            </w:pPr>
            <w:r>
              <w:rPr>
                <w:rFonts w:ascii="Arial" w:cs="Arial" w:eastAsia="Arial" w:hAnsi="Arial"/>
                <w:sz w:val="15"/>
                <w:szCs w:val="15"/>
                <w:color w:val="auto"/>
              </w:rPr>
              <w:t>n/a</w:t>
            </w:r>
          </w:p>
        </w:tc>
        <w:tc>
          <w:tcPr>
            <w:tcW w:w="500" w:type="dxa"/>
            <w:vAlign w:val="bottom"/>
          </w:tcPr>
          <w:p>
            <w:pPr>
              <w:spacing w:after="0"/>
              <w:rPr>
                <w:sz w:val="19"/>
                <w:szCs w:val="19"/>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color w:val="auto"/>
              </w:rPr>
              <w:t>0.07%</w:t>
            </w:r>
          </w:p>
        </w:tc>
        <w:tc>
          <w:tcPr>
            <w:tcW w:w="1100" w:type="dxa"/>
            <w:vAlign w:val="bottom"/>
          </w:tcPr>
          <w:p>
            <w:pPr>
              <w:jc w:val="right"/>
              <w:ind w:right="89"/>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5"/>
                <w:szCs w:val="15"/>
                <w:color w:val="auto"/>
              </w:rPr>
              <w:t>0.08%</w:t>
            </w:r>
          </w:p>
        </w:tc>
        <w:tc>
          <w:tcPr>
            <w:tcW w:w="220" w:type="dxa"/>
            <w:vAlign w:val="bottom"/>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5"/>
                <w:szCs w:val="15"/>
                <w:color w:val="auto"/>
              </w:rPr>
              <w:t>2.97%</w:t>
            </w:r>
          </w:p>
        </w:tc>
      </w:tr>
    </w:tbl>
    <w:p>
      <w:pPr>
        <w:spacing w:after="0" w:line="188" w:lineRule="exact"/>
        <w:rPr>
          <w:sz w:val="20"/>
          <w:szCs w:val="20"/>
          <w:color w:val="auto"/>
        </w:rPr>
      </w:pPr>
    </w:p>
    <w:p>
      <w:pPr>
        <w:ind w:left="420" w:right="20" w:hanging="419"/>
        <w:spacing w:after="0" w:line="242" w:lineRule="auto"/>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EPS, ROIC, Revenue and OPMP metrics exclude the acquisition of ettain group in the fourth quarter of 2021, along with related transaction and integration costs associated with the acquisition. The total impact of this acquisition resulted in a net increase to EPS of $0.09, ROIC of 0.2%, OPMP of 0.03% and a decrease in Revenue of $0.2B. Other non-recurring adjustments also includes an increase to EPS of $0.14, ROIC of 0.3%, OPMP of 0.06% and Revenue of $0.01B related to lost business due to the legislative changes in Mexico, a decrease in EPS of $0.16 and ROIC of 0.03% due to settlement of a pension plan in Germany and an increase in Revenue of $0.1B in constant currency related to the exit of a low margin arrangement in Australia.</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CEO Compensation was Driven by Company Performance</w:t>
      </w:r>
    </w:p>
    <w:p>
      <w:pPr>
        <w:spacing w:after="0" w:line="117"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We remain committed to performance-based compensation. Approximately 75% of Mr. Prising’s 2021 target compensation (excluding the 2021 Special Grant) was tied to Company performance and 91% of his total pay was variable. Including the 2021 Special Grant, these percentages were 81% and 93%, respectively. The discussion below highlights each component of Mr. Prising’s compensation in 2021.</w:t>
      </w:r>
    </w:p>
    <w:p>
      <w:pPr>
        <w:spacing w:after="0" w:line="128"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5D89B4"/>
        </w:rPr>
        <w:t xml:space="preserve">Base Salary: </w:t>
      </w:r>
      <w:r>
        <w:rPr>
          <w:rFonts w:ascii="Arial" w:cs="Arial" w:eastAsia="Arial" w:hAnsi="Arial"/>
          <w:sz w:val="15"/>
          <w:szCs w:val="15"/>
          <w:color w:val="000000"/>
        </w:rPr>
        <w:t>The Committee determined to keep Mr. Prising’s base salary for 2021 at $1,250,000. Mr. Prising’s base salary has been unchanged since 2017, with</w:t>
      </w:r>
      <w:r>
        <w:rPr>
          <w:rFonts w:ascii="Arial" w:cs="Arial" w:eastAsia="Arial" w:hAnsi="Arial"/>
          <w:sz w:val="15"/>
          <w:szCs w:val="15"/>
          <w:color w:val="5D89B4"/>
        </w:rPr>
        <w:t xml:space="preserve"> </w:t>
      </w:r>
      <w:r>
        <w:rPr>
          <w:rFonts w:ascii="Arial" w:cs="Arial" w:eastAsia="Arial" w:hAnsi="Arial"/>
          <w:sz w:val="15"/>
          <w:szCs w:val="15"/>
          <w:color w:val="000000"/>
        </w:rPr>
        <w:t>the exception of the temporary reduction in 2020 due to COVID.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69297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7" w:lineRule="exact"/>
        <w:rPr>
          <w:sz w:val="20"/>
          <w:szCs w:val="20"/>
          <w:color w:val="auto"/>
        </w:rPr>
      </w:pPr>
    </w:p>
    <w:p>
      <w:pPr>
        <w:ind w:left="5340"/>
        <w:spacing w:after="0"/>
        <w:tabs>
          <w:tab w:leader="none" w:pos="5980" w:val="left"/>
        </w:tabs>
        <w:rPr>
          <w:sz w:val="20"/>
          <w:szCs w:val="20"/>
          <w:color w:val="auto"/>
        </w:rPr>
      </w:pPr>
      <w:r>
        <w:rPr>
          <w:rFonts w:ascii="Arial" w:cs="Arial" w:eastAsia="Arial" w:hAnsi="Arial"/>
          <w:sz w:val="20"/>
          <w:szCs w:val="20"/>
          <w:b w:val="1"/>
          <w:bCs w:val="1"/>
          <w:color w:val="5D89B4"/>
        </w:rPr>
        <w:t>27</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-117475</wp:posOffset>
            </wp:positionV>
            <wp:extent cx="934085" cy="169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500" w:top="1164" w:right="49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934200" cy="31381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34200" cy="3138170"/>
                    </a:xfrm>
                    <a:prstGeom prst="rect">
                      <a:avLst/>
                    </a:prstGeom>
                    <a:noFill/>
                  </pic:spPr>
                </pic:pic>
              </a:graphicData>
            </a:graphic>
          </wp:anchor>
        </w:drawing>
      </w:r>
    </w:p>
    <w:p>
      <w:pPr>
        <w:spacing w:after="0" w:line="332" w:lineRule="exact"/>
        <w:rPr>
          <w:sz w:val="20"/>
          <w:szCs w:val="20"/>
          <w:color w:val="auto"/>
        </w:rPr>
      </w:pPr>
    </w:p>
    <w:p>
      <w:pPr>
        <w:ind w:left="180" w:right="60"/>
        <w:spacing w:after="0" w:line="232" w:lineRule="auto"/>
        <w:rPr>
          <w:sz w:val="20"/>
          <w:szCs w:val="20"/>
          <w:color w:val="auto"/>
        </w:rPr>
      </w:pPr>
      <w:r>
        <w:rPr>
          <w:rFonts w:ascii="Arial" w:cs="Arial" w:eastAsia="Arial" w:hAnsi="Arial"/>
          <w:sz w:val="15"/>
          <w:szCs w:val="15"/>
          <w:color w:val="5D89B4"/>
        </w:rPr>
        <w:t xml:space="preserve">Annual Cash Incentive: Payout was Approximately 174% of Target. </w:t>
      </w:r>
      <w:r>
        <w:rPr>
          <w:rFonts w:ascii="Arial" w:cs="Arial" w:eastAsia="Arial" w:hAnsi="Arial"/>
          <w:sz w:val="15"/>
          <w:szCs w:val="15"/>
          <w:color w:val="000000"/>
        </w:rPr>
        <w:t>All of the financial metrics set by the Committee for the 2021 annual incentive were at the</w:t>
      </w:r>
      <w:r>
        <w:rPr>
          <w:rFonts w:ascii="Arial" w:cs="Arial" w:eastAsia="Arial" w:hAnsi="Arial"/>
          <w:sz w:val="15"/>
          <w:szCs w:val="15"/>
          <w:color w:val="5D89B4"/>
        </w:rPr>
        <w:t xml:space="preserve"> </w:t>
      </w:r>
      <w:r>
        <w:rPr>
          <w:rFonts w:ascii="Arial" w:cs="Arial" w:eastAsia="Arial" w:hAnsi="Arial"/>
          <w:sz w:val="15"/>
          <w:szCs w:val="15"/>
          <w:color w:val="000000"/>
        </w:rPr>
        <w:t>outstanding level, as shown below. In light of this, and the Committee’s assessment of Mr. Prising’s achievement of individual operating objectives as CEO, his annual cash incentive payout was 173.8% of target.</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7160" w:type="dxa"/>
            <w:vAlign w:val="bottom"/>
            <w:shd w:val="clear" w:color="auto" w:fill="EAEAEA"/>
          </w:tcPr>
          <w:p>
            <w:pPr>
              <w:spacing w:after="0"/>
              <w:rPr>
                <w:sz w:val="18"/>
                <w:szCs w:val="18"/>
                <w:color w:val="auto"/>
              </w:rPr>
            </w:pPr>
          </w:p>
        </w:tc>
        <w:tc>
          <w:tcPr>
            <w:tcW w:w="1880" w:type="dxa"/>
            <w:vAlign w:val="bottom"/>
            <w:shd w:val="clear" w:color="auto" w:fill="EAEAEA"/>
          </w:tcPr>
          <w:p>
            <w:pPr>
              <w:jc w:val="right"/>
              <w:ind w:right="246"/>
              <w:spacing w:after="0"/>
              <w:rPr>
                <w:sz w:val="20"/>
                <w:szCs w:val="20"/>
                <w:color w:val="auto"/>
              </w:rPr>
            </w:pPr>
            <w:r>
              <w:rPr>
                <w:rFonts w:ascii="Arial" w:cs="Arial" w:eastAsia="Arial" w:hAnsi="Arial"/>
                <w:sz w:val="14"/>
                <w:szCs w:val="14"/>
                <w:b w:val="1"/>
                <w:bCs w:val="1"/>
                <w:color w:val="5D89B4"/>
              </w:rPr>
              <w:t>2021 ACTUAL</w:t>
            </w:r>
          </w:p>
        </w:tc>
        <w:tc>
          <w:tcPr>
            <w:tcW w:w="152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 COMPARED</w:t>
            </w:r>
          </w:p>
        </w:tc>
      </w:tr>
      <w:tr>
        <w:trPr>
          <w:trHeight w:val="189"/>
        </w:trPr>
        <w:tc>
          <w:tcPr>
            <w:tcW w:w="7160" w:type="dxa"/>
            <w:vAlign w:val="bottom"/>
            <w:shd w:val="clear" w:color="auto" w:fill="EAEAEA"/>
          </w:tcPr>
          <w:p>
            <w:pPr>
              <w:spacing w:after="0"/>
              <w:rPr>
                <w:sz w:val="16"/>
                <w:szCs w:val="16"/>
                <w:color w:val="auto"/>
              </w:rPr>
            </w:pPr>
          </w:p>
        </w:tc>
        <w:tc>
          <w:tcPr>
            <w:tcW w:w="1880" w:type="dxa"/>
            <w:vAlign w:val="bottom"/>
            <w:shd w:val="clear" w:color="auto" w:fill="EAEAEA"/>
          </w:tcPr>
          <w:p>
            <w:pPr>
              <w:jc w:val="right"/>
              <w:ind w:right="246"/>
              <w:spacing w:after="0"/>
              <w:rPr>
                <w:sz w:val="20"/>
                <w:szCs w:val="20"/>
                <w:color w:val="auto"/>
              </w:rPr>
            </w:pPr>
            <w:r>
              <w:rPr>
                <w:rFonts w:ascii="Arial" w:cs="Arial" w:eastAsia="Arial" w:hAnsi="Arial"/>
                <w:sz w:val="14"/>
                <w:szCs w:val="14"/>
                <w:b w:val="1"/>
                <w:bCs w:val="1"/>
                <w:color w:val="5D89B4"/>
              </w:rPr>
              <w:t>PAYOUT $</w:t>
            </w:r>
          </w:p>
        </w:tc>
        <w:tc>
          <w:tcPr>
            <w:tcW w:w="152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TO TARGET</w:t>
            </w:r>
          </w:p>
        </w:tc>
      </w:tr>
      <w:tr>
        <w:trPr>
          <w:trHeight w:val="65"/>
        </w:trPr>
        <w:tc>
          <w:tcPr>
            <w:tcW w:w="7160" w:type="dxa"/>
            <w:vAlign w:val="bottom"/>
            <w:shd w:val="clear" w:color="auto" w:fill="EAEAEA"/>
          </w:tcPr>
          <w:p>
            <w:pPr>
              <w:spacing w:after="0"/>
              <w:rPr>
                <w:sz w:val="5"/>
                <w:szCs w:val="5"/>
                <w:color w:val="auto"/>
              </w:rPr>
            </w:pPr>
          </w:p>
        </w:tc>
        <w:tc>
          <w:tcPr>
            <w:tcW w:w="1880" w:type="dxa"/>
            <w:vAlign w:val="bottom"/>
            <w:shd w:val="clear" w:color="auto" w:fill="EAEAEA"/>
          </w:tcPr>
          <w:p>
            <w:pPr>
              <w:spacing w:after="0"/>
              <w:rPr>
                <w:sz w:val="5"/>
                <w:szCs w:val="5"/>
                <w:color w:val="auto"/>
              </w:rPr>
            </w:pPr>
          </w:p>
        </w:tc>
        <w:tc>
          <w:tcPr>
            <w:tcW w:w="1520" w:type="dxa"/>
            <w:vAlign w:val="bottom"/>
            <w:shd w:val="clear" w:color="auto" w:fill="EAEAEA"/>
          </w:tcPr>
          <w:p>
            <w:pPr>
              <w:spacing w:after="0"/>
              <w:rPr>
                <w:sz w:val="5"/>
                <w:szCs w:val="5"/>
                <w:color w:val="auto"/>
              </w:rPr>
            </w:pPr>
          </w:p>
        </w:tc>
      </w:tr>
      <w:tr>
        <w:trPr>
          <w:trHeight w:val="24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EPS Goal</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1,000,000</w:t>
            </w:r>
          </w:p>
        </w:tc>
        <w:tc>
          <w:tcPr>
            <w:tcW w:w="1520" w:type="dxa"/>
            <w:vAlign w:val="bottom"/>
          </w:tcPr>
          <w:p>
            <w:pPr>
              <w:jc w:val="right"/>
              <w:spacing w:after="0"/>
              <w:rPr>
                <w:sz w:val="20"/>
                <w:szCs w:val="20"/>
                <w:color w:val="auto"/>
              </w:rPr>
            </w:pPr>
            <w:r>
              <w:rPr>
                <w:rFonts w:ascii="Arial" w:cs="Arial" w:eastAsia="Arial" w:hAnsi="Arial"/>
                <w:sz w:val="15"/>
                <w:szCs w:val="15"/>
                <w:color w:val="auto"/>
              </w:rPr>
              <w:t>200.0%</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ROIC Goal</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1,000,000</w:t>
            </w:r>
          </w:p>
        </w:tc>
        <w:tc>
          <w:tcPr>
            <w:tcW w:w="1520" w:type="dxa"/>
            <w:vAlign w:val="bottom"/>
          </w:tcPr>
          <w:p>
            <w:pPr>
              <w:jc w:val="right"/>
              <w:spacing w:after="0"/>
              <w:rPr>
                <w:sz w:val="20"/>
                <w:szCs w:val="20"/>
                <w:color w:val="auto"/>
              </w:rPr>
            </w:pPr>
            <w:r>
              <w:rPr>
                <w:rFonts w:ascii="Arial" w:cs="Arial" w:eastAsia="Arial" w:hAnsi="Arial"/>
                <w:sz w:val="15"/>
                <w:szCs w:val="15"/>
                <w:color w:val="auto"/>
              </w:rPr>
              <w:t>200.0%</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Revenue Goal</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800,000</w:t>
            </w:r>
          </w:p>
        </w:tc>
        <w:tc>
          <w:tcPr>
            <w:tcW w:w="1520" w:type="dxa"/>
            <w:vAlign w:val="bottom"/>
          </w:tcPr>
          <w:p>
            <w:pPr>
              <w:jc w:val="right"/>
              <w:spacing w:after="0"/>
              <w:rPr>
                <w:sz w:val="20"/>
                <w:szCs w:val="20"/>
                <w:color w:val="auto"/>
              </w:rPr>
            </w:pPr>
            <w:r>
              <w:rPr>
                <w:rFonts w:ascii="Arial" w:cs="Arial" w:eastAsia="Arial" w:hAnsi="Arial"/>
                <w:sz w:val="15"/>
                <w:szCs w:val="15"/>
                <w:color w:val="auto"/>
              </w:rPr>
              <w:t>200.0%</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Operating Objectives</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675,000</w:t>
            </w:r>
          </w:p>
        </w:tc>
        <w:tc>
          <w:tcPr>
            <w:tcW w:w="1520" w:type="dxa"/>
            <w:vAlign w:val="bottom"/>
          </w:tcPr>
          <w:p>
            <w:pPr>
              <w:jc w:val="right"/>
              <w:spacing w:after="0"/>
              <w:rPr>
                <w:sz w:val="20"/>
                <w:szCs w:val="20"/>
                <w:color w:val="auto"/>
              </w:rPr>
            </w:pPr>
            <w:r>
              <w:rPr>
                <w:rFonts w:ascii="Arial" w:cs="Arial" w:eastAsia="Arial" w:hAnsi="Arial"/>
                <w:sz w:val="15"/>
                <w:szCs w:val="15"/>
                <w:color w:val="auto"/>
              </w:rPr>
              <w:t>112.5%</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3,475,000</w:t>
            </w:r>
          </w:p>
        </w:tc>
        <w:tc>
          <w:tcPr>
            <w:tcW w:w="1520" w:type="dxa"/>
            <w:vAlign w:val="bottom"/>
          </w:tcPr>
          <w:p>
            <w:pPr>
              <w:jc w:val="right"/>
              <w:spacing w:after="0"/>
              <w:rPr>
                <w:sz w:val="20"/>
                <w:szCs w:val="20"/>
                <w:color w:val="auto"/>
              </w:rPr>
            </w:pPr>
            <w:r>
              <w:rPr>
                <w:rFonts w:ascii="Arial" w:cs="Arial" w:eastAsia="Arial" w:hAnsi="Arial"/>
                <w:sz w:val="15"/>
                <w:szCs w:val="15"/>
                <w:color w:val="auto"/>
              </w:rPr>
              <w:t>173.8%</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bl>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5D89B4"/>
        </w:rPr>
        <w:t xml:space="preserve">Long-Term Equity Awards. </w:t>
      </w:r>
      <w:r>
        <w:rPr>
          <w:rFonts w:ascii="Arial" w:cs="Arial" w:eastAsia="Arial" w:hAnsi="Arial"/>
          <w:sz w:val="15"/>
          <w:szCs w:val="15"/>
          <w:color w:val="000000"/>
        </w:rPr>
        <w:t>In 2021, Mr. Prising received three types of long-term equity grants as part of his regular compensation:</w:t>
      </w:r>
    </w:p>
    <w:p>
      <w:pPr>
        <w:spacing w:after="0" w:line="68" w:lineRule="exact"/>
        <w:rPr>
          <w:sz w:val="20"/>
          <w:szCs w:val="20"/>
          <w:color w:val="auto"/>
        </w:rPr>
      </w:pPr>
    </w:p>
    <w:p>
      <w:pPr>
        <w:ind w:left="380" w:right="60" w:hanging="196"/>
        <w:spacing w:after="0" w:line="232" w:lineRule="auto"/>
        <w:tabs>
          <w:tab w:leader="none" w:pos="3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Approximately 43% comprised a “regular” annual grant of PSUs that will vest over three years. The Committee set a one-year performance period of 2021 for these grants, given the unique pandemic-related challenges in setting three years of meaningful OPMP goals at the time this grant was made in February 2021. However, application of the KPI modifier and vesting will be on a three-year timeframe.</w:t>
      </w:r>
    </w:p>
    <w:p>
      <w:pPr>
        <w:spacing w:after="0" w:line="61" w:lineRule="exact"/>
        <w:rPr>
          <w:rFonts w:ascii="Arial" w:cs="Arial" w:eastAsia="Arial" w:hAnsi="Arial"/>
          <w:sz w:val="15"/>
          <w:szCs w:val="15"/>
          <w:color w:val="auto"/>
        </w:rPr>
      </w:pPr>
    </w:p>
    <w:p>
      <w:pPr>
        <w:jc w:val="both"/>
        <w:ind w:left="380" w:right="80" w:hanging="196"/>
        <w:spacing w:after="0" w:line="232" w:lineRule="auto"/>
        <w:tabs>
          <w:tab w:leader="none" w:pos="3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Approximately 29% comprised the one-time 2021 Special Grant of PSUs that will vest over two years. As noted above, the 2021 Special Grant was made in recognition that the Committee’s annual grants made in February 2020 featured three-year OPMP targets that were obsolete weeks after their adoption following the onset of the pandemic. The 2021 Special Grant is based on average OPMP for 2021 and 2022.</w:t>
      </w:r>
    </w:p>
    <w:p>
      <w:pPr>
        <w:spacing w:after="0" w:line="61" w:lineRule="exact"/>
        <w:rPr>
          <w:rFonts w:ascii="Arial" w:cs="Arial" w:eastAsia="Arial" w:hAnsi="Arial"/>
          <w:sz w:val="15"/>
          <w:szCs w:val="15"/>
          <w:color w:val="auto"/>
        </w:rPr>
      </w:pPr>
    </w:p>
    <w:p>
      <w:pPr>
        <w:ind w:left="380" w:hanging="196"/>
        <w:spacing w:after="0"/>
        <w:tabs>
          <w:tab w:leader="none" w:pos="3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Approximately 14% were stock options that vest over a four-year period.</w:t>
      </w:r>
    </w:p>
    <w:p>
      <w:pPr>
        <w:spacing w:after="0" w:line="68" w:lineRule="exact"/>
        <w:rPr>
          <w:rFonts w:ascii="Arial" w:cs="Arial" w:eastAsia="Arial" w:hAnsi="Arial"/>
          <w:sz w:val="15"/>
          <w:szCs w:val="15"/>
          <w:color w:val="auto"/>
        </w:rPr>
      </w:pPr>
    </w:p>
    <w:p>
      <w:pPr>
        <w:ind w:left="380" w:hanging="196"/>
        <w:spacing w:after="0"/>
        <w:tabs>
          <w:tab w:leader="none" w:pos="3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Approximately 14% were restricted stock units (“RSUs”) that cliff vest in full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69297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28</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40"/>
          </w:cols>
          <w:pgMar w:left="480" w:top="1165" w:right="67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104775</wp:posOffset>
            </wp:positionV>
            <wp:extent cx="6934200" cy="50653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34200" cy="506539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Key Compensation and Governance Policies</w:t>
      </w:r>
    </w:p>
    <w:p>
      <w:pPr>
        <w:spacing w:after="0" w:line="224" w:lineRule="exact"/>
        <w:rPr>
          <w:sz w:val="20"/>
          <w:szCs w:val="20"/>
          <w:color w:val="auto"/>
        </w:rPr>
      </w:pPr>
    </w:p>
    <w:p>
      <w:pPr>
        <w:ind w:right="300"/>
        <w:spacing w:after="0" w:line="237" w:lineRule="auto"/>
        <w:rPr>
          <w:sz w:val="20"/>
          <w:szCs w:val="20"/>
          <w:color w:val="auto"/>
        </w:rPr>
      </w:pPr>
      <w:r>
        <w:rPr>
          <w:rFonts w:ascii="Arial" w:cs="Arial" w:eastAsia="Arial" w:hAnsi="Arial"/>
          <w:sz w:val="15"/>
          <w:szCs w:val="15"/>
          <w:color w:val="auto"/>
        </w:rPr>
        <w:t>The Committee continually reviews the Company’s executive compensation program to maintain compensation practices that are in the best interests of our shareholders. Some of our key policies are summarized below: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5D89B4"/>
        </w:rPr>
        <w:t>What We Do</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tie executive pay to performance.</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set challenging performance objectives that align with company performance.</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appropriately balance short-term and long-term incentives.</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have caps on the potential payouts under the PSU grants and our annual incentive program.</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use double triggers in our severance agreements and our equity awards.</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maintain significant stock ownership guidelines for our NEOs.</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have a clawback policy for our cash incentive and equity awards.</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Committee engages an independent compensation consultant.</w:t>
      </w:r>
    </w:p>
    <w:p>
      <w:pPr>
        <w:spacing w:after="0" w:line="122" w:lineRule="exact"/>
        <w:rPr>
          <w:sz w:val="20"/>
          <w:szCs w:val="20"/>
          <w:color w:val="auto"/>
        </w:rPr>
      </w:pPr>
    </w:p>
    <w:p>
      <w:pPr>
        <w:ind w:left="740" w:right="800"/>
        <w:spacing w:after="0" w:line="237" w:lineRule="auto"/>
        <w:rPr>
          <w:sz w:val="20"/>
          <w:szCs w:val="20"/>
          <w:color w:val="auto"/>
        </w:rPr>
      </w:pPr>
      <w:r>
        <w:rPr>
          <w:rFonts w:ascii="Arial" w:cs="Arial" w:eastAsia="Arial" w:hAnsi="Arial"/>
          <w:sz w:val="15"/>
          <w:szCs w:val="15"/>
          <w:color w:val="auto"/>
        </w:rPr>
        <w:t>We use appropriate peer groups when establishing compensation which the Committee devotes considerable effort in re-evaluating on an annual basis.</w:t>
      </w:r>
    </w:p>
    <w:p>
      <w:pPr>
        <w:spacing w:after="0" w:line="8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regularly reach out to leading shareholders and their advisory firms to discuss our governance and executive compensation.</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5D89B4"/>
        </w:rPr>
        <w:t>What We Don’t Do</w:t>
      </w:r>
    </w:p>
    <w:p>
      <w:pPr>
        <w:spacing w:after="0" w:line="173" w:lineRule="exact"/>
        <w:rPr>
          <w:sz w:val="20"/>
          <w:szCs w:val="20"/>
          <w:color w:val="auto"/>
        </w:rPr>
      </w:pPr>
    </w:p>
    <w:p>
      <w:pPr>
        <w:jc w:val="both"/>
        <w:ind w:left="740" w:right="920"/>
        <w:spacing w:after="0" w:line="230" w:lineRule="auto"/>
        <w:rPr>
          <w:sz w:val="20"/>
          <w:szCs w:val="20"/>
          <w:color w:val="auto"/>
        </w:rPr>
      </w:pPr>
      <w:r>
        <w:rPr>
          <w:rFonts w:ascii="Arial" w:cs="Arial" w:eastAsia="Arial" w:hAnsi="Arial"/>
          <w:sz w:val="15"/>
          <w:szCs w:val="15"/>
          <w:color w:val="auto"/>
        </w:rPr>
        <w:t>We do not use Total Shareholder Return (“TSR”) as a performance metric for our NEOs. In our experience, TSR captures fluctuations in stock price, rather than measuring the performance of our executive team in operating our business. Our stock price can be sensitive to perceived changes in the global business climate, with fluctuations in stock price that are often de-coupled from the fundamentals of our business.</w:t>
      </w:r>
    </w:p>
    <w:p>
      <w:pPr>
        <w:spacing w:after="0" w:line="88"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do not provide tax gross up payments for any amounts considered excess parachute payments.</w:t>
      </w:r>
    </w:p>
    <w:p>
      <w:pPr>
        <w:spacing w:after="0" w:line="9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do not pay dividends or dividend equivalents prior to vesting.</w:t>
      </w:r>
    </w:p>
    <w:p>
      <w:pPr>
        <w:spacing w:after="0" w:line="95" w:lineRule="exact"/>
        <w:rPr>
          <w:sz w:val="20"/>
          <w:szCs w:val="20"/>
          <w:color w:val="auto"/>
        </w:rPr>
      </w:pPr>
    </w:p>
    <w:p>
      <w:pPr>
        <w:ind w:left="740" w:right="780"/>
        <w:spacing w:after="0" w:line="237" w:lineRule="auto"/>
        <w:rPr>
          <w:sz w:val="20"/>
          <w:szCs w:val="20"/>
          <w:color w:val="auto"/>
        </w:rPr>
      </w:pPr>
      <w:r>
        <w:rPr>
          <w:rFonts w:ascii="Arial" w:cs="Arial" w:eastAsia="Arial" w:hAnsi="Arial"/>
          <w:sz w:val="15"/>
          <w:szCs w:val="15"/>
          <w:color w:val="auto"/>
        </w:rPr>
        <w:t>We do not encourage undue risk taking in our compensation plans. By using varied financial metrics and setting caps on potential payouts the company mitigates undue risk taking.</w:t>
      </w:r>
    </w:p>
    <w:p>
      <w:pPr>
        <w:spacing w:after="0" w:line="8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do not permit the repricing of stock options without prior shareholder approval, except in connection with a transaction.</w:t>
      </w:r>
    </w:p>
    <w:p>
      <w:pPr>
        <w:spacing w:after="0" w:line="9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do not allow hedging or pledging of ManpowerGroup stock.</w:t>
      </w:r>
    </w:p>
    <w:p>
      <w:pPr>
        <w:spacing w:after="0" w:line="9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do not provide excessive perquisites to our NEOs or provide tax gross up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207010</wp:posOffset>
            </wp:positionV>
            <wp:extent cx="69297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180"/>
        <w:spacing w:after="0"/>
        <w:tabs>
          <w:tab w:leader="none" w:pos="5820" w:val="left"/>
        </w:tabs>
        <w:rPr>
          <w:sz w:val="20"/>
          <w:szCs w:val="20"/>
          <w:color w:val="auto"/>
        </w:rPr>
      </w:pPr>
      <w:r>
        <w:rPr>
          <w:rFonts w:ascii="Arial" w:cs="Arial" w:eastAsia="Arial" w:hAnsi="Arial"/>
          <w:sz w:val="20"/>
          <w:szCs w:val="20"/>
          <w:b w:val="1"/>
          <w:bCs w:val="1"/>
          <w:color w:val="5D89B4"/>
        </w:rPr>
        <w:t>29</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-117475</wp:posOffset>
            </wp:positionV>
            <wp:extent cx="934085" cy="169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40"/>
          </w:cols>
          <w:pgMar w:left="660" w:top="1165" w:right="49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ManpowerGroup Compensation Principles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Company’s executive compensation framework is guided by a series of core philosophies and principles,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147320</wp:posOffset>
            </wp:positionV>
            <wp:extent cx="6717665" cy="543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717665" cy="543560"/>
                    </a:xfrm>
                    <a:prstGeom prst="rect">
                      <a:avLst/>
                    </a:prstGeom>
                    <a:noFill/>
                  </pic:spPr>
                </pic:pic>
              </a:graphicData>
            </a:graphic>
          </wp:anchor>
        </w:drawing>
      </w:r>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5D89B4"/>
        </w:rPr>
        <w:t>EXECUTIVE COMPENSATION FRAMEWORK</w:t>
      </w:r>
    </w:p>
    <w:p>
      <w:pPr>
        <w:spacing w:after="0" w:line="1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5D89B4"/>
        </w:rPr>
        <w:t>CORE PHILOSOPHIES AND PRINCIPLES:</w:t>
      </w:r>
    </w:p>
    <w:p>
      <w:pPr>
        <w:sectPr>
          <w:pgSz w:w="11900" w:h="16838" w:orient="portrait"/>
          <w:cols w:equalWidth="0" w:num="1">
            <w:col w:w="10640"/>
          </w:cols>
          <w:pgMar w:left="480" w:top="1165" w:right="77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D89B4"/>
        </w:rPr>
        <w:t>1. Aligned to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-116205</wp:posOffset>
            </wp:positionV>
            <wp:extent cx="8255" cy="25565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2556510"/>
                    </a:xfrm>
                    <a:prstGeom prst="rect">
                      <a:avLst/>
                    </a:prstGeom>
                    <a:noFill/>
                  </pic:spPr>
                </pic:pic>
              </a:graphicData>
            </a:graphic>
          </wp:anchor>
        </w:drawing>
      </w:r>
    </w:p>
    <w:p>
      <w:pPr>
        <w:spacing w:after="0" w:line="234" w:lineRule="exact"/>
        <w:rPr>
          <w:sz w:val="20"/>
          <w:szCs w:val="20"/>
          <w:color w:val="auto"/>
        </w:rPr>
      </w:pPr>
    </w:p>
    <w:p>
      <w:pPr>
        <w:ind w:left="360" w:hanging="186"/>
        <w:spacing w:after="0" w:line="230" w:lineRule="auto"/>
        <w:tabs>
          <w:tab w:leader="none" w:pos="3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Compensation programs align executives’ interests with those of our stakeholders and appropriately balance risk and rewards</w:t>
      </w:r>
    </w:p>
    <w:p>
      <w:pPr>
        <w:spacing w:after="0" w:line="61" w:lineRule="exact"/>
        <w:rPr>
          <w:rFonts w:ascii="Arial" w:cs="Arial" w:eastAsia="Arial" w:hAnsi="Arial"/>
          <w:sz w:val="15"/>
          <w:szCs w:val="15"/>
          <w:color w:val="auto"/>
        </w:rPr>
      </w:pPr>
    </w:p>
    <w:p>
      <w:pPr>
        <w:ind w:left="320" w:hanging="146"/>
        <w:spacing w:after="0"/>
        <w:tabs>
          <w:tab w:leader="none" w:pos="3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Stakeholder value is created by:</w:t>
      </w:r>
    </w:p>
    <w:p>
      <w:pPr>
        <w:spacing w:after="0" w:line="68" w:lineRule="exact"/>
        <w:rPr>
          <w:rFonts w:ascii="Arial" w:cs="Arial" w:eastAsia="Arial" w:hAnsi="Arial"/>
          <w:sz w:val="15"/>
          <w:szCs w:val="15"/>
          <w:color w:val="auto"/>
        </w:rPr>
      </w:pPr>
    </w:p>
    <w:p>
      <w:pPr>
        <w:ind w:left="540" w:right="120" w:hanging="179"/>
        <w:spacing w:after="0" w:line="237" w:lineRule="auto"/>
        <w:rPr>
          <w:rFonts w:ascii="Arial" w:cs="Arial" w:eastAsia="Arial" w:hAnsi="Arial"/>
          <w:sz w:val="15"/>
          <w:szCs w:val="15"/>
          <w:color w:val="auto"/>
        </w:rPr>
      </w:pPr>
      <w:r>
        <w:rPr>
          <w:rFonts w:ascii="Arial" w:cs="Arial" w:eastAsia="Arial" w:hAnsi="Arial"/>
          <w:sz w:val="15"/>
          <w:szCs w:val="15"/>
          <w:color w:val="auto"/>
        </w:rPr>
        <w:t>– Sound fiscal management and shareholder value creation</w:t>
      </w:r>
    </w:p>
    <w:p>
      <w:pPr>
        <w:spacing w:after="0" w:line="60" w:lineRule="exact"/>
        <w:rPr>
          <w:rFonts w:ascii="Arial" w:cs="Arial" w:eastAsia="Arial" w:hAnsi="Arial"/>
          <w:sz w:val="15"/>
          <w:szCs w:val="15"/>
          <w:color w:val="auto"/>
        </w:rPr>
      </w:pPr>
    </w:p>
    <w:p>
      <w:pPr>
        <w:ind w:left="540" w:right="20" w:hanging="179"/>
        <w:spacing w:after="0" w:line="237" w:lineRule="auto"/>
        <w:rPr>
          <w:rFonts w:ascii="Arial" w:cs="Arial" w:eastAsia="Arial" w:hAnsi="Arial"/>
          <w:sz w:val="15"/>
          <w:szCs w:val="15"/>
          <w:color w:val="auto"/>
        </w:rPr>
      </w:pPr>
      <w:r>
        <w:rPr>
          <w:rFonts w:ascii="Arial" w:cs="Arial" w:eastAsia="Arial" w:hAnsi="Arial"/>
          <w:sz w:val="15"/>
          <w:szCs w:val="15"/>
          <w:color w:val="auto"/>
        </w:rPr>
        <w:t>– Attracting and retaining the best talent needed to scale</w:t>
      </w:r>
    </w:p>
    <w:p>
      <w:pPr>
        <w:spacing w:after="0" w:line="60" w:lineRule="exact"/>
        <w:rPr>
          <w:rFonts w:ascii="Arial" w:cs="Arial" w:eastAsia="Arial" w:hAnsi="Arial"/>
          <w:sz w:val="15"/>
          <w:szCs w:val="15"/>
          <w:color w:val="auto"/>
        </w:rPr>
      </w:pPr>
    </w:p>
    <w:p>
      <w:pPr>
        <w:ind w:left="540" w:hanging="179"/>
        <w:spacing w:after="0" w:line="232" w:lineRule="auto"/>
        <w:rPr>
          <w:rFonts w:ascii="Arial" w:cs="Arial" w:eastAsia="Arial" w:hAnsi="Arial"/>
          <w:sz w:val="15"/>
          <w:szCs w:val="15"/>
          <w:color w:val="auto"/>
        </w:rPr>
      </w:pPr>
      <w:r>
        <w:rPr>
          <w:rFonts w:ascii="Arial" w:cs="Arial" w:eastAsia="Arial" w:hAnsi="Arial"/>
          <w:sz w:val="15"/>
          <w:szCs w:val="15"/>
          <w:color w:val="auto"/>
        </w:rPr>
        <w:t>– Cultivating and enhancing the Company’s brand, purpose, and vision</w:t>
      </w:r>
    </w:p>
    <w:p>
      <w:pPr>
        <w:spacing w:after="0" w:line="61" w:lineRule="exact"/>
        <w:rPr>
          <w:rFonts w:ascii="Arial" w:cs="Arial" w:eastAsia="Arial" w:hAnsi="Arial"/>
          <w:sz w:val="15"/>
          <w:szCs w:val="15"/>
          <w:color w:val="auto"/>
        </w:rPr>
      </w:pPr>
    </w:p>
    <w:p>
      <w:pPr>
        <w:ind w:left="540" w:right="360" w:hanging="179"/>
        <w:spacing w:after="0" w:line="232" w:lineRule="auto"/>
        <w:rPr>
          <w:rFonts w:ascii="Arial" w:cs="Arial" w:eastAsia="Arial" w:hAnsi="Arial"/>
          <w:sz w:val="15"/>
          <w:szCs w:val="15"/>
          <w:color w:val="auto"/>
        </w:rPr>
      </w:pPr>
      <w:r>
        <w:rPr>
          <w:rFonts w:ascii="Arial" w:cs="Arial" w:eastAsia="Arial" w:hAnsi="Arial"/>
          <w:sz w:val="15"/>
          <w:szCs w:val="15"/>
          <w:color w:val="auto"/>
        </w:rPr>
        <w:t>– Excellent client, employee, candidate, and associate experiences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5D89B4"/>
        </w:rPr>
        <w:t>2. Performance-Focused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-116205</wp:posOffset>
            </wp:positionV>
            <wp:extent cx="8255" cy="25565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2556510"/>
                    </a:xfrm>
                    <a:prstGeom prst="rect">
                      <a:avLst/>
                    </a:prstGeom>
                    <a:noFill/>
                  </pic:spPr>
                </pic:pic>
              </a:graphicData>
            </a:graphic>
          </wp:anchor>
        </w:drawing>
      </w:r>
    </w:p>
    <w:p>
      <w:pPr>
        <w:spacing w:after="0" w:line="234" w:lineRule="exact"/>
        <w:rPr>
          <w:sz w:val="20"/>
          <w:szCs w:val="20"/>
          <w:color w:val="auto"/>
        </w:rPr>
      </w:pPr>
    </w:p>
    <w:p>
      <w:pPr>
        <w:jc w:val="both"/>
        <w:ind w:left="184" w:right="100" w:hanging="184"/>
        <w:spacing w:after="0" w:line="237" w:lineRule="auto"/>
        <w:tabs>
          <w:tab w:leader="none" w:pos="141"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majority of pay for executives is at-risk and performance-based</w:t>
      </w:r>
    </w:p>
    <w:p>
      <w:pPr>
        <w:spacing w:after="0" w:line="60" w:lineRule="exact"/>
        <w:rPr>
          <w:rFonts w:ascii="Arial" w:cs="Arial" w:eastAsia="Arial" w:hAnsi="Arial"/>
          <w:sz w:val="15"/>
          <w:szCs w:val="15"/>
          <w:color w:val="auto"/>
        </w:rPr>
      </w:pPr>
    </w:p>
    <w:p>
      <w:pPr>
        <w:ind w:left="184" w:hanging="184"/>
        <w:spacing w:after="0" w:line="230" w:lineRule="auto"/>
        <w:tabs>
          <w:tab w:leader="none" w:pos="144" w:val="left"/>
        </w:tabs>
        <w:numPr>
          <w:ilvl w:val="0"/>
          <w:numId w:val="67"/>
        </w:numPr>
        <w:rPr>
          <w:rFonts w:ascii="Arial" w:cs="Arial" w:eastAsia="Arial" w:hAnsi="Arial"/>
          <w:sz w:val="15"/>
          <w:szCs w:val="15"/>
          <w:color w:val="auto"/>
        </w:rPr>
      </w:pPr>
      <w:r>
        <w:rPr>
          <w:rFonts w:ascii="Arial" w:cs="Arial" w:eastAsia="Arial" w:hAnsi="Arial"/>
          <w:sz w:val="15"/>
          <w:szCs w:val="15"/>
          <w:color w:val="auto"/>
        </w:rPr>
        <w:t>Compensation is designed to motivate the executives to achieve the Company’s annual and long-term strategic goals</w:t>
      </w:r>
    </w:p>
    <w:p>
      <w:pPr>
        <w:spacing w:after="0" w:line="60" w:lineRule="exact"/>
        <w:rPr>
          <w:rFonts w:ascii="Arial" w:cs="Arial" w:eastAsia="Arial" w:hAnsi="Arial"/>
          <w:sz w:val="15"/>
          <w:szCs w:val="15"/>
          <w:color w:val="auto"/>
        </w:rPr>
      </w:pPr>
    </w:p>
    <w:p>
      <w:pPr>
        <w:ind w:left="184" w:right="100" w:hanging="184"/>
        <w:spacing w:after="0" w:line="232" w:lineRule="auto"/>
        <w:tabs>
          <w:tab w:leader="none" w:pos="144"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Recognize the cyclical nature of our business, with clearly defined KPIs to drive focus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5D89B4"/>
        </w:rPr>
        <w:t>3. Market-Competitive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-116205</wp:posOffset>
            </wp:positionV>
            <wp:extent cx="8255" cy="25565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2556510"/>
                    </a:xfrm>
                    <a:prstGeom prst="rect">
                      <a:avLst/>
                    </a:prstGeom>
                    <a:noFill/>
                  </pic:spPr>
                </pic:pic>
              </a:graphicData>
            </a:graphic>
          </wp:anchor>
        </w:drawing>
      </w:r>
    </w:p>
    <w:p>
      <w:pPr>
        <w:spacing w:after="0" w:line="314" w:lineRule="exact"/>
        <w:rPr>
          <w:sz w:val="20"/>
          <w:szCs w:val="20"/>
          <w:color w:val="auto"/>
        </w:rPr>
      </w:pPr>
    </w:p>
    <w:p>
      <w:pPr>
        <w:ind w:left="183" w:hanging="183"/>
        <w:spacing w:after="0" w:line="237" w:lineRule="auto"/>
        <w:tabs>
          <w:tab w:leader="none" w:pos="142" w:val="left"/>
        </w:tabs>
        <w:numPr>
          <w:ilvl w:val="0"/>
          <w:numId w:val="68"/>
        </w:numPr>
        <w:rPr>
          <w:rFonts w:ascii="Arial" w:cs="Arial" w:eastAsia="Arial" w:hAnsi="Arial"/>
          <w:sz w:val="15"/>
          <w:szCs w:val="15"/>
          <w:color w:val="auto"/>
        </w:rPr>
      </w:pPr>
      <w:r>
        <w:rPr>
          <w:rFonts w:ascii="Arial" w:cs="Arial" w:eastAsia="Arial" w:hAnsi="Arial"/>
          <w:sz w:val="15"/>
          <w:szCs w:val="15"/>
          <w:color w:val="auto"/>
        </w:rPr>
        <w:t>Compensation opportunities are anchored to the competitive market</w:t>
      </w:r>
    </w:p>
    <w:p>
      <w:pPr>
        <w:spacing w:after="0" w:line="60" w:lineRule="exact"/>
        <w:rPr>
          <w:rFonts w:ascii="Arial" w:cs="Arial" w:eastAsia="Arial" w:hAnsi="Arial"/>
          <w:sz w:val="15"/>
          <w:szCs w:val="15"/>
          <w:color w:val="auto"/>
        </w:rPr>
      </w:pPr>
    </w:p>
    <w:p>
      <w:pPr>
        <w:ind w:left="183" w:right="540" w:hanging="183"/>
        <w:spacing w:after="0" w:line="237" w:lineRule="auto"/>
        <w:tabs>
          <w:tab w:leader="none" w:pos="142" w:val="left"/>
        </w:tabs>
        <w:numPr>
          <w:ilvl w:val="0"/>
          <w:numId w:val="68"/>
        </w:numPr>
        <w:rPr>
          <w:rFonts w:ascii="Arial" w:cs="Arial" w:eastAsia="Arial" w:hAnsi="Arial"/>
          <w:sz w:val="15"/>
          <w:szCs w:val="15"/>
          <w:color w:val="auto"/>
        </w:rPr>
      </w:pPr>
      <w:r>
        <w:rPr>
          <w:rFonts w:ascii="Arial" w:cs="Arial" w:eastAsia="Arial" w:hAnsi="Arial"/>
          <w:sz w:val="15"/>
          <w:szCs w:val="15"/>
          <w:color w:val="auto"/>
        </w:rPr>
        <w:t>Ensure rewards are fair and equitable for each role</w:t>
      </w:r>
    </w:p>
    <w:p>
      <w:pPr>
        <w:spacing w:after="0" w:line="60" w:lineRule="exact"/>
        <w:rPr>
          <w:rFonts w:ascii="Arial" w:cs="Arial" w:eastAsia="Arial" w:hAnsi="Arial"/>
          <w:sz w:val="15"/>
          <w:szCs w:val="15"/>
          <w:color w:val="auto"/>
        </w:rPr>
      </w:pPr>
    </w:p>
    <w:p>
      <w:pPr>
        <w:ind w:left="183" w:right="200" w:hanging="183"/>
        <w:spacing w:after="0" w:line="232" w:lineRule="auto"/>
        <w:tabs>
          <w:tab w:leader="none" w:pos="142" w:val="left"/>
        </w:tabs>
        <w:numPr>
          <w:ilvl w:val="0"/>
          <w:numId w:val="68"/>
        </w:numPr>
        <w:rPr>
          <w:rFonts w:ascii="Arial" w:cs="Arial" w:eastAsia="Arial" w:hAnsi="Arial"/>
          <w:sz w:val="15"/>
          <w:szCs w:val="15"/>
          <w:color w:val="auto"/>
        </w:rPr>
      </w:pPr>
      <w:r>
        <w:rPr>
          <w:rFonts w:ascii="Arial" w:cs="Arial" w:eastAsia="Arial" w:hAnsi="Arial"/>
          <w:sz w:val="15"/>
          <w:szCs w:val="15"/>
          <w:color w:val="auto"/>
        </w:rPr>
        <w:t>Compensation is differentiated to consider individual value and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1697355</wp:posOffset>
            </wp:positionV>
            <wp:extent cx="69297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260" w:right="820" w:hanging="255"/>
        <w:spacing w:after="0" w:line="265" w:lineRule="auto"/>
        <w:tabs>
          <w:tab w:leader="none" w:pos="210" w:val="left"/>
        </w:tabs>
        <w:numPr>
          <w:ilvl w:val="0"/>
          <w:numId w:val="69"/>
        </w:numPr>
        <w:rPr>
          <w:rFonts w:ascii="Arial" w:cs="Arial" w:eastAsia="Arial" w:hAnsi="Arial"/>
          <w:sz w:val="18"/>
          <w:szCs w:val="18"/>
          <w:b w:val="1"/>
          <w:bCs w:val="1"/>
          <w:color w:val="5D89B4"/>
        </w:rPr>
      </w:pPr>
      <w:r>
        <w:rPr>
          <w:rFonts w:ascii="Arial" w:cs="Arial" w:eastAsia="Arial" w:hAnsi="Arial"/>
          <w:sz w:val="18"/>
          <w:szCs w:val="18"/>
          <w:b w:val="1"/>
          <w:bCs w:val="1"/>
          <w:color w:val="5D89B4"/>
        </w:rPr>
        <w:t>Transparent and Relevant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Compensation programs</w:t>
      </w:r>
    </w:p>
    <w:p>
      <w:pPr>
        <w:ind w:left="180" w:right="220"/>
        <w:spacing w:after="0" w:line="237" w:lineRule="auto"/>
        <w:rPr>
          <w:sz w:val="20"/>
          <w:szCs w:val="20"/>
          <w:color w:val="auto"/>
        </w:rPr>
      </w:pPr>
      <w:r>
        <w:rPr>
          <w:rFonts w:ascii="Arial" w:cs="Arial" w:eastAsia="Arial" w:hAnsi="Arial"/>
          <w:sz w:val="15"/>
          <w:szCs w:val="15"/>
          <w:color w:val="auto"/>
        </w:rPr>
        <w:t>are clearly communicated and easy to understand</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 Programs include metrics</w:t>
      </w:r>
    </w:p>
    <w:p>
      <w:pPr>
        <w:ind w:left="180" w:right="20"/>
        <w:spacing w:after="0" w:line="237" w:lineRule="auto"/>
        <w:rPr>
          <w:sz w:val="20"/>
          <w:szCs w:val="20"/>
          <w:color w:val="auto"/>
        </w:rPr>
      </w:pPr>
      <w:r>
        <w:rPr>
          <w:rFonts w:ascii="Arial" w:cs="Arial" w:eastAsia="Arial" w:hAnsi="Arial"/>
          <w:sz w:val="15"/>
          <w:szCs w:val="15"/>
          <w:color w:val="auto"/>
        </w:rPr>
        <w:t>that are core to the business and have line of sight for executives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5. Aligned to Our Values</w:t>
      </w:r>
    </w:p>
    <w:p>
      <w:pPr>
        <w:spacing w:after="0" w:line="93" w:lineRule="exact"/>
        <w:rPr>
          <w:sz w:val="20"/>
          <w:szCs w:val="20"/>
          <w:color w:val="auto"/>
        </w:rPr>
      </w:pPr>
    </w:p>
    <w:p>
      <w:pPr>
        <w:ind w:left="180" w:right="160" w:hanging="175"/>
        <w:spacing w:after="0" w:line="237" w:lineRule="auto"/>
        <w:tabs>
          <w:tab w:leader="none" w:pos="1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Ensure rewards are fair and equitable among internal peers</w:t>
      </w:r>
    </w:p>
    <w:p>
      <w:pPr>
        <w:spacing w:after="0" w:line="100" w:lineRule="exact"/>
        <w:rPr>
          <w:rFonts w:ascii="Arial" w:cs="Arial" w:eastAsia="Arial" w:hAnsi="Arial"/>
          <w:sz w:val="15"/>
          <w:szCs w:val="15"/>
          <w:color w:val="auto"/>
        </w:rPr>
      </w:pPr>
    </w:p>
    <w:p>
      <w:pPr>
        <w:ind w:left="180" w:hanging="175"/>
        <w:spacing w:after="0" w:line="230" w:lineRule="auto"/>
        <w:tabs>
          <w:tab w:leader="none" w:pos="1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Compensation design and administration should align to our values of People, Innovation, and Knowledge</w:t>
      </w:r>
    </w:p>
    <w:p>
      <w:pPr>
        <w:spacing w:after="0" w:line="426" w:lineRule="exact"/>
        <w:rPr>
          <w:sz w:val="20"/>
          <w:szCs w:val="20"/>
          <w:color w:val="auto"/>
        </w:rPr>
      </w:pPr>
    </w:p>
    <w:p>
      <w:pPr>
        <w:sectPr>
          <w:pgSz w:w="11900" w:h="16838" w:orient="portrait"/>
          <w:cols w:equalWidth="0" w:num="4">
            <w:col w:w="2680" w:space="196"/>
            <w:col w:w="2504" w:space="117"/>
            <w:col w:w="2543" w:space="180"/>
            <w:col w:w="2420"/>
          </w:cols>
          <w:pgMar w:left="480" w:top="1165"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20" w:hanging="658"/>
        <w:spacing w:after="0"/>
        <w:tabs>
          <w:tab w:leader="none" w:pos="6020" w:val="left"/>
        </w:tabs>
        <w:numPr>
          <w:ilvl w:val="0"/>
          <w:numId w:val="71"/>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640"/>
          </w:cols>
          <w:pgMar w:left="480" w:top="1165" w:right="77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314" w:lineRule="exact"/>
        <w:rPr>
          <w:sz w:val="20"/>
          <w:szCs w:val="20"/>
          <w:color w:val="auto"/>
        </w:rPr>
      </w:pPr>
    </w:p>
    <w:p>
      <w:pPr>
        <w:ind w:left="9"/>
        <w:spacing w:after="0"/>
        <w:rPr>
          <w:sz w:val="20"/>
          <w:szCs w:val="20"/>
          <w:color w:val="auto"/>
        </w:rPr>
      </w:pPr>
      <w:r>
        <w:rPr>
          <w:rFonts w:ascii="Arial" w:cs="Arial" w:eastAsia="Arial" w:hAnsi="Arial"/>
          <w:sz w:val="25"/>
          <w:szCs w:val="25"/>
          <w:b w:val="1"/>
          <w:bCs w:val="1"/>
          <w:color w:val="5D89B4"/>
        </w:rPr>
        <w:t>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22225</wp:posOffset>
            </wp:positionV>
            <wp:extent cx="5910580" cy="13925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10580"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 w:right="5820"/>
        <w:spacing w:after="0" w:line="226" w:lineRule="auto"/>
        <w:rPr>
          <w:sz w:val="20"/>
          <w:szCs w:val="20"/>
          <w:color w:val="auto"/>
        </w:rPr>
      </w:pPr>
      <w:r>
        <w:rPr>
          <w:rFonts w:ascii="Arial" w:cs="Arial" w:eastAsia="Arial" w:hAnsi="Arial"/>
          <w:sz w:val="15"/>
          <w:szCs w:val="15"/>
          <w:color w:val="auto"/>
        </w:rPr>
        <w:t>ManpowerGroup held a non-binding shareholder advisory vote at its 2021 annual meeting of shareholders to approve the compensation of ManpowerGroup’s NEOs, also known as “Say on Pay.” This shareholder resolution was approved by approximately 97% of the votes cast. This was the eighth consecutive year we received a Say on Pay result above 90%, which we believe demonstrates our shareholders’ satisfaction with the alignment of our NEOs’ compensation with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-669290</wp:posOffset>
            </wp:positionV>
            <wp:extent cx="2963545" cy="18091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96354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
        <w:spacing w:after="0"/>
        <w:rPr>
          <w:sz w:val="20"/>
          <w:szCs w:val="20"/>
          <w:color w:val="auto"/>
        </w:rPr>
      </w:pPr>
      <w:r>
        <w:rPr>
          <w:rFonts w:ascii="Arial" w:cs="Arial" w:eastAsia="Arial" w:hAnsi="Arial"/>
          <w:sz w:val="25"/>
          <w:szCs w:val="25"/>
          <w:b w:val="1"/>
          <w:bCs w:val="1"/>
          <w:color w:val="5D89B4"/>
        </w:rPr>
        <w:t>Shareholder Engagement</w:t>
      </w:r>
    </w:p>
    <w:p>
      <w:pPr>
        <w:spacing w:after="0" w:line="139" w:lineRule="exact"/>
        <w:rPr>
          <w:sz w:val="20"/>
          <w:szCs w:val="20"/>
          <w:color w:val="auto"/>
        </w:rPr>
      </w:pPr>
    </w:p>
    <w:p>
      <w:pPr>
        <w:ind w:left="9" w:right="200"/>
        <w:spacing w:after="0" w:line="232" w:lineRule="auto"/>
        <w:rPr>
          <w:sz w:val="20"/>
          <w:szCs w:val="20"/>
          <w:color w:val="auto"/>
        </w:rPr>
      </w:pPr>
      <w:r>
        <w:rPr>
          <w:rFonts w:ascii="Arial" w:cs="Arial" w:eastAsia="Arial" w:hAnsi="Arial"/>
          <w:sz w:val="15"/>
          <w:szCs w:val="15"/>
          <w:color w:val="auto"/>
        </w:rPr>
        <w:t>We believe that shareholder engagement is an important part of our governance practices. We have a longstanding shareholder outreach program, to provide our investors an opportunity to share their perspectives on our compensation philosophies and our governance structure, and to answer their questions. These efforts are conducted by members of executive management, and over time have included:</w:t>
      </w:r>
    </w:p>
    <w:p>
      <w:pPr>
        <w:spacing w:after="0" w:line="128" w:lineRule="exact"/>
        <w:rPr>
          <w:sz w:val="20"/>
          <w:szCs w:val="20"/>
          <w:color w:val="auto"/>
        </w:rPr>
      </w:pPr>
    </w:p>
    <w:p>
      <w:pPr>
        <w:ind w:left="189" w:hanging="189"/>
        <w:spacing w:after="0"/>
        <w:tabs>
          <w:tab w:leader="none" w:pos="189" w:val="left"/>
        </w:tabs>
        <w:numPr>
          <w:ilvl w:val="0"/>
          <w:numId w:val="72"/>
        </w:numPr>
        <w:rPr>
          <w:rFonts w:ascii="Arial" w:cs="Arial" w:eastAsia="Arial" w:hAnsi="Arial"/>
          <w:sz w:val="15"/>
          <w:szCs w:val="15"/>
          <w:color w:val="auto"/>
        </w:rPr>
      </w:pPr>
      <w:r>
        <w:rPr>
          <w:rFonts w:ascii="Arial" w:cs="Arial" w:eastAsia="Arial" w:hAnsi="Arial"/>
          <w:sz w:val="15"/>
          <w:szCs w:val="15"/>
          <w:color w:val="auto"/>
        </w:rPr>
        <w:t>Contacting our top shareholders, representing more than 50% of our shares.</w:t>
      </w:r>
    </w:p>
    <w:p>
      <w:pPr>
        <w:spacing w:after="0" w:line="68" w:lineRule="exact"/>
        <w:rPr>
          <w:rFonts w:ascii="Arial" w:cs="Arial" w:eastAsia="Arial" w:hAnsi="Arial"/>
          <w:sz w:val="15"/>
          <w:szCs w:val="15"/>
          <w:color w:val="auto"/>
        </w:rPr>
      </w:pPr>
    </w:p>
    <w:p>
      <w:pPr>
        <w:ind w:left="189" w:hanging="189"/>
        <w:spacing w:after="0"/>
        <w:tabs>
          <w:tab w:leader="none" w:pos="189" w:val="left"/>
        </w:tabs>
        <w:numPr>
          <w:ilvl w:val="0"/>
          <w:numId w:val="72"/>
        </w:numPr>
        <w:rPr>
          <w:rFonts w:ascii="Arial" w:cs="Arial" w:eastAsia="Arial" w:hAnsi="Arial"/>
          <w:sz w:val="15"/>
          <w:szCs w:val="15"/>
          <w:color w:val="auto"/>
        </w:rPr>
      </w:pPr>
      <w:r>
        <w:rPr>
          <w:rFonts w:ascii="Arial" w:cs="Arial" w:eastAsia="Arial" w:hAnsi="Arial"/>
          <w:sz w:val="15"/>
          <w:szCs w:val="15"/>
          <w:color w:val="auto"/>
        </w:rPr>
        <w:t>Conversations with shareholders representing more than 30% of our shares.</w:t>
      </w:r>
    </w:p>
    <w:p>
      <w:pPr>
        <w:spacing w:after="0" w:line="68" w:lineRule="exact"/>
        <w:rPr>
          <w:rFonts w:ascii="Arial" w:cs="Arial" w:eastAsia="Arial" w:hAnsi="Arial"/>
          <w:sz w:val="15"/>
          <w:szCs w:val="15"/>
          <w:color w:val="auto"/>
        </w:rPr>
      </w:pPr>
    </w:p>
    <w:p>
      <w:pPr>
        <w:ind w:left="189" w:hanging="189"/>
        <w:spacing w:after="0"/>
        <w:tabs>
          <w:tab w:leader="none" w:pos="189" w:val="left"/>
        </w:tabs>
        <w:numPr>
          <w:ilvl w:val="0"/>
          <w:numId w:val="72"/>
        </w:numPr>
        <w:rPr>
          <w:rFonts w:ascii="Arial" w:cs="Arial" w:eastAsia="Arial" w:hAnsi="Arial"/>
          <w:sz w:val="15"/>
          <w:szCs w:val="15"/>
          <w:color w:val="auto"/>
        </w:rPr>
      </w:pPr>
      <w:r>
        <w:rPr>
          <w:rFonts w:ascii="Arial" w:cs="Arial" w:eastAsia="Arial" w:hAnsi="Arial"/>
          <w:sz w:val="15"/>
          <w:szCs w:val="15"/>
          <w:color w:val="auto"/>
        </w:rPr>
        <w:t>Presenting shareholder feedback to the Committee as well as the governance and sustainability committee.</w:t>
      </w:r>
    </w:p>
    <w:p>
      <w:pPr>
        <w:spacing w:after="0" w:line="122" w:lineRule="exact"/>
        <w:rPr>
          <w:sz w:val="20"/>
          <w:szCs w:val="20"/>
          <w:color w:val="auto"/>
        </w:rPr>
      </w:pPr>
    </w:p>
    <w:p>
      <w:pPr>
        <w:ind w:left="9" w:right="240"/>
        <w:spacing w:after="0" w:line="232" w:lineRule="auto"/>
        <w:rPr>
          <w:sz w:val="20"/>
          <w:szCs w:val="20"/>
          <w:color w:val="auto"/>
        </w:rPr>
      </w:pPr>
      <w:r>
        <w:rPr>
          <w:rFonts w:ascii="Arial" w:cs="Arial" w:eastAsia="Arial" w:hAnsi="Arial"/>
          <w:sz w:val="15"/>
          <w:szCs w:val="15"/>
          <w:color w:val="auto"/>
        </w:rPr>
        <w:t>The Committee evaluates this feedback from our shareholders, as well as our say on pay voting results (97% in 2021), among other factors in developing our executive compensation programs. Similarly, our governance and sustainability committee reviews the feedback concerning our governance practices in developing our governance policies, including our approach to board refreshment.</w:t>
      </w:r>
    </w:p>
    <w:p>
      <w:pPr>
        <w:spacing w:after="0" w:line="128" w:lineRule="exact"/>
        <w:rPr>
          <w:sz w:val="20"/>
          <w:szCs w:val="20"/>
          <w:color w:val="auto"/>
        </w:rPr>
      </w:pPr>
    </w:p>
    <w:p>
      <w:pPr>
        <w:ind w:left="9" w:right="200"/>
        <w:spacing w:after="0" w:line="237" w:lineRule="auto"/>
        <w:rPr>
          <w:sz w:val="20"/>
          <w:szCs w:val="20"/>
          <w:color w:val="auto"/>
        </w:rPr>
      </w:pPr>
      <w:r>
        <w:rPr>
          <w:rFonts w:ascii="Arial" w:cs="Arial" w:eastAsia="Arial" w:hAnsi="Arial"/>
          <w:sz w:val="15"/>
          <w:szCs w:val="15"/>
          <w:color w:val="auto"/>
        </w:rPr>
        <w:t>Additionally, our executive management team, primarily through our Chairman and CEO and Executive Vice President and CFO, regularly engage in dialogue with our shareholders through our quarterly earnings calls, investor meetings and conferences, and other channels for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287020</wp:posOffset>
            </wp:positionV>
            <wp:extent cx="69297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5189"/>
        <w:spacing w:after="0"/>
        <w:tabs>
          <w:tab w:leader="none" w:pos="5829" w:val="left"/>
        </w:tabs>
        <w:rPr>
          <w:sz w:val="20"/>
          <w:szCs w:val="20"/>
          <w:color w:val="auto"/>
        </w:rPr>
      </w:pPr>
      <w:r>
        <w:rPr>
          <w:rFonts w:ascii="Arial" w:cs="Arial" w:eastAsia="Arial" w:hAnsi="Arial"/>
          <w:sz w:val="20"/>
          <w:szCs w:val="20"/>
          <w:b w:val="1"/>
          <w:bCs w:val="1"/>
          <w:color w:val="5D89B4"/>
        </w:rPr>
        <w:t>31</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-117475</wp:posOffset>
            </wp:positionV>
            <wp:extent cx="934085" cy="169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749"/>
          </w:cols>
          <w:pgMar w:left="651" w:top="1165" w:right="49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Compensation Elements</w:t>
      </w:r>
    </w:p>
    <w:p>
      <w:pPr>
        <w:spacing w:after="0" w:line="139" w:lineRule="exact"/>
        <w:rPr>
          <w:sz w:val="20"/>
          <w:szCs w:val="20"/>
          <w:color w:val="auto"/>
        </w:rPr>
      </w:pPr>
    </w:p>
    <w:p>
      <w:pPr>
        <w:ind w:right="280"/>
        <w:spacing w:after="0" w:line="237" w:lineRule="auto"/>
        <w:rPr>
          <w:sz w:val="20"/>
          <w:szCs w:val="20"/>
          <w:color w:val="auto"/>
        </w:rPr>
      </w:pPr>
      <w:r>
        <w:rPr>
          <w:rFonts w:ascii="Arial" w:cs="Arial" w:eastAsia="Arial" w:hAnsi="Arial"/>
          <w:sz w:val="15"/>
          <w:szCs w:val="15"/>
          <w:color w:val="auto"/>
        </w:rPr>
        <w:t>The following are the main elements used by ManpowerGroup in its compensation program in 2021 along with key decisions by the Committee related to those elements: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080" w:type="dxa"/>
            <w:vAlign w:val="bottom"/>
            <w:tcBorders>
              <w:top w:val="single" w:sz="8" w:color="BFBFBF"/>
              <w:left w:val="single" w:sz="8" w:color="BFBFBF"/>
              <w:bottom w:val="single" w:sz="8" w:color="EAEAEA"/>
            </w:tcBorders>
            <w:shd w:val="clear" w:color="auto" w:fill="EAEAEA"/>
          </w:tcPr>
          <w:p>
            <w:pPr>
              <w:ind w:left="240"/>
              <w:spacing w:after="0"/>
              <w:rPr>
                <w:sz w:val="20"/>
                <w:szCs w:val="20"/>
                <w:color w:val="auto"/>
              </w:rPr>
            </w:pPr>
            <w:r>
              <w:rPr>
                <w:rFonts w:ascii="Arial" w:cs="Arial" w:eastAsia="Arial" w:hAnsi="Arial"/>
                <w:sz w:val="12"/>
                <w:szCs w:val="12"/>
                <w:b w:val="1"/>
                <w:bCs w:val="1"/>
                <w:color w:val="5D89B4"/>
              </w:rPr>
              <w:t>COMPENSATION ELEMENT</w:t>
            </w:r>
          </w:p>
        </w:tc>
        <w:tc>
          <w:tcPr>
            <w:tcW w:w="2960" w:type="dxa"/>
            <w:vAlign w:val="bottom"/>
            <w:tcBorders>
              <w:top w:val="single" w:sz="8" w:color="BFBFBF"/>
              <w:bottom w:val="single" w:sz="8" w:color="EAEAEA"/>
            </w:tcBorders>
            <w:shd w:val="clear" w:color="auto" w:fill="EAEAEA"/>
          </w:tcPr>
          <w:p>
            <w:pPr>
              <w:ind w:left="100"/>
              <w:spacing w:after="0"/>
              <w:rPr>
                <w:sz w:val="20"/>
                <w:szCs w:val="20"/>
                <w:color w:val="auto"/>
              </w:rPr>
            </w:pPr>
            <w:r>
              <w:rPr>
                <w:rFonts w:ascii="Arial" w:cs="Arial" w:eastAsia="Arial" w:hAnsi="Arial"/>
                <w:sz w:val="12"/>
                <w:szCs w:val="12"/>
                <w:b w:val="1"/>
                <w:bCs w:val="1"/>
                <w:color w:val="5D89B4"/>
              </w:rPr>
              <w:t>KEY CHARACTERISTICS</w:t>
            </w:r>
          </w:p>
        </w:tc>
        <w:tc>
          <w:tcPr>
            <w:tcW w:w="2940" w:type="dxa"/>
            <w:vAlign w:val="bottom"/>
            <w:tcBorders>
              <w:top w:val="single" w:sz="8" w:color="BFBFBF"/>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OBJECTIVE AND DETERMINATION</w:t>
            </w:r>
          </w:p>
        </w:tc>
        <w:tc>
          <w:tcPr>
            <w:tcW w:w="2960" w:type="dxa"/>
            <w:vAlign w:val="bottom"/>
            <w:tcBorders>
              <w:top w:val="single" w:sz="8" w:color="BFBFBF"/>
              <w:bottom w:val="single" w:sz="8" w:color="EAEAEA"/>
              <w:right w:val="single" w:sz="8" w:color="BFBFBF"/>
            </w:tcBorders>
            <w:shd w:val="clear" w:color="auto" w:fill="EAEAEA"/>
          </w:tcPr>
          <w:p>
            <w:pPr>
              <w:ind w:left="100"/>
              <w:spacing w:after="0"/>
              <w:rPr>
                <w:sz w:val="20"/>
                <w:szCs w:val="20"/>
                <w:color w:val="auto"/>
              </w:rPr>
            </w:pPr>
            <w:r>
              <w:rPr>
                <w:rFonts w:ascii="Arial" w:cs="Arial" w:eastAsia="Arial" w:hAnsi="Arial"/>
                <w:sz w:val="12"/>
                <w:szCs w:val="12"/>
                <w:b w:val="1"/>
                <w:bCs w:val="1"/>
                <w:color w:val="5D89B4"/>
              </w:rPr>
              <w:t>2021 DECISIONS</w:t>
            </w:r>
          </w:p>
        </w:tc>
        <w:tc>
          <w:tcPr>
            <w:tcW w:w="0" w:type="dxa"/>
            <w:vAlign w:val="bottom"/>
          </w:tcPr>
          <w:p>
            <w:pPr>
              <w:spacing w:after="0"/>
              <w:rPr>
                <w:sz w:val="1"/>
                <w:szCs w:val="1"/>
                <w:color w:val="auto"/>
              </w:rPr>
            </w:pPr>
          </w:p>
        </w:tc>
      </w:tr>
      <w:tr>
        <w:trPr>
          <w:trHeight w:val="232"/>
        </w:trPr>
        <w:tc>
          <w:tcPr>
            <w:tcW w:w="2080" w:type="dxa"/>
            <w:vAlign w:val="bottom"/>
            <w:tcBorders>
              <w:left w:val="single" w:sz="8" w:color="BFBFBF"/>
            </w:tcBorders>
          </w:tcPr>
          <w:p>
            <w:pPr>
              <w:ind w:left="240"/>
              <w:spacing w:after="0"/>
              <w:rPr>
                <w:sz w:val="20"/>
                <w:szCs w:val="20"/>
                <w:color w:val="auto"/>
              </w:rPr>
            </w:pPr>
            <w:r>
              <w:rPr>
                <w:rFonts w:ascii="Arial" w:cs="Arial" w:eastAsia="Arial" w:hAnsi="Arial"/>
                <w:sz w:val="14"/>
                <w:szCs w:val="14"/>
                <w:b w:val="1"/>
                <w:bCs w:val="1"/>
                <w:color w:val="auto"/>
              </w:rPr>
              <w:t>Base Salary</w:t>
            </w:r>
          </w:p>
        </w:tc>
        <w:tc>
          <w:tcPr>
            <w:tcW w:w="2960" w:type="dxa"/>
            <w:vAlign w:val="bottom"/>
          </w:tcPr>
          <w:p>
            <w:pPr>
              <w:ind w:left="100"/>
              <w:spacing w:after="0"/>
              <w:rPr>
                <w:sz w:val="20"/>
                <w:szCs w:val="20"/>
                <w:color w:val="auto"/>
              </w:rPr>
            </w:pPr>
            <w:r>
              <w:rPr>
                <w:rFonts w:ascii="Arial" w:cs="Arial" w:eastAsia="Arial" w:hAnsi="Arial"/>
                <w:sz w:val="14"/>
                <w:szCs w:val="14"/>
                <w:color w:val="auto"/>
              </w:rPr>
              <w:t>Fixed compensation for performing the core</w:t>
            </w:r>
          </w:p>
        </w:tc>
        <w:tc>
          <w:tcPr>
            <w:tcW w:w="2940" w:type="dxa"/>
            <w:vAlign w:val="bottom"/>
          </w:tcPr>
          <w:p>
            <w:pPr>
              <w:ind w:left="80"/>
              <w:spacing w:after="0"/>
              <w:rPr>
                <w:sz w:val="20"/>
                <w:szCs w:val="20"/>
                <w:color w:val="auto"/>
              </w:rPr>
            </w:pPr>
            <w:r>
              <w:rPr>
                <w:rFonts w:ascii="Arial" w:cs="Arial" w:eastAsia="Arial" w:hAnsi="Arial"/>
                <w:sz w:val="14"/>
                <w:szCs w:val="14"/>
                <w:color w:val="auto"/>
              </w:rPr>
              <w:t>Provide amounts that are competitive in the</w:t>
            </w:r>
          </w:p>
        </w:tc>
        <w:tc>
          <w:tcPr>
            <w:tcW w:w="2960" w:type="dxa"/>
            <w:vAlign w:val="bottom"/>
            <w:tcBorders>
              <w:right w:val="single" w:sz="8" w:color="BFBFBF"/>
            </w:tcBorders>
          </w:tcPr>
          <w:p>
            <w:pPr>
              <w:ind w:left="100"/>
              <w:spacing w:after="0"/>
              <w:rPr>
                <w:sz w:val="20"/>
                <w:szCs w:val="20"/>
                <w:color w:val="auto"/>
              </w:rPr>
            </w:pPr>
            <w:r>
              <w:rPr>
                <w:rFonts w:ascii="Arial" w:cs="Arial" w:eastAsia="Arial" w:hAnsi="Arial"/>
                <w:sz w:val="14"/>
                <w:szCs w:val="14"/>
                <w:color w:val="auto"/>
              </w:rPr>
              <w:t>All of the NEOs except Mr. Prising received</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areas of responsibility.</w:t>
            </w:r>
          </w:p>
        </w:tc>
        <w:tc>
          <w:tcPr>
            <w:tcW w:w="2940" w:type="dxa"/>
            <w:vAlign w:val="bottom"/>
          </w:tcPr>
          <w:p>
            <w:pPr>
              <w:ind w:left="80"/>
              <w:spacing w:after="0"/>
              <w:rPr>
                <w:sz w:val="20"/>
                <w:szCs w:val="20"/>
                <w:color w:val="auto"/>
              </w:rPr>
            </w:pPr>
            <w:r>
              <w:rPr>
                <w:rFonts w:ascii="Arial" w:cs="Arial" w:eastAsia="Arial" w:hAnsi="Arial"/>
                <w:sz w:val="14"/>
                <w:szCs w:val="14"/>
                <w:color w:val="auto"/>
              </w:rPr>
              <w:t>markets in which we operate. Amounts are</w:t>
            </w:r>
          </w:p>
        </w:tc>
        <w:tc>
          <w:tcPr>
            <w:tcW w:w="2960" w:type="dxa"/>
            <w:vAlign w:val="bottom"/>
            <w:tcBorders>
              <w:right w:val="single" w:sz="8" w:color="BFBFBF"/>
            </w:tcBorders>
          </w:tcPr>
          <w:p>
            <w:pPr>
              <w:ind w:left="100"/>
              <w:spacing w:after="0"/>
              <w:rPr>
                <w:sz w:val="20"/>
                <w:szCs w:val="20"/>
                <w:color w:val="auto"/>
              </w:rPr>
            </w:pPr>
            <w:r>
              <w:rPr>
                <w:rFonts w:ascii="Arial" w:cs="Arial" w:eastAsia="Arial" w:hAnsi="Arial"/>
                <w:sz w:val="14"/>
                <w:szCs w:val="14"/>
                <w:color w:val="auto"/>
              </w:rPr>
              <w:t>an increase in base salary in 2021.</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60" w:type="dxa"/>
            <w:vAlign w:val="bottom"/>
          </w:tcPr>
          <w:p>
            <w:pPr>
              <w:spacing w:after="0"/>
              <w:rPr>
                <w:sz w:val="13"/>
                <w:szCs w:val="13"/>
                <w:color w:val="auto"/>
              </w:rPr>
            </w:pPr>
          </w:p>
        </w:tc>
        <w:tc>
          <w:tcPr>
            <w:tcW w:w="2940" w:type="dxa"/>
            <w:vAlign w:val="bottom"/>
          </w:tcPr>
          <w:p>
            <w:pPr>
              <w:ind w:left="80"/>
              <w:spacing w:after="0"/>
              <w:rPr>
                <w:sz w:val="20"/>
                <w:szCs w:val="20"/>
                <w:color w:val="auto"/>
              </w:rPr>
            </w:pPr>
            <w:r>
              <w:rPr>
                <w:rFonts w:ascii="Arial" w:cs="Arial" w:eastAsia="Arial" w:hAnsi="Arial"/>
                <w:sz w:val="14"/>
                <w:szCs w:val="14"/>
                <w:color w:val="auto"/>
              </w:rPr>
              <w:t>reviewed annually and adjusted when</w:t>
            </w:r>
          </w:p>
        </w:tc>
        <w:tc>
          <w:tcPr>
            <w:tcW w:w="2960" w:type="dxa"/>
            <w:vAlign w:val="bottom"/>
            <w:tcBorders>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tcPr>
          <w:p>
            <w:pPr>
              <w:spacing w:after="0"/>
              <w:rPr>
                <w:sz w:val="14"/>
                <w:szCs w:val="14"/>
                <w:color w:val="auto"/>
              </w:rPr>
            </w:pPr>
          </w:p>
        </w:tc>
        <w:tc>
          <w:tcPr>
            <w:tcW w:w="2960" w:type="dxa"/>
            <w:vAlign w:val="bottom"/>
          </w:tcPr>
          <w:p>
            <w:pPr>
              <w:spacing w:after="0"/>
              <w:rPr>
                <w:sz w:val="14"/>
                <w:szCs w:val="14"/>
                <w:color w:val="auto"/>
              </w:rPr>
            </w:pPr>
          </w:p>
        </w:tc>
        <w:tc>
          <w:tcPr>
            <w:tcW w:w="2940" w:type="dxa"/>
            <w:vAlign w:val="bottom"/>
          </w:tcPr>
          <w:p>
            <w:pPr>
              <w:ind w:left="80"/>
              <w:spacing w:after="0"/>
              <w:rPr>
                <w:sz w:val="20"/>
                <w:szCs w:val="20"/>
                <w:color w:val="auto"/>
              </w:rPr>
            </w:pPr>
            <w:r>
              <w:rPr>
                <w:rFonts w:ascii="Arial" w:cs="Arial" w:eastAsia="Arial" w:hAnsi="Arial"/>
                <w:sz w:val="14"/>
                <w:szCs w:val="14"/>
                <w:color w:val="auto"/>
              </w:rPr>
              <w:t>appropriate.</w:t>
            </w:r>
          </w:p>
        </w:tc>
        <w:tc>
          <w:tcPr>
            <w:tcW w:w="2960" w:type="dxa"/>
            <w:vAlign w:val="bottom"/>
            <w:tcBorders>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80" w:type="dxa"/>
            <w:vAlign w:val="bottom"/>
            <w:tcBorders>
              <w:left w:val="single" w:sz="8" w:color="BFBFBF"/>
            </w:tcBorders>
          </w:tcPr>
          <w:p>
            <w:pPr>
              <w:spacing w:after="0"/>
              <w:rPr>
                <w:sz w:val="24"/>
                <w:szCs w:val="24"/>
                <w:color w:val="auto"/>
              </w:rPr>
            </w:pPr>
          </w:p>
        </w:tc>
        <w:tc>
          <w:tcPr>
            <w:tcW w:w="296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Arial" w:cs="Arial" w:eastAsia="Arial" w:hAnsi="Arial"/>
                <w:sz w:val="14"/>
                <w:szCs w:val="14"/>
                <w:color w:val="auto"/>
              </w:rPr>
              <w:t>Factors used to determine base salaries:</w:t>
            </w:r>
          </w:p>
        </w:tc>
        <w:tc>
          <w:tcPr>
            <w:tcW w:w="2960" w:type="dxa"/>
            <w:vAlign w:val="bottom"/>
            <w:tcBorders>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80" w:type="dxa"/>
            <w:vAlign w:val="bottom"/>
            <w:tcBorders>
              <w:left w:val="single" w:sz="8" w:color="BFBFBF"/>
            </w:tcBorders>
          </w:tcPr>
          <w:p>
            <w:pPr>
              <w:spacing w:after="0"/>
              <w:rPr>
                <w:sz w:val="20"/>
                <w:szCs w:val="20"/>
                <w:color w:val="auto"/>
              </w:rPr>
            </w:pPr>
          </w:p>
        </w:tc>
        <w:tc>
          <w:tcPr>
            <w:tcW w:w="296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Arial" w:cs="Arial" w:eastAsia="Arial" w:hAnsi="Arial"/>
                <w:sz w:val="14"/>
                <w:szCs w:val="14"/>
                <w:color w:val="auto"/>
              </w:rPr>
              <w:t>• NEO’s experience, skill, and performance.</w:t>
            </w:r>
          </w:p>
        </w:tc>
        <w:tc>
          <w:tcPr>
            <w:tcW w:w="29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80" w:type="dxa"/>
            <w:vAlign w:val="bottom"/>
            <w:tcBorders>
              <w:left w:val="single" w:sz="8" w:color="BFBFBF"/>
            </w:tcBorders>
          </w:tcPr>
          <w:p>
            <w:pPr>
              <w:spacing w:after="0"/>
              <w:rPr>
                <w:sz w:val="20"/>
                <w:szCs w:val="20"/>
                <w:color w:val="auto"/>
              </w:rPr>
            </w:pPr>
          </w:p>
        </w:tc>
        <w:tc>
          <w:tcPr>
            <w:tcW w:w="296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Arial" w:cs="Arial" w:eastAsia="Arial" w:hAnsi="Arial"/>
                <w:sz w:val="14"/>
                <w:szCs w:val="14"/>
                <w:color w:val="auto"/>
              </w:rPr>
              <w:t>• The breadth of the NEO’s responsibilities.</w:t>
            </w:r>
          </w:p>
        </w:tc>
        <w:tc>
          <w:tcPr>
            <w:tcW w:w="29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80" w:type="dxa"/>
            <w:vAlign w:val="bottom"/>
            <w:tcBorders>
              <w:left w:val="single" w:sz="8" w:color="BFBFBF"/>
            </w:tcBorders>
          </w:tcPr>
          <w:p>
            <w:pPr>
              <w:spacing w:after="0"/>
              <w:rPr>
                <w:sz w:val="20"/>
                <w:szCs w:val="20"/>
                <w:color w:val="auto"/>
              </w:rPr>
            </w:pPr>
          </w:p>
        </w:tc>
        <w:tc>
          <w:tcPr>
            <w:tcW w:w="296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Arial" w:cs="Arial" w:eastAsia="Arial" w:hAnsi="Arial"/>
                <w:sz w:val="14"/>
                <w:szCs w:val="14"/>
                <w:color w:val="auto"/>
              </w:rPr>
              <w:t>• Pay relative to market.</w:t>
            </w:r>
          </w:p>
        </w:tc>
        <w:tc>
          <w:tcPr>
            <w:tcW w:w="29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2080" w:type="dxa"/>
            <w:vAlign w:val="bottom"/>
            <w:tcBorders>
              <w:left w:val="single" w:sz="8" w:color="BFBFBF"/>
              <w:bottom w:val="single" w:sz="8" w:color="5D89B4"/>
            </w:tcBorders>
          </w:tcPr>
          <w:p>
            <w:pPr>
              <w:spacing w:after="0"/>
              <w:rPr>
                <w:sz w:val="5"/>
                <w:szCs w:val="5"/>
                <w:color w:val="auto"/>
              </w:rPr>
            </w:pPr>
          </w:p>
        </w:tc>
        <w:tc>
          <w:tcPr>
            <w:tcW w:w="2960" w:type="dxa"/>
            <w:vAlign w:val="bottom"/>
            <w:tcBorders>
              <w:bottom w:val="single" w:sz="8" w:color="5D89B4"/>
            </w:tcBorders>
          </w:tcPr>
          <w:p>
            <w:pPr>
              <w:spacing w:after="0"/>
              <w:rPr>
                <w:sz w:val="5"/>
                <w:szCs w:val="5"/>
                <w:color w:val="auto"/>
              </w:rPr>
            </w:pPr>
          </w:p>
        </w:tc>
        <w:tc>
          <w:tcPr>
            <w:tcW w:w="2940" w:type="dxa"/>
            <w:vAlign w:val="bottom"/>
            <w:tcBorders>
              <w:bottom w:val="single" w:sz="8" w:color="5D89B4"/>
            </w:tcBorders>
          </w:tcPr>
          <w:p>
            <w:pPr>
              <w:spacing w:after="0"/>
              <w:rPr>
                <w:sz w:val="5"/>
                <w:szCs w:val="5"/>
                <w:color w:val="auto"/>
              </w:rPr>
            </w:pPr>
          </w:p>
        </w:tc>
        <w:tc>
          <w:tcPr>
            <w:tcW w:w="2960" w:type="dxa"/>
            <w:vAlign w:val="bottom"/>
            <w:tcBorders>
              <w:bottom w:val="single" w:sz="8" w:color="5D89B4"/>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80" w:type="dxa"/>
            <w:vAlign w:val="bottom"/>
            <w:tcBorders>
              <w:left w:val="single" w:sz="8" w:color="BFBFBF"/>
            </w:tcBorders>
            <w:shd w:val="clear" w:color="auto" w:fill="EAEAEA"/>
          </w:tcPr>
          <w:p>
            <w:pPr>
              <w:ind w:left="240"/>
              <w:spacing w:after="0"/>
              <w:rPr>
                <w:sz w:val="20"/>
                <w:szCs w:val="20"/>
                <w:color w:val="auto"/>
              </w:rPr>
            </w:pPr>
            <w:r>
              <w:rPr>
                <w:rFonts w:ascii="Arial" w:cs="Arial" w:eastAsia="Arial" w:hAnsi="Arial"/>
                <w:sz w:val="14"/>
                <w:szCs w:val="14"/>
                <w:b w:val="1"/>
                <w:bCs w:val="1"/>
                <w:color w:val="auto"/>
              </w:rPr>
              <w:t>Annual Incentive Award</w:t>
            </w: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Variable compensation payable in cash</w:t>
            </w:r>
          </w:p>
        </w:tc>
        <w:tc>
          <w:tcPr>
            <w:tcW w:w="2940" w:type="dxa"/>
            <w:vAlign w:val="bottom"/>
            <w:shd w:val="clear" w:color="auto" w:fill="EAEAEA"/>
          </w:tcPr>
          <w:p>
            <w:pPr>
              <w:ind w:left="80"/>
              <w:spacing w:after="0"/>
              <w:rPr>
                <w:sz w:val="20"/>
                <w:szCs w:val="20"/>
                <w:color w:val="auto"/>
              </w:rPr>
            </w:pPr>
            <w:r>
              <w:rPr>
                <w:rFonts w:ascii="Arial" w:cs="Arial" w:eastAsia="Arial" w:hAnsi="Arial"/>
                <w:sz w:val="14"/>
                <w:szCs w:val="14"/>
                <w:color w:val="auto"/>
              </w:rPr>
              <w:t>Motivate and reward NEOs for achievement</w:t>
            </w:r>
          </w:p>
        </w:tc>
        <w:tc>
          <w:tcPr>
            <w:tcW w:w="2960" w:type="dxa"/>
            <w:vAlign w:val="bottom"/>
            <w:tcBorders>
              <w:right w:val="single" w:sz="8" w:color="BFBFBF"/>
            </w:tcBorders>
            <w:shd w:val="clear" w:color="auto" w:fill="EAEAEA"/>
          </w:tcPr>
          <w:p>
            <w:pPr>
              <w:ind w:left="100"/>
              <w:spacing w:after="0"/>
              <w:rPr>
                <w:sz w:val="20"/>
                <w:szCs w:val="20"/>
                <w:color w:val="auto"/>
              </w:rPr>
            </w:pPr>
            <w:r>
              <w:rPr>
                <w:rFonts w:ascii="Arial" w:cs="Arial" w:eastAsia="Arial" w:hAnsi="Arial"/>
                <w:sz w:val="14"/>
                <w:szCs w:val="14"/>
                <w:color w:val="auto"/>
              </w:rPr>
              <w:t>The EPS, ROIC and Revenue levels</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under the Annual Incentive Plan (“Incentive</w:t>
            </w:r>
          </w:p>
        </w:tc>
        <w:tc>
          <w:tcPr>
            <w:tcW w:w="2940" w:type="dxa"/>
            <w:vAlign w:val="bottom"/>
            <w:shd w:val="clear" w:color="auto" w:fill="EAEAEA"/>
          </w:tcPr>
          <w:p>
            <w:pPr>
              <w:ind w:left="80"/>
              <w:spacing w:after="0"/>
              <w:rPr>
                <w:sz w:val="20"/>
                <w:szCs w:val="20"/>
                <w:color w:val="auto"/>
              </w:rPr>
            </w:pPr>
            <w:r>
              <w:rPr>
                <w:rFonts w:ascii="Arial" w:cs="Arial" w:eastAsia="Arial" w:hAnsi="Arial"/>
                <w:sz w:val="14"/>
                <w:szCs w:val="14"/>
                <w:color w:val="auto"/>
              </w:rPr>
              <w:t>of key strategic, operational and financial</w:t>
            </w:r>
          </w:p>
        </w:tc>
        <w:tc>
          <w:tcPr>
            <w:tcW w:w="2960" w:type="dxa"/>
            <w:vAlign w:val="bottom"/>
            <w:tcBorders>
              <w:right w:val="single" w:sz="8" w:color="BFBFBF"/>
            </w:tcBorders>
            <w:shd w:val="clear" w:color="auto" w:fill="EAEAEA"/>
          </w:tcPr>
          <w:p>
            <w:pPr>
              <w:ind w:left="100"/>
              <w:spacing w:after="0"/>
              <w:rPr>
                <w:sz w:val="20"/>
                <w:szCs w:val="20"/>
                <w:color w:val="auto"/>
              </w:rPr>
            </w:pPr>
            <w:r>
              <w:rPr>
                <w:rFonts w:ascii="Arial" w:cs="Arial" w:eastAsia="Arial" w:hAnsi="Arial"/>
                <w:sz w:val="14"/>
                <w:szCs w:val="14"/>
                <w:color w:val="auto"/>
              </w:rPr>
              <w:t>achieved were at the outstanding level.</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Plan”) based on performance against</w:t>
            </w:r>
          </w:p>
        </w:tc>
        <w:tc>
          <w:tcPr>
            <w:tcW w:w="2940" w:type="dxa"/>
            <w:vAlign w:val="bottom"/>
            <w:shd w:val="clear" w:color="auto" w:fill="EAEAEA"/>
          </w:tcPr>
          <w:p>
            <w:pPr>
              <w:ind w:left="80"/>
              <w:spacing w:after="0"/>
              <w:rPr>
                <w:sz w:val="20"/>
                <w:szCs w:val="20"/>
                <w:color w:val="auto"/>
              </w:rPr>
            </w:pPr>
            <w:r>
              <w:rPr>
                <w:rFonts w:ascii="Arial" w:cs="Arial" w:eastAsia="Arial" w:hAnsi="Arial"/>
                <w:sz w:val="14"/>
                <w:szCs w:val="14"/>
                <w:color w:val="auto"/>
              </w:rPr>
              <w:t>measures over the year.</w:t>
            </w:r>
          </w:p>
        </w:tc>
        <w:tc>
          <w:tcPr>
            <w:tcW w:w="2960" w:type="dxa"/>
            <w:vAlign w:val="bottom"/>
            <w:tcBorders>
              <w:right w:val="single" w:sz="8" w:color="BFBFBF"/>
            </w:tcBorders>
            <w:vMerge w:val="restart"/>
            <w:shd w:val="clear" w:color="auto" w:fill="EAEAEA"/>
          </w:tcPr>
          <w:p>
            <w:pPr>
              <w:ind w:left="100"/>
              <w:spacing w:after="0"/>
              <w:rPr>
                <w:sz w:val="20"/>
                <w:szCs w:val="20"/>
                <w:color w:val="auto"/>
              </w:rPr>
            </w:pPr>
            <w:r>
              <w:rPr>
                <w:rFonts w:ascii="Arial" w:cs="Arial" w:eastAsia="Arial" w:hAnsi="Arial"/>
                <w:sz w:val="14"/>
                <w:szCs w:val="14"/>
                <w:color w:val="auto"/>
              </w:rPr>
              <w:t>• Each of the NEOs received a percentage</w:t>
            </w:r>
          </w:p>
        </w:tc>
        <w:tc>
          <w:tcPr>
            <w:tcW w:w="0" w:type="dxa"/>
            <w:vAlign w:val="bottom"/>
          </w:tcPr>
          <w:p>
            <w:pPr>
              <w:spacing w:after="0"/>
              <w:rPr>
                <w:sz w:val="1"/>
                <w:szCs w:val="1"/>
                <w:color w:val="auto"/>
              </w:rPr>
            </w:pPr>
          </w:p>
        </w:tc>
      </w:tr>
      <w:tr>
        <w:trPr>
          <w:trHeight w:val="129"/>
        </w:trPr>
        <w:tc>
          <w:tcPr>
            <w:tcW w:w="2080" w:type="dxa"/>
            <w:vAlign w:val="bottom"/>
            <w:tcBorders>
              <w:left w:val="single" w:sz="8" w:color="BFBFBF"/>
            </w:tcBorders>
            <w:shd w:val="clear" w:color="auto" w:fill="EAEAEA"/>
          </w:tcPr>
          <w:p>
            <w:pPr>
              <w:spacing w:after="0"/>
              <w:rPr>
                <w:sz w:val="11"/>
                <w:szCs w:val="11"/>
                <w:color w:val="auto"/>
              </w:rPr>
            </w:pPr>
          </w:p>
        </w:tc>
        <w:tc>
          <w:tcPr>
            <w:tcW w:w="2960" w:type="dxa"/>
            <w:vAlign w:val="bottom"/>
            <w:shd w:val="clear" w:color="auto" w:fill="EAEAEA"/>
          </w:tcPr>
          <w:p>
            <w:pPr>
              <w:ind w:left="100"/>
              <w:spacing w:after="0" w:line="129" w:lineRule="exact"/>
              <w:rPr>
                <w:sz w:val="20"/>
                <w:szCs w:val="20"/>
                <w:color w:val="auto"/>
              </w:rPr>
            </w:pPr>
            <w:r>
              <w:rPr>
                <w:rFonts w:ascii="Arial" w:cs="Arial" w:eastAsia="Arial" w:hAnsi="Arial"/>
                <w:sz w:val="14"/>
                <w:szCs w:val="14"/>
                <w:color w:val="auto"/>
              </w:rPr>
              <w:t>annually established goals and assessment</w:t>
            </w:r>
          </w:p>
        </w:tc>
        <w:tc>
          <w:tcPr>
            <w:tcW w:w="2940" w:type="dxa"/>
            <w:vAlign w:val="bottom"/>
            <w:shd w:val="clear" w:color="auto" w:fill="EAEAEA"/>
          </w:tcPr>
          <w:p>
            <w:pPr>
              <w:spacing w:after="0"/>
              <w:rPr>
                <w:sz w:val="11"/>
                <w:szCs w:val="11"/>
                <w:color w:val="auto"/>
              </w:rPr>
            </w:pPr>
          </w:p>
        </w:tc>
        <w:tc>
          <w:tcPr>
            <w:tcW w:w="2960" w:type="dxa"/>
            <w:vAlign w:val="bottom"/>
            <w:tcBorders>
              <w:right w:val="single" w:sz="8" w:color="BFBFBF"/>
            </w:tcBorders>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ind w:left="100"/>
              <w:spacing w:after="0"/>
              <w:rPr>
                <w:sz w:val="20"/>
                <w:szCs w:val="20"/>
                <w:color w:val="auto"/>
              </w:rPr>
            </w:pPr>
            <w:r>
              <w:rPr>
                <w:rFonts w:ascii="Arial" w:cs="Arial" w:eastAsia="Arial" w:hAnsi="Arial"/>
                <w:sz w:val="14"/>
                <w:szCs w:val="14"/>
                <w:color w:val="auto"/>
              </w:rPr>
              <w:t>of individual performance.</w:t>
            </w:r>
          </w:p>
        </w:tc>
        <w:tc>
          <w:tcPr>
            <w:tcW w:w="2940" w:type="dxa"/>
            <w:vAlign w:val="bottom"/>
            <w:shd w:val="clear" w:color="auto" w:fill="EAEAEA"/>
          </w:tcPr>
          <w:p>
            <w:pPr>
              <w:ind w:left="80"/>
              <w:spacing w:after="0"/>
              <w:rPr>
                <w:sz w:val="20"/>
                <w:szCs w:val="20"/>
                <w:color w:val="auto"/>
              </w:rPr>
            </w:pPr>
            <w:r>
              <w:rPr>
                <w:rFonts w:ascii="Arial" w:cs="Arial" w:eastAsia="Arial" w:hAnsi="Arial"/>
                <w:sz w:val="14"/>
                <w:szCs w:val="14"/>
                <w:color w:val="auto"/>
              </w:rPr>
              <w:t>Measures used to determine annual</w:t>
            </w:r>
          </w:p>
        </w:tc>
        <w:tc>
          <w:tcPr>
            <w:tcW w:w="2960" w:type="dxa"/>
            <w:vAlign w:val="bottom"/>
            <w:tcBorders>
              <w:right w:val="single" w:sz="8" w:color="BFBFBF"/>
            </w:tcBorders>
            <w:shd w:val="clear" w:color="auto" w:fill="EAEAEA"/>
          </w:tcPr>
          <w:p>
            <w:pPr>
              <w:ind w:left="240"/>
              <w:spacing w:after="0"/>
              <w:rPr>
                <w:sz w:val="20"/>
                <w:szCs w:val="20"/>
                <w:color w:val="auto"/>
              </w:rPr>
            </w:pPr>
            <w:r>
              <w:rPr>
                <w:rFonts w:ascii="Arial" w:cs="Arial" w:eastAsia="Arial" w:hAnsi="Arial"/>
                <w:sz w:val="14"/>
                <w:szCs w:val="14"/>
                <w:color w:val="auto"/>
              </w:rPr>
              <w:t>of their incentive for achieving a specified</w:t>
            </w:r>
          </w:p>
        </w:tc>
        <w:tc>
          <w:tcPr>
            <w:tcW w:w="0" w:type="dxa"/>
            <w:vAlign w:val="bottom"/>
          </w:tcPr>
          <w:p>
            <w:pPr>
              <w:spacing w:after="0"/>
              <w:rPr>
                <w:sz w:val="1"/>
                <w:szCs w:val="1"/>
                <w:color w:val="auto"/>
              </w:rPr>
            </w:pPr>
          </w:p>
        </w:tc>
      </w:tr>
      <w:tr>
        <w:trPr>
          <w:trHeight w:val="152"/>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80"/>
              <w:spacing w:after="0" w:line="152" w:lineRule="exact"/>
              <w:rPr>
                <w:sz w:val="20"/>
                <w:szCs w:val="20"/>
                <w:color w:val="auto"/>
              </w:rPr>
            </w:pPr>
            <w:r>
              <w:rPr>
                <w:rFonts w:ascii="Arial" w:cs="Arial" w:eastAsia="Arial" w:hAnsi="Arial"/>
                <w:sz w:val="14"/>
                <w:szCs w:val="14"/>
                <w:color w:val="auto"/>
              </w:rPr>
              <w:t>incentive for NEOs in 2021:</w:t>
            </w:r>
          </w:p>
        </w:tc>
        <w:tc>
          <w:tcPr>
            <w:tcW w:w="2960" w:type="dxa"/>
            <w:vAlign w:val="bottom"/>
            <w:tcBorders>
              <w:right w:val="single" w:sz="8" w:color="BFBFBF"/>
            </w:tcBorders>
            <w:shd w:val="clear" w:color="auto" w:fill="EAEAEA"/>
          </w:tcPr>
          <w:p>
            <w:pPr>
              <w:ind w:left="240"/>
              <w:spacing w:after="0" w:line="152" w:lineRule="exact"/>
              <w:rPr>
                <w:sz w:val="20"/>
                <w:szCs w:val="20"/>
                <w:color w:val="auto"/>
              </w:rPr>
            </w:pPr>
            <w:r>
              <w:rPr>
                <w:rFonts w:ascii="Arial" w:cs="Arial" w:eastAsia="Arial" w:hAnsi="Arial"/>
                <w:sz w:val="14"/>
                <w:szCs w:val="14"/>
                <w:color w:val="auto"/>
              </w:rPr>
              <w:t>level of their individual operating</w:t>
            </w: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60" w:type="dxa"/>
            <w:vAlign w:val="bottom"/>
            <w:shd w:val="clear" w:color="auto" w:fill="EAEAEA"/>
          </w:tcPr>
          <w:p>
            <w:pPr>
              <w:spacing w:after="0"/>
              <w:rPr>
                <w:sz w:val="14"/>
                <w:szCs w:val="14"/>
                <w:color w:val="auto"/>
              </w:rPr>
            </w:pPr>
          </w:p>
        </w:tc>
        <w:tc>
          <w:tcPr>
            <w:tcW w:w="294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rPr>
              <w:t>• The performance metrics used to</w:t>
            </w:r>
          </w:p>
        </w:tc>
        <w:tc>
          <w:tcPr>
            <w:tcW w:w="2960" w:type="dxa"/>
            <w:vAlign w:val="bottom"/>
            <w:tcBorders>
              <w:right w:val="single" w:sz="8" w:color="BFBFBF"/>
            </w:tcBorders>
            <w:shd w:val="clear" w:color="auto" w:fill="EAEAEA"/>
          </w:tcPr>
          <w:p>
            <w:pPr>
              <w:ind w:left="240"/>
              <w:spacing w:after="0"/>
              <w:rPr>
                <w:sz w:val="20"/>
                <w:szCs w:val="20"/>
                <w:color w:val="auto"/>
              </w:rPr>
            </w:pPr>
            <w:r>
              <w:rPr>
                <w:rFonts w:ascii="Arial" w:cs="Arial" w:eastAsia="Arial" w:hAnsi="Arial"/>
                <w:sz w:val="14"/>
                <w:szCs w:val="14"/>
                <w:color w:val="auto"/>
              </w:rPr>
              <w:t>objectives.</w:t>
            </w:r>
          </w:p>
        </w:tc>
        <w:tc>
          <w:tcPr>
            <w:tcW w:w="0" w:type="dxa"/>
            <w:vAlign w:val="bottom"/>
          </w:tcPr>
          <w:p>
            <w:pPr>
              <w:spacing w:after="0"/>
              <w:rPr>
                <w:sz w:val="1"/>
                <w:szCs w:val="1"/>
                <w:color w:val="auto"/>
              </w:rPr>
            </w:pPr>
          </w:p>
        </w:tc>
      </w:tr>
      <w:tr>
        <w:trPr>
          <w:trHeight w:val="110"/>
        </w:trPr>
        <w:tc>
          <w:tcPr>
            <w:tcW w:w="2080" w:type="dxa"/>
            <w:vAlign w:val="bottom"/>
            <w:tcBorders>
              <w:left w:val="single" w:sz="8" w:color="BFBFBF"/>
            </w:tcBorders>
            <w:shd w:val="clear" w:color="auto" w:fill="EAEAEA"/>
          </w:tcPr>
          <w:p>
            <w:pPr>
              <w:spacing w:after="0"/>
              <w:rPr>
                <w:sz w:val="9"/>
                <w:szCs w:val="9"/>
                <w:color w:val="auto"/>
              </w:rPr>
            </w:pPr>
          </w:p>
        </w:tc>
        <w:tc>
          <w:tcPr>
            <w:tcW w:w="2960" w:type="dxa"/>
            <w:vAlign w:val="bottom"/>
            <w:shd w:val="clear" w:color="auto" w:fill="EAEAEA"/>
          </w:tcPr>
          <w:p>
            <w:pPr>
              <w:spacing w:after="0"/>
              <w:rPr>
                <w:sz w:val="9"/>
                <w:szCs w:val="9"/>
                <w:color w:val="auto"/>
              </w:rPr>
            </w:pPr>
          </w:p>
        </w:tc>
        <w:tc>
          <w:tcPr>
            <w:tcW w:w="2940" w:type="dxa"/>
            <w:vAlign w:val="bottom"/>
            <w:vMerge w:val="continue"/>
            <w:shd w:val="clear" w:color="auto" w:fill="EAEAEA"/>
          </w:tcPr>
          <w:p>
            <w:pPr>
              <w:spacing w:after="0"/>
              <w:rPr>
                <w:sz w:val="9"/>
                <w:szCs w:val="9"/>
                <w:color w:val="auto"/>
              </w:rPr>
            </w:pPr>
          </w:p>
        </w:tc>
        <w:tc>
          <w:tcPr>
            <w:tcW w:w="2960" w:type="dxa"/>
            <w:vAlign w:val="bottom"/>
            <w:tcBorders>
              <w:right w:val="single" w:sz="8" w:color="BFBFBF"/>
            </w:tcBorders>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determine annual incentive were EPS,</w:t>
            </w:r>
          </w:p>
        </w:tc>
        <w:tc>
          <w:tcPr>
            <w:tcW w:w="296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60" w:type="dxa"/>
            <w:vAlign w:val="bottom"/>
            <w:shd w:val="clear" w:color="auto" w:fill="EAEAEA"/>
          </w:tcPr>
          <w:p>
            <w:pPr>
              <w:spacing w:after="0"/>
              <w:rPr>
                <w:sz w:val="14"/>
                <w:szCs w:val="14"/>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ROIC and Revenue for all NEOs.</w:t>
            </w:r>
          </w:p>
        </w:tc>
        <w:tc>
          <w:tcPr>
            <w:tcW w:w="2960" w:type="dxa"/>
            <w:vAlign w:val="bottom"/>
            <w:tcBorders>
              <w:right w:val="single" w:sz="8" w:color="BFBFBF"/>
            </w:tcBorders>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80" w:type="dxa"/>
            <w:vAlign w:val="bottom"/>
            <w:tcBorders>
              <w:left w:val="single" w:sz="8" w:color="BFBFBF"/>
            </w:tcBorders>
            <w:shd w:val="clear" w:color="auto" w:fill="EAEAEA"/>
          </w:tcPr>
          <w:p>
            <w:pPr>
              <w:spacing w:after="0"/>
              <w:rPr>
                <w:sz w:val="23"/>
                <w:szCs w:val="23"/>
                <w:color w:val="auto"/>
              </w:rPr>
            </w:pPr>
          </w:p>
        </w:tc>
        <w:tc>
          <w:tcPr>
            <w:tcW w:w="2960" w:type="dxa"/>
            <w:vAlign w:val="bottom"/>
            <w:shd w:val="clear" w:color="auto" w:fill="EAEAEA"/>
          </w:tcPr>
          <w:p>
            <w:pPr>
              <w:spacing w:after="0"/>
              <w:rPr>
                <w:sz w:val="23"/>
                <w:szCs w:val="23"/>
                <w:color w:val="auto"/>
              </w:rPr>
            </w:pPr>
          </w:p>
        </w:tc>
        <w:tc>
          <w:tcPr>
            <w:tcW w:w="2940" w:type="dxa"/>
            <w:vAlign w:val="bottom"/>
            <w:shd w:val="clear" w:color="auto" w:fill="EAEAEA"/>
          </w:tcPr>
          <w:p>
            <w:pPr>
              <w:ind w:left="80"/>
              <w:spacing w:after="0"/>
              <w:rPr>
                <w:sz w:val="20"/>
                <w:szCs w:val="20"/>
                <w:color w:val="auto"/>
              </w:rPr>
            </w:pPr>
            <w:r>
              <w:rPr>
                <w:rFonts w:ascii="Arial" w:cs="Arial" w:eastAsia="Arial" w:hAnsi="Arial"/>
                <w:sz w:val="14"/>
                <w:szCs w:val="14"/>
                <w:color w:val="auto"/>
              </w:rPr>
              <w:t>• The maximum individual limit in any year</w:t>
            </w:r>
          </w:p>
        </w:tc>
        <w:tc>
          <w:tcPr>
            <w:tcW w:w="2960" w:type="dxa"/>
            <w:vAlign w:val="bottom"/>
            <w:tcBorders>
              <w:right w:val="single" w:sz="8" w:color="BFBFBF"/>
            </w:tcBorders>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60" w:type="dxa"/>
            <w:vAlign w:val="bottom"/>
            <w:shd w:val="clear" w:color="auto" w:fill="EAEAEA"/>
          </w:tcPr>
          <w:p>
            <w:pPr>
              <w:spacing w:after="0"/>
              <w:rPr>
                <w:sz w:val="14"/>
                <w:szCs w:val="14"/>
                <w:color w:val="auto"/>
              </w:rPr>
            </w:pPr>
          </w:p>
        </w:tc>
        <w:tc>
          <w:tcPr>
            <w:tcW w:w="2940" w:type="dxa"/>
            <w:vAlign w:val="bottom"/>
            <w:shd w:val="clear" w:color="auto" w:fill="EAEAEA"/>
          </w:tcPr>
          <w:p>
            <w:pPr>
              <w:ind w:left="220"/>
              <w:spacing w:after="0"/>
              <w:rPr>
                <w:sz w:val="20"/>
                <w:szCs w:val="20"/>
                <w:color w:val="auto"/>
              </w:rPr>
            </w:pPr>
            <w:r>
              <w:rPr>
                <w:rFonts w:ascii="Arial" w:cs="Arial" w:eastAsia="Arial" w:hAnsi="Arial"/>
                <w:sz w:val="14"/>
                <w:szCs w:val="14"/>
                <w:color w:val="auto"/>
              </w:rPr>
              <w:t>under the Incentive Plan is $5 million.</w:t>
            </w:r>
          </w:p>
        </w:tc>
        <w:tc>
          <w:tcPr>
            <w:tcW w:w="2960" w:type="dxa"/>
            <w:vAlign w:val="bottom"/>
            <w:tcBorders>
              <w:right w:val="single" w:sz="8" w:color="BFBFBF"/>
            </w:tcBorders>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80" w:type="dxa"/>
            <w:vAlign w:val="bottom"/>
            <w:tcBorders>
              <w:left w:val="single" w:sz="8" w:color="BFBFBF"/>
              <w:bottom w:val="single" w:sz="8" w:color="BFBFBF"/>
            </w:tcBorders>
            <w:shd w:val="clear" w:color="auto" w:fill="EAEAEA"/>
          </w:tcPr>
          <w:p>
            <w:pPr>
              <w:spacing w:after="0"/>
              <w:rPr>
                <w:sz w:val="5"/>
                <w:szCs w:val="5"/>
                <w:color w:val="auto"/>
              </w:rPr>
            </w:pPr>
          </w:p>
        </w:tc>
        <w:tc>
          <w:tcPr>
            <w:tcW w:w="2960" w:type="dxa"/>
            <w:vAlign w:val="bottom"/>
            <w:tcBorders>
              <w:bottom w:val="single" w:sz="8" w:color="BFBFBF"/>
            </w:tcBorders>
            <w:shd w:val="clear" w:color="auto" w:fill="EAEAEA"/>
          </w:tcPr>
          <w:p>
            <w:pPr>
              <w:spacing w:after="0"/>
              <w:rPr>
                <w:sz w:val="5"/>
                <w:szCs w:val="5"/>
                <w:color w:val="auto"/>
              </w:rPr>
            </w:pPr>
          </w:p>
        </w:tc>
        <w:tc>
          <w:tcPr>
            <w:tcW w:w="2940" w:type="dxa"/>
            <w:vAlign w:val="bottom"/>
            <w:tcBorders>
              <w:bottom w:val="single" w:sz="8" w:color="BFBFBF"/>
            </w:tcBorders>
            <w:shd w:val="clear" w:color="auto" w:fill="EAEAEA"/>
          </w:tcPr>
          <w:p>
            <w:pPr>
              <w:spacing w:after="0"/>
              <w:rPr>
                <w:sz w:val="5"/>
                <w:szCs w:val="5"/>
                <w:color w:val="auto"/>
              </w:rPr>
            </w:pPr>
          </w:p>
        </w:tc>
        <w:tc>
          <w:tcPr>
            <w:tcW w:w="2960" w:type="dxa"/>
            <w:vAlign w:val="bottom"/>
            <w:tcBorders>
              <w:bottom w:val="single" w:sz="8" w:color="BFBFBF"/>
              <w:right w:val="single" w:sz="8" w:color="BFBFBF"/>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80" w:type="dxa"/>
            <w:vAlign w:val="bottom"/>
            <w:tcBorders>
              <w:bottom w:val="single" w:sz="8" w:color="5D89B4"/>
            </w:tcBorders>
          </w:tcPr>
          <w:p>
            <w:pPr>
              <w:spacing w:after="0"/>
              <w:rPr>
                <w:sz w:val="14"/>
                <w:szCs w:val="14"/>
                <w:color w:val="auto"/>
              </w:rPr>
            </w:pPr>
          </w:p>
        </w:tc>
        <w:tc>
          <w:tcPr>
            <w:tcW w:w="2960" w:type="dxa"/>
            <w:vAlign w:val="bottom"/>
            <w:tcBorders>
              <w:bottom w:val="single" w:sz="8" w:color="5D89B4"/>
            </w:tcBorders>
          </w:tcPr>
          <w:p>
            <w:pPr>
              <w:spacing w:after="0"/>
              <w:rPr>
                <w:sz w:val="14"/>
                <w:szCs w:val="14"/>
                <w:color w:val="auto"/>
              </w:rPr>
            </w:pPr>
          </w:p>
        </w:tc>
        <w:tc>
          <w:tcPr>
            <w:tcW w:w="2940" w:type="dxa"/>
            <w:vAlign w:val="bottom"/>
            <w:tcBorders>
              <w:bottom w:val="single" w:sz="8" w:color="5D89B4"/>
            </w:tcBorders>
          </w:tcPr>
          <w:p>
            <w:pPr>
              <w:spacing w:after="0"/>
              <w:rPr>
                <w:sz w:val="14"/>
                <w:szCs w:val="14"/>
                <w:color w:val="auto"/>
              </w:rPr>
            </w:pPr>
          </w:p>
        </w:tc>
        <w:tc>
          <w:tcPr>
            <w:tcW w:w="296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32</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40"/>
          </w:cols>
          <w:pgMar w:left="480" w:top="1165" w:right="479" w:bottom="1440" w:gutter="0" w:footer="0" w:header="0"/>
        </w:sectPr>
      </w:pPr>
    </w:p>
    <w:bookmarkStart w:id="44" w:name="page45"/>
    <w:bookmarkEnd w:id="44"/>
    <w:p>
      <w:pPr>
        <w:ind w:left="73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6938010" cy="47301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38010" cy="473011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shd w:val="clear" w:color="auto" w:fill="EAEAEA"/>
          </w:tcPr>
          <w:p>
            <w:pPr>
              <w:ind w:left="240"/>
              <w:spacing w:after="0"/>
              <w:rPr>
                <w:sz w:val="20"/>
                <w:szCs w:val="20"/>
                <w:color w:val="auto"/>
              </w:rPr>
            </w:pPr>
            <w:r>
              <w:rPr>
                <w:rFonts w:ascii="Arial" w:cs="Arial" w:eastAsia="Arial" w:hAnsi="Arial"/>
                <w:sz w:val="12"/>
                <w:szCs w:val="12"/>
                <w:b w:val="1"/>
                <w:bCs w:val="1"/>
                <w:color w:val="5D89B4"/>
              </w:rPr>
              <w:t>COMPENSATION ELEMENT</w:t>
            </w:r>
          </w:p>
        </w:tc>
        <w:tc>
          <w:tcPr>
            <w:tcW w:w="1580" w:type="dxa"/>
            <w:vAlign w:val="bottom"/>
          </w:tcPr>
          <w:p>
            <w:pPr>
              <w:ind w:left="100"/>
              <w:spacing w:after="0"/>
              <w:rPr>
                <w:sz w:val="20"/>
                <w:szCs w:val="20"/>
                <w:color w:val="auto"/>
              </w:rPr>
            </w:pPr>
            <w:r>
              <w:rPr>
                <w:rFonts w:ascii="Arial" w:cs="Arial" w:eastAsia="Arial" w:hAnsi="Arial"/>
                <w:sz w:val="12"/>
                <w:szCs w:val="12"/>
                <w:b w:val="1"/>
                <w:bCs w:val="1"/>
                <w:color w:val="5D89B4"/>
              </w:rPr>
              <w:t>KEY CHARACTERISTICS</w:t>
            </w:r>
          </w:p>
        </w:tc>
      </w:tr>
      <w:tr>
        <w:trPr>
          <w:trHeight w:val="58"/>
        </w:trPr>
        <w:tc>
          <w:tcPr>
            <w:tcW w:w="2080" w:type="dxa"/>
            <w:vAlign w:val="bottom"/>
            <w:shd w:val="clear" w:color="auto" w:fill="EAEAEA"/>
          </w:tcPr>
          <w:p>
            <w:pPr>
              <w:spacing w:after="0"/>
              <w:rPr>
                <w:sz w:val="5"/>
                <w:szCs w:val="5"/>
                <w:color w:val="auto"/>
              </w:rPr>
            </w:pPr>
          </w:p>
        </w:tc>
        <w:tc>
          <w:tcPr>
            <w:tcW w:w="15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tabs>
          <w:tab w:leader="none" w:pos="2940" w:val="left"/>
        </w:tabs>
        <w:rPr>
          <w:sz w:val="20"/>
          <w:szCs w:val="20"/>
          <w:color w:val="auto"/>
        </w:rPr>
      </w:pPr>
      <w:r>
        <w:rPr>
          <w:rFonts w:ascii="Arial" w:cs="Arial" w:eastAsia="Arial" w:hAnsi="Arial"/>
          <w:sz w:val="12"/>
          <w:szCs w:val="12"/>
          <w:b w:val="1"/>
          <w:bCs w:val="1"/>
          <w:color w:val="5D89B4"/>
        </w:rPr>
        <w:t>OBJECTIVE AND DETERMINATION</w:t>
      </w:r>
      <w:r>
        <w:rPr>
          <w:sz w:val="20"/>
          <w:szCs w:val="20"/>
          <w:color w:val="auto"/>
        </w:rPr>
        <w:tab/>
      </w:r>
      <w:r>
        <w:rPr>
          <w:rFonts w:ascii="Arial" w:cs="Arial" w:eastAsia="Arial" w:hAnsi="Arial"/>
          <w:sz w:val="12"/>
          <w:szCs w:val="12"/>
          <w:b w:val="1"/>
          <w:bCs w:val="1"/>
          <w:color w:val="5D89B4"/>
        </w:rPr>
        <w:t>2021 DECISIONS</w:t>
      </w:r>
    </w:p>
    <w:p>
      <w:pPr>
        <w:spacing w:after="0" w:line="135" w:lineRule="exact"/>
        <w:rPr>
          <w:sz w:val="20"/>
          <w:szCs w:val="20"/>
          <w:color w:val="auto"/>
        </w:rPr>
      </w:pPr>
    </w:p>
    <w:p>
      <w:pPr>
        <w:sectPr>
          <w:pgSz w:w="11900" w:h="16838" w:orient="portrait"/>
          <w:cols w:equalWidth="0" w:num="2">
            <w:col w:w="4400" w:space="720"/>
            <w:col w:w="5800"/>
          </w:cols>
          <w:pgMar w:left="480" w:top="1165" w:right="499" w:bottom="1440" w:gutter="0" w:footer="0" w:header="0"/>
          <w:type w:val="continuous"/>
        </w:sectPr>
      </w:pPr>
    </w:p>
    <w:p>
      <w:pPr>
        <w:ind w:left="240"/>
        <w:spacing w:after="0"/>
        <w:tabs>
          <w:tab w:leader="none" w:pos="2160" w:val="left"/>
        </w:tabs>
        <w:rPr>
          <w:sz w:val="20"/>
          <w:szCs w:val="20"/>
          <w:color w:val="auto"/>
        </w:rPr>
      </w:pPr>
      <w:r>
        <w:rPr>
          <w:rFonts w:ascii="Arial" w:cs="Arial" w:eastAsia="Arial" w:hAnsi="Arial"/>
          <w:sz w:val="14"/>
          <w:szCs w:val="14"/>
          <w:b w:val="1"/>
          <w:bCs w:val="1"/>
          <w:color w:val="auto"/>
        </w:rPr>
        <w:t>PSUs</w:t>
      </w:r>
      <w:r>
        <w:rPr>
          <w:sz w:val="20"/>
          <w:szCs w:val="20"/>
          <w:color w:val="auto"/>
        </w:rPr>
        <w:tab/>
      </w:r>
      <w:r>
        <w:rPr>
          <w:rFonts w:ascii="Arial" w:cs="Arial" w:eastAsia="Arial" w:hAnsi="Arial"/>
          <w:sz w:val="14"/>
          <w:szCs w:val="14"/>
          <w:color w:val="auto"/>
        </w:rPr>
        <w:t>Variable compensation payable in shares of</w:t>
      </w:r>
    </w:p>
    <w:p>
      <w:pPr>
        <w:spacing w:after="0" w:line="18"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stock.</w:t>
      </w:r>
    </w:p>
    <w:p>
      <w:pPr>
        <w:spacing w:after="0" w:line="119"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The PSUs vest based on achievement of a</w:t>
      </w:r>
    </w:p>
    <w:p>
      <w:pPr>
        <w:ind w:left="2180"/>
        <w:spacing w:after="0"/>
        <w:rPr>
          <w:sz w:val="20"/>
          <w:szCs w:val="20"/>
          <w:color w:val="auto"/>
        </w:rPr>
      </w:pPr>
      <w:r>
        <w:rPr>
          <w:rFonts w:ascii="Arial" w:cs="Arial" w:eastAsia="Arial" w:hAnsi="Arial"/>
          <w:sz w:val="14"/>
          <w:szCs w:val="14"/>
          <w:color w:val="auto"/>
        </w:rPr>
        <w:t>pre-established performance metric over a</w:t>
      </w:r>
    </w:p>
    <w:p>
      <w:pPr>
        <w:ind w:left="2180"/>
        <w:spacing w:after="0"/>
        <w:rPr>
          <w:sz w:val="20"/>
          <w:szCs w:val="20"/>
          <w:color w:val="auto"/>
        </w:rPr>
      </w:pPr>
      <w:r>
        <w:rPr>
          <w:rFonts w:ascii="Arial" w:cs="Arial" w:eastAsia="Arial" w:hAnsi="Arial"/>
          <w:sz w:val="14"/>
          <w:szCs w:val="14"/>
          <w:color w:val="auto"/>
        </w:rPr>
        <w:t>period of time. If goals are not met, shares</w:t>
      </w:r>
    </w:p>
    <w:p>
      <w:pPr>
        <w:ind w:left="2180"/>
        <w:spacing w:after="0"/>
        <w:rPr>
          <w:sz w:val="20"/>
          <w:szCs w:val="20"/>
          <w:color w:val="auto"/>
        </w:rPr>
      </w:pPr>
      <w:r>
        <w:rPr>
          <w:rFonts w:ascii="Arial" w:cs="Arial" w:eastAsia="Arial" w:hAnsi="Arial"/>
          <w:sz w:val="14"/>
          <w:szCs w:val="14"/>
          <w:color w:val="auto"/>
        </w:rPr>
        <w:t>are not received.</w:t>
      </w:r>
    </w:p>
    <w:p>
      <w:pPr>
        <w:spacing w:after="0" w:line="20" w:lineRule="exact"/>
        <w:rPr>
          <w:sz w:val="20"/>
          <w:szCs w:val="20"/>
          <w:color w:val="auto"/>
        </w:rPr>
      </w:pPr>
      <w:r>
        <w:rPr>
          <w:sz w:val="20"/>
          <w:szCs w:val="20"/>
          <w:color w:val="auto"/>
        </w:rPr>
        <w:br w:type="column"/>
      </w:r>
    </w:p>
    <w:p>
      <w:pPr>
        <w:ind w:right="60"/>
        <w:spacing w:after="0" w:line="242" w:lineRule="auto"/>
        <w:rPr>
          <w:sz w:val="20"/>
          <w:szCs w:val="20"/>
          <w:color w:val="auto"/>
        </w:rPr>
      </w:pPr>
      <w:r>
        <w:rPr>
          <w:rFonts w:ascii="Arial" w:cs="Arial" w:eastAsia="Arial" w:hAnsi="Arial"/>
          <w:sz w:val="14"/>
          <w:szCs w:val="14"/>
          <w:color w:val="auto"/>
        </w:rPr>
        <w:t>Motivate and reward NEOs for performance against long-term financial objectives to align the interests of the NEOs with long-term shareholder value. Target amount awarded is determined based on job scope, market practice and individual performance.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Measures used to determine PSUs earned:</w:t>
      </w:r>
    </w:p>
    <w:p>
      <w:pPr>
        <w:spacing w:after="0" w:line="80" w:lineRule="exact"/>
        <w:rPr>
          <w:sz w:val="20"/>
          <w:szCs w:val="20"/>
          <w:color w:val="auto"/>
        </w:rPr>
      </w:pPr>
    </w:p>
    <w:p>
      <w:pPr>
        <w:ind w:left="140" w:right="180" w:hanging="130"/>
        <w:spacing w:after="0" w:line="246" w:lineRule="auto"/>
        <w:tabs>
          <w:tab w:leader="none" w:pos="94" w:val="left"/>
        </w:tabs>
        <w:numPr>
          <w:ilvl w:val="0"/>
          <w:numId w:val="73"/>
        </w:numPr>
        <w:rPr>
          <w:rFonts w:ascii="Arial" w:cs="Arial" w:eastAsia="Arial" w:hAnsi="Arial"/>
          <w:sz w:val="14"/>
          <w:szCs w:val="14"/>
          <w:color w:val="auto"/>
        </w:rPr>
      </w:pPr>
      <w:r>
        <w:rPr>
          <w:rFonts w:ascii="Arial" w:cs="Arial" w:eastAsia="Arial" w:hAnsi="Arial"/>
          <w:sz w:val="14"/>
          <w:szCs w:val="14"/>
          <w:color w:val="auto"/>
        </w:rPr>
        <w:t>A threshold level of average OPMP must be achieved during the performance period to receive any PSU vesting.</w:t>
      </w:r>
    </w:p>
    <w:p>
      <w:pPr>
        <w:spacing w:after="0" w:line="66" w:lineRule="exact"/>
        <w:rPr>
          <w:rFonts w:ascii="Arial" w:cs="Arial" w:eastAsia="Arial" w:hAnsi="Arial"/>
          <w:sz w:val="14"/>
          <w:szCs w:val="14"/>
          <w:color w:val="auto"/>
        </w:rPr>
      </w:pPr>
    </w:p>
    <w:p>
      <w:pPr>
        <w:ind w:left="300" w:hanging="148"/>
        <w:spacing w:after="0" w:line="242" w:lineRule="auto"/>
        <w:tabs>
          <w:tab w:leader="none" w:pos="264" w:val="left"/>
        </w:tabs>
        <w:numPr>
          <w:ilvl w:val="1"/>
          <w:numId w:val="73"/>
        </w:numPr>
        <w:rPr>
          <w:rFonts w:ascii="Arial" w:cs="Arial" w:eastAsia="Arial" w:hAnsi="Arial"/>
          <w:sz w:val="14"/>
          <w:szCs w:val="14"/>
          <w:color w:val="auto"/>
        </w:rPr>
      </w:pPr>
      <w:r>
        <w:rPr>
          <w:rFonts w:ascii="Arial" w:cs="Arial" w:eastAsia="Arial" w:hAnsi="Arial"/>
          <w:sz w:val="14"/>
          <w:szCs w:val="14"/>
          <w:color w:val="auto"/>
        </w:rPr>
        <w:t>For the “regular” PSU grants in 2021, the performance period is 2021-2023, which includes a one-year OPMP goal (2021), with two years of additional time-vesting and a 3-year KPI modifier assessment (see below).</w:t>
      </w:r>
    </w:p>
    <w:p>
      <w:pPr>
        <w:spacing w:after="0" w:line="69" w:lineRule="exact"/>
        <w:rPr>
          <w:rFonts w:ascii="Arial" w:cs="Arial" w:eastAsia="Arial" w:hAnsi="Arial"/>
          <w:sz w:val="14"/>
          <w:szCs w:val="14"/>
          <w:color w:val="auto"/>
        </w:rPr>
      </w:pPr>
    </w:p>
    <w:p>
      <w:pPr>
        <w:ind w:left="300" w:right="40" w:hanging="148"/>
        <w:spacing w:after="0" w:line="246" w:lineRule="auto"/>
        <w:tabs>
          <w:tab w:leader="none" w:pos="264" w:val="left"/>
        </w:tabs>
        <w:numPr>
          <w:ilvl w:val="1"/>
          <w:numId w:val="73"/>
        </w:numPr>
        <w:rPr>
          <w:rFonts w:ascii="Arial" w:cs="Arial" w:eastAsia="Arial" w:hAnsi="Arial"/>
          <w:sz w:val="14"/>
          <w:szCs w:val="14"/>
          <w:color w:val="auto"/>
        </w:rPr>
      </w:pPr>
      <w:r>
        <w:rPr>
          <w:rFonts w:ascii="Arial" w:cs="Arial" w:eastAsia="Arial" w:hAnsi="Arial"/>
          <w:sz w:val="14"/>
          <w:szCs w:val="14"/>
          <w:color w:val="auto"/>
        </w:rPr>
        <w:t>For the 2021 Special Grant the performance period is 2021-2022 with a 2-year OPMP goal.</w:t>
      </w:r>
    </w:p>
    <w:p>
      <w:pPr>
        <w:spacing w:after="0" w:line="66" w:lineRule="exact"/>
        <w:rPr>
          <w:rFonts w:ascii="Arial" w:cs="Arial" w:eastAsia="Arial" w:hAnsi="Arial"/>
          <w:sz w:val="14"/>
          <w:szCs w:val="14"/>
          <w:color w:val="auto"/>
        </w:rPr>
      </w:pPr>
    </w:p>
    <w:p>
      <w:pPr>
        <w:ind w:left="140" w:right="40" w:hanging="130"/>
        <w:spacing w:after="0" w:line="244" w:lineRule="auto"/>
        <w:tabs>
          <w:tab w:leader="none" w:pos="102" w:val="left"/>
        </w:tabs>
        <w:numPr>
          <w:ilvl w:val="0"/>
          <w:numId w:val="73"/>
        </w:numPr>
        <w:rPr>
          <w:rFonts w:ascii="Arial" w:cs="Arial" w:eastAsia="Arial" w:hAnsi="Arial"/>
          <w:sz w:val="14"/>
          <w:szCs w:val="14"/>
          <w:color w:val="auto"/>
        </w:rPr>
      </w:pPr>
      <w:r>
        <w:rPr>
          <w:rFonts w:ascii="Arial" w:cs="Arial" w:eastAsia="Arial" w:hAnsi="Arial"/>
          <w:sz w:val="14"/>
          <w:szCs w:val="14"/>
          <w:color w:val="auto"/>
        </w:rPr>
        <w:t>Payout levels for threshold, target and outstanding results are determined, and the actual payout percentage is calculated by interpolation.</w:t>
      </w:r>
    </w:p>
    <w:p>
      <w:pPr>
        <w:spacing w:after="0" w:line="67" w:lineRule="exact"/>
        <w:rPr>
          <w:rFonts w:ascii="Arial" w:cs="Arial" w:eastAsia="Arial" w:hAnsi="Arial"/>
          <w:sz w:val="14"/>
          <w:szCs w:val="14"/>
          <w:color w:val="auto"/>
        </w:rPr>
      </w:pPr>
    </w:p>
    <w:p>
      <w:pPr>
        <w:ind w:left="140" w:right="80" w:hanging="130"/>
        <w:spacing w:after="0" w:line="242" w:lineRule="auto"/>
        <w:tabs>
          <w:tab w:leader="none" w:pos="102" w:val="left"/>
        </w:tabs>
        <w:numPr>
          <w:ilvl w:val="0"/>
          <w:numId w:val="73"/>
        </w:numPr>
        <w:rPr>
          <w:rFonts w:ascii="Arial" w:cs="Arial" w:eastAsia="Arial" w:hAnsi="Arial"/>
          <w:sz w:val="14"/>
          <w:szCs w:val="14"/>
          <w:color w:val="auto"/>
        </w:rPr>
      </w:pPr>
      <w:r>
        <w:rPr>
          <w:rFonts w:ascii="Arial" w:cs="Arial" w:eastAsia="Arial" w:hAnsi="Arial"/>
          <w:sz w:val="14"/>
          <w:szCs w:val="14"/>
          <w:color w:val="auto"/>
        </w:rPr>
        <w:t>However, if average operating profit under both the “regular” and 2021 Special Grant does not meet a certain pre-determined dollar “gate” over the performance period, NEOs will not receive more than 100% of the target level payout.</w:t>
      </w:r>
    </w:p>
    <w:p>
      <w:pPr>
        <w:spacing w:after="0" w:line="69" w:lineRule="exact"/>
        <w:rPr>
          <w:rFonts w:ascii="Arial" w:cs="Arial" w:eastAsia="Arial" w:hAnsi="Arial"/>
          <w:sz w:val="14"/>
          <w:szCs w:val="14"/>
          <w:color w:val="auto"/>
        </w:rPr>
      </w:pPr>
    </w:p>
    <w:p>
      <w:pPr>
        <w:ind w:left="140" w:right="100" w:hanging="130"/>
        <w:spacing w:after="0"/>
        <w:tabs>
          <w:tab w:leader="none" w:pos="94" w:val="left"/>
        </w:tabs>
        <w:numPr>
          <w:ilvl w:val="0"/>
          <w:numId w:val="73"/>
        </w:numPr>
        <w:rPr>
          <w:rFonts w:ascii="Arial" w:cs="Arial" w:eastAsia="Arial" w:hAnsi="Arial"/>
          <w:sz w:val="14"/>
          <w:szCs w:val="14"/>
          <w:color w:val="auto"/>
        </w:rPr>
      </w:pPr>
      <w:r>
        <w:rPr>
          <w:rFonts w:ascii="Arial" w:cs="Arial" w:eastAsia="Arial" w:hAnsi="Arial"/>
          <w:sz w:val="14"/>
          <w:szCs w:val="14"/>
          <w:color w:val="auto"/>
        </w:rPr>
        <w:t>All of the PSUs granted in 2021 include a KPI modifier to the PSU payout that can increase or decrease the final payout by up to 30%. At the end of the performance period, the Committee will assess the achievement of pre-established strategic growth objectives and increase or decrease the final payout percentage by up to 30%. The KPI modifier cannot be used to adjust the total payout below threshold or exceed outstanding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163195</wp:posOffset>
            </wp:positionV>
            <wp:extent cx="69297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44" w:lineRule="auto"/>
        <w:rPr>
          <w:sz w:val="20"/>
          <w:szCs w:val="20"/>
          <w:color w:val="auto"/>
        </w:rPr>
      </w:pPr>
      <w:r>
        <w:rPr>
          <w:rFonts w:ascii="Arial" w:cs="Arial" w:eastAsia="Arial" w:hAnsi="Arial"/>
          <w:sz w:val="14"/>
          <w:szCs w:val="14"/>
          <w:color w:val="auto"/>
        </w:rPr>
        <w:t>In 2021, PSUs represented approximately 60% of the total long-term equity incentive grants awarded to the NEOs as part of their annual target compensation grant.</w:t>
      </w:r>
    </w:p>
    <w:p>
      <w:pPr>
        <w:spacing w:after="0" w:line="67" w:lineRule="exact"/>
        <w:rPr>
          <w:sz w:val="20"/>
          <w:szCs w:val="20"/>
          <w:color w:val="auto"/>
        </w:rPr>
      </w:pPr>
    </w:p>
    <w:p>
      <w:pPr>
        <w:ind w:left="140" w:right="60" w:hanging="135"/>
        <w:spacing w:after="0" w:line="242" w:lineRule="auto"/>
        <w:tabs>
          <w:tab w:leader="none" w:pos="102"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addition, each of the NEOs received a one-time special grant of PSUs in response to the pandemic’s disruption of the 2020 PSU goals set by the Committee for the annual grant in February 2020.</w:t>
      </w:r>
    </w:p>
    <w:p>
      <w:pPr>
        <w:spacing w:after="0" w:line="111" w:lineRule="exact"/>
        <w:rPr>
          <w:sz w:val="20"/>
          <w:szCs w:val="20"/>
          <w:color w:val="auto"/>
        </w:rPr>
      </w:pPr>
    </w:p>
    <w:p>
      <w:pPr>
        <w:ind w:right="260"/>
        <w:spacing w:after="0" w:line="246" w:lineRule="auto"/>
        <w:rPr>
          <w:sz w:val="20"/>
          <w:szCs w:val="20"/>
          <w:color w:val="auto"/>
        </w:rPr>
      </w:pPr>
      <w:r>
        <w:rPr>
          <w:rFonts w:ascii="Arial" w:cs="Arial" w:eastAsia="Arial" w:hAnsi="Arial"/>
          <w:sz w:val="14"/>
          <w:szCs w:val="14"/>
          <w:color w:val="auto"/>
        </w:rPr>
        <w:t>For PSU grants starting in 2021, the Committee reduced the threshold payout level from 50% to 0%</w:t>
      </w:r>
    </w:p>
    <w:p>
      <w:pPr>
        <w:spacing w:after="0" w:line="107"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Under the 2019 PSU grant, the NEOs earned 63% of target performance share units based on the three-year performance period ended December 31, 2021.</w:t>
      </w:r>
    </w:p>
    <w:p>
      <w:pPr>
        <w:spacing w:after="0" w:line="4325" w:lineRule="exact"/>
        <w:rPr>
          <w:sz w:val="20"/>
          <w:szCs w:val="20"/>
          <w:color w:val="auto"/>
        </w:rPr>
      </w:pPr>
    </w:p>
    <w:p>
      <w:pPr>
        <w:sectPr>
          <w:pgSz w:w="11900" w:h="16838" w:orient="portrait"/>
          <w:cols w:equalWidth="0" w:num="3">
            <w:col w:w="4940" w:space="180"/>
            <w:col w:w="2840" w:space="120"/>
            <w:col w:w="2840"/>
          </w:cols>
          <w:pgMar w:left="480" w:top="1165" w:right="499" w:bottom="1440" w:gutter="0" w:footer="0" w:header="0"/>
          <w:type w:val="continuous"/>
        </w:sectPr>
      </w:pPr>
    </w:p>
    <w:p>
      <w:pPr>
        <w:spacing w:after="0" w:line="194" w:lineRule="exact"/>
        <w:rPr>
          <w:sz w:val="20"/>
          <w:szCs w:val="20"/>
          <w:color w:val="auto"/>
        </w:rPr>
      </w:pPr>
    </w:p>
    <w:p>
      <w:pPr>
        <w:ind w:left="6020" w:hanging="658"/>
        <w:spacing w:after="0"/>
        <w:tabs>
          <w:tab w:leader="none" w:pos="6020" w:val="left"/>
        </w:tabs>
        <w:numPr>
          <w:ilvl w:val="0"/>
          <w:numId w:val="75"/>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080" w:type="dxa"/>
            <w:vAlign w:val="bottom"/>
            <w:tcBorders>
              <w:top w:val="single" w:sz="8" w:color="BFBFBF"/>
              <w:left w:val="single" w:sz="8" w:color="BFBFBF"/>
            </w:tcBorders>
            <w:shd w:val="clear" w:color="auto" w:fill="EAEAEA"/>
          </w:tcPr>
          <w:p>
            <w:pPr>
              <w:ind w:left="240"/>
              <w:spacing w:after="0"/>
              <w:rPr>
                <w:sz w:val="20"/>
                <w:szCs w:val="20"/>
                <w:color w:val="auto"/>
              </w:rPr>
            </w:pPr>
            <w:r>
              <w:rPr>
                <w:rFonts w:ascii="Arial" w:cs="Arial" w:eastAsia="Arial" w:hAnsi="Arial"/>
                <w:sz w:val="12"/>
                <w:szCs w:val="12"/>
                <w:b w:val="1"/>
                <w:bCs w:val="1"/>
                <w:color w:val="5D89B4"/>
              </w:rPr>
              <w:t>COMPENSATION ELEMENT</w:t>
            </w:r>
          </w:p>
        </w:tc>
        <w:tc>
          <w:tcPr>
            <w:tcW w:w="2940" w:type="dxa"/>
            <w:vAlign w:val="bottom"/>
            <w:tcBorders>
              <w:top w:val="single" w:sz="8" w:color="BFBFBF"/>
            </w:tcBorders>
            <w:shd w:val="clear" w:color="auto" w:fill="EAEAEA"/>
          </w:tcPr>
          <w:p>
            <w:pPr>
              <w:ind w:left="100"/>
              <w:spacing w:after="0"/>
              <w:rPr>
                <w:sz w:val="20"/>
                <w:szCs w:val="20"/>
                <w:color w:val="auto"/>
              </w:rPr>
            </w:pPr>
            <w:r>
              <w:rPr>
                <w:rFonts w:ascii="Arial" w:cs="Arial" w:eastAsia="Arial" w:hAnsi="Arial"/>
                <w:sz w:val="12"/>
                <w:szCs w:val="12"/>
                <w:b w:val="1"/>
                <w:bCs w:val="1"/>
                <w:color w:val="5D89B4"/>
              </w:rPr>
              <w:t>KEY CHARACTERISTICS</w:t>
            </w:r>
          </w:p>
        </w:tc>
        <w:tc>
          <w:tcPr>
            <w:tcW w:w="3000" w:type="dxa"/>
            <w:vAlign w:val="bottom"/>
            <w:tcBorders>
              <w:top w:val="single" w:sz="8" w:color="BFBFBF"/>
            </w:tcBorders>
            <w:shd w:val="clear" w:color="auto" w:fill="EAEAEA"/>
          </w:tcPr>
          <w:p>
            <w:pPr>
              <w:ind w:left="100"/>
              <w:spacing w:after="0"/>
              <w:rPr>
                <w:sz w:val="20"/>
                <w:szCs w:val="20"/>
                <w:color w:val="auto"/>
              </w:rPr>
            </w:pPr>
            <w:r>
              <w:rPr>
                <w:rFonts w:ascii="Arial" w:cs="Arial" w:eastAsia="Arial" w:hAnsi="Arial"/>
                <w:sz w:val="12"/>
                <w:szCs w:val="12"/>
                <w:b w:val="1"/>
                <w:bCs w:val="1"/>
                <w:color w:val="5D89B4"/>
              </w:rPr>
              <w:t>OBJECTIVE AND DETERMINATION</w:t>
            </w:r>
          </w:p>
        </w:tc>
        <w:tc>
          <w:tcPr>
            <w:tcW w:w="2920" w:type="dxa"/>
            <w:vAlign w:val="bottom"/>
            <w:tcBorders>
              <w:top w:val="single" w:sz="8" w:color="BFBFBF"/>
              <w:right w:val="single" w:sz="8" w:color="BFBFBF"/>
            </w:tcBorders>
            <w:shd w:val="clear" w:color="auto" w:fill="EAEAEA"/>
          </w:tcPr>
          <w:p>
            <w:pPr>
              <w:ind w:left="60"/>
              <w:spacing w:after="0"/>
              <w:rPr>
                <w:sz w:val="20"/>
                <w:szCs w:val="20"/>
                <w:color w:val="auto"/>
              </w:rPr>
            </w:pPr>
            <w:r>
              <w:rPr>
                <w:rFonts w:ascii="Arial" w:cs="Arial" w:eastAsia="Arial" w:hAnsi="Arial"/>
                <w:sz w:val="12"/>
                <w:szCs w:val="12"/>
                <w:b w:val="1"/>
                <w:bCs w:val="1"/>
                <w:color w:val="5D89B4"/>
              </w:rPr>
              <w:t>2021 DECISIONS</w:t>
            </w:r>
          </w:p>
        </w:tc>
        <w:tc>
          <w:tcPr>
            <w:tcW w:w="0" w:type="dxa"/>
            <w:vAlign w:val="bottom"/>
          </w:tcPr>
          <w:p>
            <w:pPr>
              <w:spacing w:after="0"/>
              <w:rPr>
                <w:sz w:val="1"/>
                <w:szCs w:val="1"/>
                <w:color w:val="auto"/>
              </w:rPr>
            </w:pPr>
          </w:p>
        </w:tc>
      </w:tr>
      <w:tr>
        <w:trPr>
          <w:trHeight w:val="290"/>
        </w:trPr>
        <w:tc>
          <w:tcPr>
            <w:tcW w:w="2080" w:type="dxa"/>
            <w:vAlign w:val="bottom"/>
            <w:tcBorders>
              <w:left w:val="single" w:sz="8" w:color="BFBFBF"/>
            </w:tcBorders>
            <w:shd w:val="clear" w:color="auto" w:fill="EAEAEA"/>
          </w:tcPr>
          <w:p>
            <w:pPr>
              <w:ind w:left="240"/>
              <w:spacing w:after="0"/>
              <w:rPr>
                <w:sz w:val="20"/>
                <w:szCs w:val="20"/>
                <w:color w:val="auto"/>
              </w:rPr>
            </w:pPr>
            <w:r>
              <w:rPr>
                <w:rFonts w:ascii="Arial" w:cs="Arial" w:eastAsia="Arial" w:hAnsi="Arial"/>
                <w:sz w:val="14"/>
                <w:szCs w:val="14"/>
                <w:b w:val="1"/>
                <w:bCs w:val="1"/>
                <w:color w:val="auto"/>
              </w:rPr>
              <w:t>RSUs</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Variable compensation payable in shares of</w:t>
            </w: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RSUs cliff vest in full after three years and</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Approximately 14% of all of the NEOs’ long-</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stock. 100% of the RSUs vest on the third</w:t>
            </w: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are paid in stock.</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term equity incentive grants awarded in</w:t>
            </w: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anniversary date.</w:t>
            </w:r>
          </w:p>
        </w:tc>
        <w:tc>
          <w:tcPr>
            <w:tcW w:w="3000" w:type="dxa"/>
            <w:vAlign w:val="bottom"/>
            <w:vMerge w:val="restart"/>
            <w:shd w:val="clear" w:color="auto" w:fill="EAEAEA"/>
          </w:tcPr>
          <w:p>
            <w:pPr>
              <w:ind w:left="100"/>
              <w:spacing w:after="0"/>
              <w:rPr>
                <w:sz w:val="20"/>
                <w:szCs w:val="20"/>
                <w:color w:val="auto"/>
              </w:rPr>
            </w:pPr>
            <w:r>
              <w:rPr>
                <w:rFonts w:ascii="Arial" w:cs="Arial" w:eastAsia="Arial" w:hAnsi="Arial"/>
                <w:sz w:val="14"/>
                <w:szCs w:val="14"/>
                <w:color w:val="auto"/>
              </w:rPr>
              <w:t>• Through stock price and dividend</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2021 were in the form of RSUs.</w:t>
            </w:r>
          </w:p>
        </w:tc>
        <w:tc>
          <w:tcPr>
            <w:tcW w:w="0" w:type="dxa"/>
            <w:vAlign w:val="bottom"/>
          </w:tcPr>
          <w:p>
            <w:pPr>
              <w:spacing w:after="0"/>
              <w:rPr>
                <w:sz w:val="1"/>
                <w:szCs w:val="1"/>
                <w:color w:val="auto"/>
              </w:rPr>
            </w:pPr>
          </w:p>
        </w:tc>
      </w:tr>
      <w:tr>
        <w:trPr>
          <w:trHeight w:val="70"/>
        </w:trPr>
        <w:tc>
          <w:tcPr>
            <w:tcW w:w="2080" w:type="dxa"/>
            <w:vAlign w:val="bottom"/>
            <w:tcBorders>
              <w:left w:val="single" w:sz="8" w:color="BFBFBF"/>
            </w:tcBorders>
            <w:shd w:val="clear" w:color="auto" w:fill="EAEAEA"/>
          </w:tcPr>
          <w:p>
            <w:pPr>
              <w:spacing w:after="0"/>
              <w:rPr>
                <w:sz w:val="6"/>
                <w:szCs w:val="6"/>
                <w:color w:val="auto"/>
              </w:rPr>
            </w:pPr>
          </w:p>
        </w:tc>
        <w:tc>
          <w:tcPr>
            <w:tcW w:w="2940" w:type="dxa"/>
            <w:vAlign w:val="bottom"/>
            <w:shd w:val="clear" w:color="auto" w:fill="EAEAEA"/>
          </w:tcPr>
          <w:p>
            <w:pPr>
              <w:spacing w:after="0"/>
              <w:rPr>
                <w:sz w:val="6"/>
                <w:szCs w:val="6"/>
                <w:color w:val="auto"/>
              </w:rPr>
            </w:pPr>
          </w:p>
        </w:tc>
        <w:tc>
          <w:tcPr>
            <w:tcW w:w="3000" w:type="dxa"/>
            <w:vAlign w:val="bottom"/>
            <w:vMerge w:val="continue"/>
            <w:shd w:val="clear" w:color="auto" w:fill="EAEAEA"/>
          </w:tcPr>
          <w:p>
            <w:pPr>
              <w:spacing w:after="0"/>
              <w:rPr>
                <w:sz w:val="6"/>
                <w:szCs w:val="6"/>
                <w:color w:val="auto"/>
              </w:rPr>
            </w:pPr>
          </w:p>
        </w:tc>
        <w:tc>
          <w:tcPr>
            <w:tcW w:w="2920" w:type="dxa"/>
            <w:vAlign w:val="bottom"/>
            <w:tcBorders>
              <w:right w:val="single" w:sz="8" w:color="BFBFBF"/>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240"/>
              <w:spacing w:after="0"/>
              <w:rPr>
                <w:sz w:val="20"/>
                <w:szCs w:val="20"/>
                <w:color w:val="auto"/>
              </w:rPr>
            </w:pPr>
            <w:r>
              <w:rPr>
                <w:rFonts w:ascii="Arial" w:cs="Arial" w:eastAsia="Arial" w:hAnsi="Arial"/>
                <w:sz w:val="14"/>
                <w:szCs w:val="14"/>
                <w:color w:val="auto"/>
              </w:rPr>
              <w:t>equivalents, RSUs directly align NEOs</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240"/>
              <w:spacing w:after="0"/>
              <w:rPr>
                <w:sz w:val="20"/>
                <w:szCs w:val="20"/>
                <w:color w:val="auto"/>
              </w:rPr>
            </w:pPr>
            <w:r>
              <w:rPr>
                <w:rFonts w:ascii="Arial" w:cs="Arial" w:eastAsia="Arial" w:hAnsi="Arial"/>
                <w:sz w:val="14"/>
                <w:szCs w:val="14"/>
                <w:color w:val="auto"/>
              </w:rPr>
              <w:t>with the shareholders and add balance to</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240"/>
              <w:spacing w:after="0"/>
              <w:rPr>
                <w:sz w:val="20"/>
                <w:szCs w:val="20"/>
                <w:color w:val="auto"/>
              </w:rPr>
            </w:pPr>
            <w:r>
              <w:rPr>
                <w:rFonts w:ascii="Arial" w:cs="Arial" w:eastAsia="Arial" w:hAnsi="Arial"/>
                <w:sz w:val="14"/>
                <w:szCs w:val="14"/>
                <w:color w:val="auto"/>
              </w:rPr>
              <w:t>the compensation program as they provide</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240"/>
              <w:spacing w:after="0"/>
              <w:rPr>
                <w:sz w:val="20"/>
                <w:szCs w:val="20"/>
                <w:color w:val="auto"/>
              </w:rPr>
            </w:pPr>
            <w:r>
              <w:rPr>
                <w:rFonts w:ascii="Arial" w:cs="Arial" w:eastAsia="Arial" w:hAnsi="Arial"/>
                <w:sz w:val="14"/>
                <w:szCs w:val="14"/>
                <w:color w:val="auto"/>
              </w:rPr>
              <w:t>both upside potential and downside risk</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240"/>
              <w:spacing w:after="0"/>
              <w:rPr>
                <w:sz w:val="20"/>
                <w:szCs w:val="20"/>
                <w:color w:val="auto"/>
              </w:rPr>
            </w:pPr>
            <w:r>
              <w:rPr>
                <w:rFonts w:ascii="Arial" w:cs="Arial" w:eastAsia="Arial" w:hAnsi="Arial"/>
                <w:sz w:val="14"/>
                <w:szCs w:val="14"/>
                <w:color w:val="auto"/>
              </w:rPr>
              <w:t>and add an additional retention incentive.</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240"/>
              <w:spacing w:after="0"/>
              <w:rPr>
                <w:sz w:val="20"/>
                <w:szCs w:val="20"/>
                <w:color w:val="auto"/>
              </w:rPr>
            </w:pPr>
            <w:r>
              <w:rPr>
                <w:rFonts w:ascii="Arial" w:cs="Arial" w:eastAsia="Arial" w:hAnsi="Arial"/>
                <w:sz w:val="14"/>
                <w:szCs w:val="14"/>
                <w:color w:val="auto"/>
              </w:rPr>
              <w:t>Amount awarded is determined based on</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240"/>
              <w:spacing w:after="0"/>
              <w:rPr>
                <w:sz w:val="20"/>
                <w:szCs w:val="20"/>
                <w:color w:val="auto"/>
              </w:rPr>
            </w:pPr>
            <w:r>
              <w:rPr>
                <w:rFonts w:ascii="Arial" w:cs="Arial" w:eastAsia="Arial" w:hAnsi="Arial"/>
                <w:sz w:val="14"/>
                <w:szCs w:val="14"/>
                <w:color w:val="auto"/>
              </w:rPr>
              <w:t>job scope, market practice and individual</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40" w:type="dxa"/>
            <w:vAlign w:val="bottom"/>
            <w:shd w:val="clear" w:color="auto" w:fill="EAEAEA"/>
          </w:tcPr>
          <w:p>
            <w:pPr>
              <w:spacing w:after="0"/>
              <w:rPr>
                <w:sz w:val="14"/>
                <w:szCs w:val="14"/>
                <w:color w:val="auto"/>
              </w:rPr>
            </w:pPr>
          </w:p>
        </w:tc>
        <w:tc>
          <w:tcPr>
            <w:tcW w:w="3000" w:type="dxa"/>
            <w:vAlign w:val="bottom"/>
            <w:shd w:val="clear" w:color="auto" w:fill="EAEAEA"/>
          </w:tcPr>
          <w:p>
            <w:pPr>
              <w:ind w:left="240"/>
              <w:spacing w:after="0"/>
              <w:rPr>
                <w:sz w:val="20"/>
                <w:szCs w:val="20"/>
                <w:color w:val="auto"/>
              </w:rPr>
            </w:pPr>
            <w:r>
              <w:rPr>
                <w:rFonts w:ascii="Arial" w:cs="Arial" w:eastAsia="Arial" w:hAnsi="Arial"/>
                <w:sz w:val="14"/>
                <w:szCs w:val="14"/>
                <w:color w:val="auto"/>
              </w:rPr>
              <w:t>performance.</w:t>
            </w:r>
          </w:p>
        </w:tc>
        <w:tc>
          <w:tcPr>
            <w:tcW w:w="2920" w:type="dxa"/>
            <w:vAlign w:val="bottom"/>
            <w:tcBorders>
              <w:right w:val="single" w:sz="8" w:color="BFBFBF"/>
            </w:tcBorders>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80" w:type="dxa"/>
            <w:vAlign w:val="bottom"/>
            <w:tcBorders>
              <w:left w:val="single" w:sz="8" w:color="BFBFBF"/>
              <w:bottom w:val="single" w:sz="8" w:color="5D89B4"/>
            </w:tcBorders>
            <w:shd w:val="clear" w:color="auto" w:fill="EAEAEA"/>
          </w:tcPr>
          <w:p>
            <w:pPr>
              <w:spacing w:after="0"/>
              <w:rPr>
                <w:sz w:val="5"/>
                <w:szCs w:val="5"/>
                <w:color w:val="auto"/>
              </w:rPr>
            </w:pPr>
          </w:p>
        </w:tc>
        <w:tc>
          <w:tcPr>
            <w:tcW w:w="2940" w:type="dxa"/>
            <w:vAlign w:val="bottom"/>
            <w:tcBorders>
              <w:bottom w:val="single" w:sz="8" w:color="5D89B4"/>
            </w:tcBorders>
            <w:shd w:val="clear" w:color="auto" w:fill="EAEAEA"/>
          </w:tcPr>
          <w:p>
            <w:pPr>
              <w:spacing w:after="0"/>
              <w:rPr>
                <w:sz w:val="5"/>
                <w:szCs w:val="5"/>
                <w:color w:val="auto"/>
              </w:rPr>
            </w:pPr>
          </w:p>
        </w:tc>
        <w:tc>
          <w:tcPr>
            <w:tcW w:w="3000" w:type="dxa"/>
            <w:vAlign w:val="bottom"/>
            <w:tcBorders>
              <w:bottom w:val="single" w:sz="8" w:color="5D89B4"/>
            </w:tcBorders>
            <w:shd w:val="clear" w:color="auto" w:fill="EAEAEA"/>
          </w:tcPr>
          <w:p>
            <w:pPr>
              <w:spacing w:after="0"/>
              <w:rPr>
                <w:sz w:val="5"/>
                <w:szCs w:val="5"/>
                <w:color w:val="auto"/>
              </w:rPr>
            </w:pPr>
          </w:p>
        </w:tc>
        <w:tc>
          <w:tcPr>
            <w:tcW w:w="2920" w:type="dxa"/>
            <w:vAlign w:val="bottom"/>
            <w:tcBorders>
              <w:bottom w:val="single" w:sz="8" w:color="5D89B4"/>
              <w:right w:val="single" w:sz="8" w:color="BFBFBF"/>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80" w:type="dxa"/>
            <w:vAlign w:val="bottom"/>
            <w:tcBorders>
              <w:left w:val="single" w:sz="8" w:color="BFBFBF"/>
            </w:tcBorders>
          </w:tcPr>
          <w:p>
            <w:pPr>
              <w:ind w:left="240"/>
              <w:spacing w:after="0"/>
              <w:rPr>
                <w:sz w:val="20"/>
                <w:szCs w:val="20"/>
                <w:color w:val="auto"/>
              </w:rPr>
            </w:pPr>
            <w:r>
              <w:rPr>
                <w:rFonts w:ascii="Arial" w:cs="Arial" w:eastAsia="Arial" w:hAnsi="Arial"/>
                <w:sz w:val="14"/>
                <w:szCs w:val="14"/>
                <w:b w:val="1"/>
                <w:bCs w:val="1"/>
                <w:color w:val="auto"/>
              </w:rPr>
              <w:t>Stock Options</w:t>
            </w:r>
          </w:p>
        </w:tc>
        <w:tc>
          <w:tcPr>
            <w:tcW w:w="2940" w:type="dxa"/>
            <w:vAlign w:val="bottom"/>
          </w:tcPr>
          <w:p>
            <w:pPr>
              <w:ind w:left="100"/>
              <w:spacing w:after="0"/>
              <w:rPr>
                <w:sz w:val="20"/>
                <w:szCs w:val="20"/>
                <w:color w:val="auto"/>
              </w:rPr>
            </w:pPr>
            <w:r>
              <w:rPr>
                <w:rFonts w:ascii="Arial" w:cs="Arial" w:eastAsia="Arial" w:hAnsi="Arial"/>
                <w:sz w:val="14"/>
                <w:szCs w:val="14"/>
                <w:color w:val="auto"/>
              </w:rPr>
              <w:t>Nonqualified stock options that expire in ten</w:t>
            </w:r>
          </w:p>
        </w:tc>
        <w:tc>
          <w:tcPr>
            <w:tcW w:w="3000" w:type="dxa"/>
            <w:vAlign w:val="bottom"/>
          </w:tcPr>
          <w:p>
            <w:pPr>
              <w:ind w:left="100"/>
              <w:spacing w:after="0"/>
              <w:rPr>
                <w:sz w:val="20"/>
                <w:szCs w:val="20"/>
                <w:color w:val="auto"/>
              </w:rPr>
            </w:pPr>
            <w:r>
              <w:rPr>
                <w:rFonts w:ascii="Arial" w:cs="Arial" w:eastAsia="Arial" w:hAnsi="Arial"/>
                <w:sz w:val="14"/>
                <w:szCs w:val="14"/>
                <w:color w:val="auto"/>
              </w:rPr>
              <w:t>Align the interests of the NEOs with long-</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Approximately 14% of all of the NEOs’ long-</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years and become exercisable ratably over</w:t>
            </w:r>
          </w:p>
        </w:tc>
        <w:tc>
          <w:tcPr>
            <w:tcW w:w="3000" w:type="dxa"/>
            <w:vAlign w:val="bottom"/>
          </w:tcPr>
          <w:p>
            <w:pPr>
              <w:ind w:left="100"/>
              <w:spacing w:after="0"/>
              <w:rPr>
                <w:sz w:val="20"/>
                <w:szCs w:val="20"/>
                <w:color w:val="auto"/>
              </w:rPr>
            </w:pPr>
            <w:r>
              <w:rPr>
                <w:rFonts w:ascii="Arial" w:cs="Arial" w:eastAsia="Arial" w:hAnsi="Arial"/>
                <w:sz w:val="14"/>
                <w:szCs w:val="14"/>
                <w:color w:val="auto"/>
              </w:rPr>
              <w:t>term shareholder value as well as retain</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term equity incentive grants awarded in</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four years.</w:t>
            </w:r>
          </w:p>
        </w:tc>
        <w:tc>
          <w:tcPr>
            <w:tcW w:w="3000" w:type="dxa"/>
            <w:vAlign w:val="bottom"/>
          </w:tcPr>
          <w:p>
            <w:pPr>
              <w:ind w:left="100"/>
              <w:spacing w:after="0"/>
              <w:rPr>
                <w:sz w:val="20"/>
                <w:szCs w:val="20"/>
                <w:color w:val="auto"/>
              </w:rPr>
            </w:pPr>
            <w:r>
              <w:rPr>
                <w:rFonts w:ascii="Arial" w:cs="Arial" w:eastAsia="Arial" w:hAnsi="Arial"/>
                <w:sz w:val="14"/>
                <w:szCs w:val="14"/>
                <w:color w:val="auto"/>
              </w:rPr>
              <w:t>executive talent. Amount awarded is</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2021 were in the form of stock options.</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spacing w:after="0"/>
              <w:rPr>
                <w:sz w:val="13"/>
                <w:szCs w:val="13"/>
                <w:color w:val="auto"/>
              </w:rPr>
            </w:pPr>
          </w:p>
        </w:tc>
        <w:tc>
          <w:tcPr>
            <w:tcW w:w="3000" w:type="dxa"/>
            <w:vAlign w:val="bottom"/>
          </w:tcPr>
          <w:p>
            <w:pPr>
              <w:ind w:left="100"/>
              <w:spacing w:after="0"/>
              <w:rPr>
                <w:sz w:val="20"/>
                <w:szCs w:val="20"/>
                <w:color w:val="auto"/>
              </w:rPr>
            </w:pPr>
            <w:r>
              <w:rPr>
                <w:rFonts w:ascii="Arial" w:cs="Arial" w:eastAsia="Arial" w:hAnsi="Arial"/>
                <w:sz w:val="14"/>
                <w:szCs w:val="14"/>
                <w:color w:val="auto"/>
              </w:rPr>
              <w:t>determined based on job scope, market</w:t>
            </w:r>
          </w:p>
        </w:tc>
        <w:tc>
          <w:tcPr>
            <w:tcW w:w="2920" w:type="dxa"/>
            <w:vAlign w:val="bottom"/>
            <w:tcBorders>
              <w:right w:val="single" w:sz="8" w:color="BFBFBF"/>
            </w:tcBorders>
            <w:vMerge w:val="restart"/>
          </w:tcPr>
          <w:p>
            <w:pPr>
              <w:ind w:left="60"/>
              <w:spacing w:after="0"/>
              <w:rPr>
                <w:sz w:val="20"/>
                <w:szCs w:val="20"/>
                <w:color w:val="auto"/>
              </w:rPr>
            </w:pPr>
            <w:r>
              <w:rPr>
                <w:rFonts w:ascii="Arial" w:cs="Arial" w:eastAsia="Arial" w:hAnsi="Arial"/>
                <w:sz w:val="14"/>
                <w:szCs w:val="14"/>
                <w:color w:val="auto"/>
              </w:rPr>
              <w:t>Beginning in 2022, the Committee</w:t>
            </w:r>
          </w:p>
        </w:tc>
        <w:tc>
          <w:tcPr>
            <w:tcW w:w="0" w:type="dxa"/>
            <w:vAlign w:val="bottom"/>
          </w:tcPr>
          <w:p>
            <w:pPr>
              <w:spacing w:after="0"/>
              <w:rPr>
                <w:sz w:val="1"/>
                <w:szCs w:val="1"/>
                <w:color w:val="auto"/>
              </w:rPr>
            </w:pPr>
          </w:p>
        </w:tc>
      </w:tr>
      <w:tr>
        <w:trPr>
          <w:trHeight w:val="80"/>
        </w:trPr>
        <w:tc>
          <w:tcPr>
            <w:tcW w:w="2080" w:type="dxa"/>
            <w:vAlign w:val="bottom"/>
            <w:tcBorders>
              <w:left w:val="single" w:sz="8" w:color="BFBFBF"/>
            </w:tcBorders>
          </w:tcPr>
          <w:p>
            <w:pPr>
              <w:spacing w:after="0"/>
              <w:rPr>
                <w:sz w:val="6"/>
                <w:szCs w:val="6"/>
                <w:color w:val="auto"/>
              </w:rPr>
            </w:pPr>
          </w:p>
        </w:tc>
        <w:tc>
          <w:tcPr>
            <w:tcW w:w="2940" w:type="dxa"/>
            <w:vAlign w:val="bottom"/>
          </w:tcPr>
          <w:p>
            <w:pPr>
              <w:spacing w:after="0"/>
              <w:rPr>
                <w:sz w:val="6"/>
                <w:szCs w:val="6"/>
                <w:color w:val="auto"/>
              </w:rPr>
            </w:pPr>
          </w:p>
        </w:tc>
        <w:tc>
          <w:tcPr>
            <w:tcW w:w="3000" w:type="dxa"/>
            <w:vAlign w:val="bottom"/>
            <w:vMerge w:val="restart"/>
          </w:tcPr>
          <w:p>
            <w:pPr>
              <w:ind w:left="100"/>
              <w:spacing w:after="0"/>
              <w:rPr>
                <w:sz w:val="20"/>
                <w:szCs w:val="20"/>
                <w:color w:val="auto"/>
              </w:rPr>
            </w:pPr>
            <w:r>
              <w:rPr>
                <w:rFonts w:ascii="Arial" w:cs="Arial" w:eastAsia="Arial" w:hAnsi="Arial"/>
                <w:sz w:val="14"/>
                <w:szCs w:val="14"/>
                <w:color w:val="auto"/>
              </w:rPr>
              <w:t>practice and individual performance.</w:t>
            </w:r>
          </w:p>
        </w:tc>
        <w:tc>
          <w:tcPr>
            <w:tcW w:w="2920" w:type="dxa"/>
            <w:vAlign w:val="bottom"/>
            <w:tcBorders>
              <w:right w:val="single" w:sz="8" w:color="BFBFB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BFBFBF"/>
            </w:tcBorders>
          </w:tcPr>
          <w:p>
            <w:pPr>
              <w:spacing w:after="0"/>
              <w:rPr>
                <w:sz w:val="7"/>
                <w:szCs w:val="7"/>
                <w:color w:val="auto"/>
              </w:rPr>
            </w:pPr>
          </w:p>
        </w:tc>
        <w:tc>
          <w:tcPr>
            <w:tcW w:w="294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2920" w:type="dxa"/>
            <w:vAlign w:val="bottom"/>
            <w:tcBorders>
              <w:right w:val="single" w:sz="8" w:color="BFBFBF"/>
            </w:tcBorders>
            <w:vMerge w:val="restart"/>
          </w:tcPr>
          <w:p>
            <w:pPr>
              <w:ind w:left="60"/>
              <w:spacing w:after="0"/>
              <w:rPr>
                <w:sz w:val="20"/>
                <w:szCs w:val="20"/>
                <w:color w:val="auto"/>
              </w:rPr>
            </w:pPr>
            <w:r>
              <w:rPr>
                <w:rFonts w:ascii="Arial" w:cs="Arial" w:eastAsia="Arial" w:hAnsi="Arial"/>
                <w:sz w:val="14"/>
                <w:szCs w:val="14"/>
                <w:color w:val="auto"/>
              </w:rPr>
              <w:t>eliminated stock options as an element of</w:t>
            </w:r>
          </w:p>
        </w:tc>
        <w:tc>
          <w:tcPr>
            <w:tcW w:w="0" w:type="dxa"/>
            <w:vAlign w:val="bottom"/>
          </w:tcPr>
          <w:p>
            <w:pPr>
              <w:spacing w:after="0"/>
              <w:rPr>
                <w:sz w:val="1"/>
                <w:szCs w:val="1"/>
                <w:color w:val="auto"/>
              </w:rPr>
            </w:pPr>
          </w:p>
        </w:tc>
      </w:tr>
      <w:tr>
        <w:trPr>
          <w:trHeight w:val="70"/>
        </w:trPr>
        <w:tc>
          <w:tcPr>
            <w:tcW w:w="2080" w:type="dxa"/>
            <w:vAlign w:val="bottom"/>
            <w:tcBorders>
              <w:left w:val="single" w:sz="8" w:color="BFBFBF"/>
            </w:tcBorders>
          </w:tcPr>
          <w:p>
            <w:pPr>
              <w:spacing w:after="0"/>
              <w:rPr>
                <w:sz w:val="6"/>
                <w:szCs w:val="6"/>
                <w:color w:val="auto"/>
              </w:rPr>
            </w:pPr>
          </w:p>
        </w:tc>
        <w:tc>
          <w:tcPr>
            <w:tcW w:w="29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2920" w:type="dxa"/>
            <w:vAlign w:val="bottom"/>
            <w:tcBorders>
              <w:right w:val="single" w:sz="8" w:color="BFBFB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tcPr>
          <w:p>
            <w:pPr>
              <w:spacing w:after="0"/>
              <w:rPr>
                <w:sz w:val="14"/>
                <w:szCs w:val="14"/>
                <w:color w:val="auto"/>
              </w:rPr>
            </w:pPr>
          </w:p>
        </w:tc>
        <w:tc>
          <w:tcPr>
            <w:tcW w:w="29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executive pay.</w:t>
            </w:r>
          </w:p>
        </w:tc>
        <w:tc>
          <w:tcPr>
            <w:tcW w:w="0" w:type="dxa"/>
            <w:vAlign w:val="bottom"/>
          </w:tcPr>
          <w:p>
            <w:pPr>
              <w:spacing w:after="0"/>
              <w:rPr>
                <w:sz w:val="1"/>
                <w:szCs w:val="1"/>
                <w:color w:val="auto"/>
              </w:rPr>
            </w:pPr>
          </w:p>
        </w:tc>
      </w:tr>
      <w:tr>
        <w:trPr>
          <w:trHeight w:val="65"/>
        </w:trPr>
        <w:tc>
          <w:tcPr>
            <w:tcW w:w="2080" w:type="dxa"/>
            <w:vAlign w:val="bottom"/>
            <w:tcBorders>
              <w:left w:val="single" w:sz="8" w:color="BFBFBF"/>
              <w:bottom w:val="single" w:sz="8" w:color="5D89B4"/>
            </w:tcBorders>
          </w:tcPr>
          <w:p>
            <w:pPr>
              <w:spacing w:after="0"/>
              <w:rPr>
                <w:sz w:val="5"/>
                <w:szCs w:val="5"/>
                <w:color w:val="auto"/>
              </w:rPr>
            </w:pPr>
          </w:p>
        </w:tc>
        <w:tc>
          <w:tcPr>
            <w:tcW w:w="2940" w:type="dxa"/>
            <w:vAlign w:val="bottom"/>
            <w:tcBorders>
              <w:bottom w:val="single" w:sz="8" w:color="5D89B4"/>
            </w:tcBorders>
          </w:tcPr>
          <w:p>
            <w:pPr>
              <w:spacing w:after="0"/>
              <w:rPr>
                <w:sz w:val="5"/>
                <w:szCs w:val="5"/>
                <w:color w:val="auto"/>
              </w:rPr>
            </w:pPr>
          </w:p>
        </w:tc>
        <w:tc>
          <w:tcPr>
            <w:tcW w:w="3000" w:type="dxa"/>
            <w:vAlign w:val="bottom"/>
            <w:tcBorders>
              <w:bottom w:val="single" w:sz="8" w:color="5D89B4"/>
            </w:tcBorders>
          </w:tcPr>
          <w:p>
            <w:pPr>
              <w:spacing w:after="0"/>
              <w:rPr>
                <w:sz w:val="5"/>
                <w:szCs w:val="5"/>
                <w:color w:val="auto"/>
              </w:rPr>
            </w:pPr>
          </w:p>
        </w:tc>
        <w:tc>
          <w:tcPr>
            <w:tcW w:w="2920" w:type="dxa"/>
            <w:vAlign w:val="bottom"/>
            <w:tcBorders>
              <w:bottom w:val="single" w:sz="8" w:color="5D89B4"/>
              <w:right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80" w:type="dxa"/>
            <w:vAlign w:val="bottom"/>
            <w:tcBorders>
              <w:left w:val="single" w:sz="8" w:color="BFBFBF"/>
            </w:tcBorders>
            <w:shd w:val="clear" w:color="auto" w:fill="EAEAEA"/>
          </w:tcPr>
          <w:p>
            <w:pPr>
              <w:ind w:left="240"/>
              <w:spacing w:after="0"/>
              <w:rPr>
                <w:sz w:val="20"/>
                <w:szCs w:val="20"/>
                <w:color w:val="auto"/>
              </w:rPr>
            </w:pPr>
            <w:r>
              <w:rPr>
                <w:rFonts w:ascii="Arial" w:cs="Arial" w:eastAsia="Arial" w:hAnsi="Arial"/>
                <w:sz w:val="14"/>
                <w:szCs w:val="14"/>
                <w:b w:val="1"/>
                <w:bCs w:val="1"/>
                <w:color w:val="auto"/>
              </w:rPr>
              <w:t>Qualified Retirement Plans</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Generally not available to NEOs.</w:t>
            </w: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No pension plan benefit in the United States.</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Mr. Buchband participated in the catch-up</w:t>
            </w:r>
          </w:p>
        </w:tc>
        <w:tc>
          <w:tcPr>
            <w:tcW w:w="0" w:type="dxa"/>
            <w:vAlign w:val="bottom"/>
          </w:tcPr>
          <w:p>
            <w:pPr>
              <w:spacing w:after="0"/>
              <w:rPr>
                <w:sz w:val="1"/>
                <w:szCs w:val="1"/>
                <w:color w:val="auto"/>
              </w:rPr>
            </w:pPr>
          </w:p>
        </w:tc>
      </w:tr>
      <w:tr>
        <w:trPr>
          <w:trHeight w:val="241"/>
        </w:trPr>
        <w:tc>
          <w:tcPr>
            <w:tcW w:w="2080" w:type="dxa"/>
            <w:vAlign w:val="bottom"/>
            <w:tcBorders>
              <w:left w:val="single" w:sz="8" w:color="BFBFBF"/>
            </w:tcBorders>
            <w:shd w:val="clear" w:color="auto" w:fill="EAEAEA"/>
          </w:tcPr>
          <w:p>
            <w:pPr>
              <w:spacing w:after="0"/>
              <w:rPr>
                <w:sz w:val="20"/>
                <w:szCs w:val="20"/>
                <w:color w:val="auto"/>
              </w:rPr>
            </w:pPr>
          </w:p>
        </w:tc>
        <w:tc>
          <w:tcPr>
            <w:tcW w:w="2940" w:type="dxa"/>
            <w:vAlign w:val="bottom"/>
            <w:shd w:val="clear" w:color="auto" w:fill="EAEAEA"/>
          </w:tcPr>
          <w:p>
            <w:pPr>
              <w:spacing w:after="0"/>
              <w:rPr>
                <w:sz w:val="20"/>
                <w:szCs w:val="20"/>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Although we maintain a qualified 401(k) plan</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contribution under the 401(k) plan in 2021.</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in the United States, our NEOs are not</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eligible to participate (except as described in</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the following sentence) because of</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limitations on participation by highly</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compensated employees under the rules</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governing such plans. NEOs are eligible to</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participate only in the first year of their</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employment (after which they are eligible to</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participate in the nonqualified savings plan)</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spacing w:after="0"/>
              <w:rPr>
                <w:sz w:val="13"/>
                <w:szCs w:val="13"/>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and in making catch-up contributions for</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shd w:val="clear" w:color="auto" w:fill="EAEAEA"/>
          </w:tcPr>
          <w:p>
            <w:pPr>
              <w:spacing w:after="0"/>
              <w:rPr>
                <w:sz w:val="14"/>
                <w:szCs w:val="14"/>
                <w:color w:val="auto"/>
              </w:rPr>
            </w:pPr>
          </w:p>
        </w:tc>
        <w:tc>
          <w:tcPr>
            <w:tcW w:w="2940" w:type="dxa"/>
            <w:vAlign w:val="bottom"/>
            <w:shd w:val="clear" w:color="auto" w:fill="EAEAEA"/>
          </w:tcPr>
          <w:p>
            <w:pPr>
              <w:spacing w:after="0"/>
              <w:rPr>
                <w:sz w:val="14"/>
                <w:szCs w:val="14"/>
                <w:color w:val="auto"/>
              </w:rPr>
            </w:pP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individuals over the age of 50.</w:t>
            </w:r>
          </w:p>
        </w:tc>
        <w:tc>
          <w:tcPr>
            <w:tcW w:w="2920" w:type="dxa"/>
            <w:vAlign w:val="bottom"/>
            <w:tcBorders>
              <w:right w:val="single" w:sz="8" w:color="BFBFBF"/>
            </w:tcBorders>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80" w:type="dxa"/>
            <w:vAlign w:val="bottom"/>
            <w:tcBorders>
              <w:left w:val="single" w:sz="8" w:color="BFBFBF"/>
              <w:bottom w:val="single" w:sz="8" w:color="5D89B4"/>
            </w:tcBorders>
            <w:shd w:val="clear" w:color="auto" w:fill="EAEAEA"/>
          </w:tcPr>
          <w:p>
            <w:pPr>
              <w:spacing w:after="0"/>
              <w:rPr>
                <w:sz w:val="5"/>
                <w:szCs w:val="5"/>
                <w:color w:val="auto"/>
              </w:rPr>
            </w:pPr>
          </w:p>
        </w:tc>
        <w:tc>
          <w:tcPr>
            <w:tcW w:w="2940" w:type="dxa"/>
            <w:vAlign w:val="bottom"/>
            <w:tcBorders>
              <w:bottom w:val="single" w:sz="8" w:color="5D89B4"/>
            </w:tcBorders>
            <w:shd w:val="clear" w:color="auto" w:fill="EAEAEA"/>
          </w:tcPr>
          <w:p>
            <w:pPr>
              <w:spacing w:after="0"/>
              <w:rPr>
                <w:sz w:val="5"/>
                <w:szCs w:val="5"/>
                <w:color w:val="auto"/>
              </w:rPr>
            </w:pPr>
          </w:p>
        </w:tc>
        <w:tc>
          <w:tcPr>
            <w:tcW w:w="3000" w:type="dxa"/>
            <w:vAlign w:val="bottom"/>
            <w:tcBorders>
              <w:bottom w:val="single" w:sz="8" w:color="5D89B4"/>
            </w:tcBorders>
            <w:shd w:val="clear" w:color="auto" w:fill="EAEAEA"/>
          </w:tcPr>
          <w:p>
            <w:pPr>
              <w:spacing w:after="0"/>
              <w:rPr>
                <w:sz w:val="5"/>
                <w:szCs w:val="5"/>
                <w:color w:val="auto"/>
              </w:rPr>
            </w:pPr>
          </w:p>
        </w:tc>
        <w:tc>
          <w:tcPr>
            <w:tcW w:w="2920" w:type="dxa"/>
            <w:vAlign w:val="bottom"/>
            <w:tcBorders>
              <w:bottom w:val="single" w:sz="8" w:color="5D89B4"/>
              <w:right w:val="single" w:sz="8" w:color="BFBFBF"/>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80" w:type="dxa"/>
            <w:vAlign w:val="bottom"/>
            <w:tcBorders>
              <w:left w:val="single" w:sz="8" w:color="BFBFBF"/>
            </w:tcBorders>
          </w:tcPr>
          <w:p>
            <w:pPr>
              <w:ind w:left="240"/>
              <w:spacing w:after="0"/>
              <w:rPr>
                <w:sz w:val="20"/>
                <w:szCs w:val="20"/>
                <w:color w:val="auto"/>
              </w:rPr>
            </w:pPr>
            <w:r>
              <w:rPr>
                <w:rFonts w:ascii="Arial" w:cs="Arial" w:eastAsia="Arial" w:hAnsi="Arial"/>
                <w:sz w:val="14"/>
                <w:szCs w:val="14"/>
                <w:b w:val="1"/>
                <w:bCs w:val="1"/>
                <w:color w:val="auto"/>
              </w:rPr>
              <w:t>Nonqualified Savings Plan</w:t>
            </w:r>
          </w:p>
        </w:tc>
        <w:tc>
          <w:tcPr>
            <w:tcW w:w="2940" w:type="dxa"/>
            <w:vAlign w:val="bottom"/>
          </w:tcPr>
          <w:p>
            <w:pPr>
              <w:ind w:left="100"/>
              <w:spacing w:after="0"/>
              <w:rPr>
                <w:sz w:val="20"/>
                <w:szCs w:val="20"/>
                <w:color w:val="auto"/>
              </w:rPr>
            </w:pPr>
            <w:r>
              <w:rPr>
                <w:rFonts w:ascii="Arial" w:cs="Arial" w:eastAsia="Arial" w:hAnsi="Arial"/>
                <w:sz w:val="14"/>
                <w:szCs w:val="14"/>
                <w:color w:val="auto"/>
              </w:rPr>
              <w:t>Similar to a 401(k) plan, however not as</w:t>
            </w:r>
          </w:p>
        </w:tc>
        <w:tc>
          <w:tcPr>
            <w:tcW w:w="3000" w:type="dxa"/>
            <w:vAlign w:val="bottom"/>
          </w:tcPr>
          <w:p>
            <w:pPr>
              <w:ind w:left="100"/>
              <w:spacing w:after="0"/>
              <w:rPr>
                <w:sz w:val="20"/>
                <w:szCs w:val="20"/>
                <w:color w:val="auto"/>
              </w:rPr>
            </w:pPr>
            <w:r>
              <w:rPr>
                <w:rFonts w:ascii="Arial" w:cs="Arial" w:eastAsia="Arial" w:hAnsi="Arial"/>
                <w:sz w:val="14"/>
                <w:szCs w:val="14"/>
                <w:color w:val="auto"/>
              </w:rPr>
              <w:t>Used to provide NEOs with reasonably</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All of the NEOs participated in the NQSP in</w:t>
            </w:r>
          </w:p>
        </w:tc>
        <w:tc>
          <w:tcPr>
            <w:tcW w:w="0" w:type="dxa"/>
            <w:vAlign w:val="bottom"/>
          </w:tcPr>
          <w:p>
            <w:pPr>
              <w:spacing w:after="0"/>
              <w:rPr>
                <w:sz w:val="1"/>
                <w:szCs w:val="1"/>
                <w:color w:val="auto"/>
              </w:rPr>
            </w:pPr>
          </w:p>
        </w:tc>
      </w:tr>
      <w:tr>
        <w:trPr>
          <w:trHeight w:val="178"/>
        </w:trPr>
        <w:tc>
          <w:tcPr>
            <w:tcW w:w="2080" w:type="dxa"/>
            <w:vAlign w:val="bottom"/>
            <w:tcBorders>
              <w:left w:val="single" w:sz="8" w:color="BFBFBF"/>
            </w:tcBorders>
          </w:tcPr>
          <w:p>
            <w:pPr>
              <w:ind w:left="240"/>
              <w:spacing w:after="0"/>
              <w:rPr>
                <w:sz w:val="20"/>
                <w:szCs w:val="20"/>
                <w:color w:val="auto"/>
              </w:rPr>
            </w:pPr>
            <w:r>
              <w:rPr>
                <w:rFonts w:ascii="Arial" w:cs="Arial" w:eastAsia="Arial" w:hAnsi="Arial"/>
                <w:sz w:val="14"/>
                <w:szCs w:val="14"/>
                <w:b w:val="1"/>
                <w:bCs w:val="1"/>
                <w:color w:val="auto"/>
              </w:rPr>
              <w:t>(“NQSP”)</w:t>
            </w:r>
          </w:p>
        </w:tc>
        <w:tc>
          <w:tcPr>
            <w:tcW w:w="2940" w:type="dxa"/>
            <w:vAlign w:val="bottom"/>
          </w:tcPr>
          <w:p>
            <w:pPr>
              <w:ind w:left="100"/>
              <w:spacing w:after="0"/>
              <w:rPr>
                <w:sz w:val="20"/>
                <w:szCs w:val="20"/>
                <w:color w:val="auto"/>
              </w:rPr>
            </w:pPr>
            <w:r>
              <w:rPr>
                <w:rFonts w:ascii="Arial" w:cs="Arial" w:eastAsia="Arial" w:hAnsi="Arial"/>
                <w:sz w:val="14"/>
                <w:szCs w:val="14"/>
                <w:color w:val="auto"/>
              </w:rPr>
              <w:t>flexible in regard to timing of the payouts of</w:t>
            </w:r>
          </w:p>
        </w:tc>
        <w:tc>
          <w:tcPr>
            <w:tcW w:w="3000" w:type="dxa"/>
            <w:vAlign w:val="bottom"/>
          </w:tcPr>
          <w:p>
            <w:pPr>
              <w:ind w:left="100"/>
              <w:spacing w:after="0"/>
              <w:rPr>
                <w:sz w:val="20"/>
                <w:szCs w:val="20"/>
                <w:color w:val="auto"/>
              </w:rPr>
            </w:pPr>
            <w:r>
              <w:rPr>
                <w:rFonts w:ascii="Arial" w:cs="Arial" w:eastAsia="Arial" w:hAnsi="Arial"/>
                <w:sz w:val="14"/>
                <w:szCs w:val="14"/>
                <w:color w:val="auto"/>
              </w:rPr>
              <w:t>competitive benefits to those in the</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the retirement benefits for nonqualified</w:t>
            </w:r>
          </w:p>
        </w:tc>
        <w:tc>
          <w:tcPr>
            <w:tcW w:w="3000" w:type="dxa"/>
            <w:vAlign w:val="bottom"/>
          </w:tcPr>
          <w:p>
            <w:pPr>
              <w:ind w:left="100"/>
              <w:spacing w:after="0"/>
              <w:rPr>
                <w:sz w:val="20"/>
                <w:szCs w:val="20"/>
                <w:color w:val="auto"/>
              </w:rPr>
            </w:pPr>
            <w:r>
              <w:rPr>
                <w:rFonts w:ascii="Arial" w:cs="Arial" w:eastAsia="Arial" w:hAnsi="Arial"/>
                <w:sz w:val="14"/>
                <w:szCs w:val="14"/>
                <w:color w:val="auto"/>
              </w:rPr>
              <w:t>competitive market. NEOs are eligible to</w:t>
            </w:r>
          </w:p>
        </w:tc>
        <w:tc>
          <w:tcPr>
            <w:tcW w:w="2920" w:type="dxa"/>
            <w:vAlign w:val="bottom"/>
            <w:tcBorders>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plans. These benefits are unsecured and</w:t>
            </w:r>
          </w:p>
        </w:tc>
        <w:tc>
          <w:tcPr>
            <w:tcW w:w="3000" w:type="dxa"/>
            <w:vAlign w:val="bottom"/>
          </w:tcPr>
          <w:p>
            <w:pPr>
              <w:ind w:left="100"/>
              <w:spacing w:after="0"/>
              <w:rPr>
                <w:sz w:val="20"/>
                <w:szCs w:val="20"/>
                <w:color w:val="auto"/>
              </w:rPr>
            </w:pPr>
            <w:r>
              <w:rPr>
                <w:rFonts w:ascii="Arial" w:cs="Arial" w:eastAsia="Arial" w:hAnsi="Arial"/>
                <w:sz w:val="14"/>
                <w:szCs w:val="14"/>
                <w:color w:val="auto"/>
              </w:rPr>
              <w:t>participate after the first year of employment.</w:t>
            </w:r>
          </w:p>
        </w:tc>
        <w:tc>
          <w:tcPr>
            <w:tcW w:w="2920" w:type="dxa"/>
            <w:vAlign w:val="bottom"/>
            <w:tcBorders>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tcPr>
          <w:p>
            <w:pPr>
              <w:spacing w:after="0"/>
              <w:rPr>
                <w:sz w:val="14"/>
                <w:szCs w:val="14"/>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subject to risk of forfeiture in bankruptcy.</w:t>
            </w:r>
          </w:p>
        </w:tc>
        <w:tc>
          <w:tcPr>
            <w:tcW w:w="3000" w:type="dxa"/>
            <w:vAlign w:val="bottom"/>
          </w:tcPr>
          <w:p>
            <w:pPr>
              <w:spacing w:after="0"/>
              <w:rPr>
                <w:sz w:val="14"/>
                <w:szCs w:val="14"/>
                <w:color w:val="auto"/>
              </w:rPr>
            </w:pPr>
          </w:p>
        </w:tc>
        <w:tc>
          <w:tcPr>
            <w:tcW w:w="2920" w:type="dxa"/>
            <w:vAlign w:val="bottom"/>
            <w:tcBorders>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80" w:type="dxa"/>
            <w:vAlign w:val="bottom"/>
            <w:tcBorders>
              <w:left w:val="single" w:sz="8" w:color="BFBFBF"/>
              <w:bottom w:val="single" w:sz="8" w:color="5D89B4"/>
            </w:tcBorders>
          </w:tcPr>
          <w:p>
            <w:pPr>
              <w:spacing w:after="0"/>
              <w:rPr>
                <w:sz w:val="4"/>
                <w:szCs w:val="4"/>
                <w:color w:val="auto"/>
              </w:rPr>
            </w:pPr>
          </w:p>
        </w:tc>
        <w:tc>
          <w:tcPr>
            <w:tcW w:w="2940" w:type="dxa"/>
            <w:vAlign w:val="bottom"/>
            <w:tcBorders>
              <w:bottom w:val="single" w:sz="8" w:color="5D89B4"/>
            </w:tcBorders>
          </w:tcPr>
          <w:p>
            <w:pPr>
              <w:spacing w:after="0"/>
              <w:rPr>
                <w:sz w:val="4"/>
                <w:szCs w:val="4"/>
                <w:color w:val="auto"/>
              </w:rPr>
            </w:pPr>
          </w:p>
        </w:tc>
        <w:tc>
          <w:tcPr>
            <w:tcW w:w="3000" w:type="dxa"/>
            <w:vAlign w:val="bottom"/>
            <w:tcBorders>
              <w:bottom w:val="single" w:sz="8" w:color="5D89B4"/>
            </w:tcBorders>
          </w:tcPr>
          <w:p>
            <w:pPr>
              <w:spacing w:after="0"/>
              <w:rPr>
                <w:sz w:val="4"/>
                <w:szCs w:val="4"/>
                <w:color w:val="auto"/>
              </w:rPr>
            </w:pPr>
          </w:p>
        </w:tc>
        <w:tc>
          <w:tcPr>
            <w:tcW w:w="2920" w:type="dxa"/>
            <w:vAlign w:val="bottom"/>
            <w:tcBorders>
              <w:bottom w:val="single" w:sz="8" w:color="5D89B4"/>
              <w:right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80" w:type="dxa"/>
            <w:vAlign w:val="bottom"/>
            <w:tcBorders>
              <w:left w:val="single" w:sz="8" w:color="BFBFBF"/>
            </w:tcBorders>
            <w:shd w:val="clear" w:color="auto" w:fill="EAEAEA"/>
          </w:tcPr>
          <w:p>
            <w:pPr>
              <w:ind w:left="240"/>
              <w:spacing w:after="0"/>
              <w:rPr>
                <w:sz w:val="20"/>
                <w:szCs w:val="20"/>
                <w:color w:val="auto"/>
              </w:rPr>
            </w:pPr>
            <w:r>
              <w:rPr>
                <w:rFonts w:ascii="Arial" w:cs="Arial" w:eastAsia="Arial" w:hAnsi="Arial"/>
                <w:sz w:val="14"/>
                <w:szCs w:val="14"/>
                <w:b w:val="1"/>
                <w:bCs w:val="1"/>
                <w:color w:val="auto"/>
              </w:rPr>
              <w:t>Career Shares</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Used selectively by the Committee, taking</w:t>
            </w: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Used as an incentive in the form of RSUs to</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No grants of career shares were made to</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into account what is most appropriate for a</w:t>
            </w: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attract and retain executives. The</w:t>
            </w:r>
          </w:p>
        </w:tc>
        <w:tc>
          <w:tcPr>
            <w:tcW w:w="2920" w:type="dxa"/>
            <w:vAlign w:val="bottom"/>
            <w:tcBorders>
              <w:right w:val="single" w:sz="8" w:color="BFBFBF"/>
            </w:tcBorders>
            <w:shd w:val="clear" w:color="auto" w:fill="EAEAEA"/>
          </w:tcPr>
          <w:p>
            <w:pPr>
              <w:ind w:left="60"/>
              <w:spacing w:after="0"/>
              <w:rPr>
                <w:sz w:val="20"/>
                <w:szCs w:val="20"/>
                <w:color w:val="auto"/>
              </w:rPr>
            </w:pPr>
            <w:r>
              <w:rPr>
                <w:rFonts w:ascii="Arial" w:cs="Arial" w:eastAsia="Arial" w:hAnsi="Arial"/>
                <w:sz w:val="14"/>
                <w:szCs w:val="14"/>
                <w:color w:val="auto"/>
              </w:rPr>
              <w:t>the NEOs in 2021.</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NEO in view of the retention incentive</w:t>
            </w: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Committee considers each year whether to</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provided by the award. Career Shares vest</w:t>
            </w:r>
          </w:p>
        </w:tc>
        <w:tc>
          <w:tcPr>
            <w:tcW w:w="30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make any such grants and to whom.</w:t>
            </w: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completely on a single date several years</w:t>
            </w:r>
          </w:p>
        </w:tc>
        <w:tc>
          <w:tcPr>
            <w:tcW w:w="3000" w:type="dxa"/>
            <w:vAlign w:val="bottom"/>
            <w:shd w:val="clear" w:color="auto" w:fill="EAEAEA"/>
          </w:tcPr>
          <w:p>
            <w:pPr>
              <w:spacing w:after="0"/>
              <w:rPr>
                <w:sz w:val="13"/>
                <w:szCs w:val="13"/>
                <w:color w:val="auto"/>
              </w:rPr>
            </w:pPr>
          </w:p>
        </w:tc>
        <w:tc>
          <w:tcPr>
            <w:tcW w:w="2920" w:type="dxa"/>
            <w:vAlign w:val="bottom"/>
            <w:tcBorders>
              <w:right w:val="single" w:sz="8" w:color="BFBFBF"/>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80" w:type="dxa"/>
            <w:vAlign w:val="bottom"/>
            <w:tcBorders>
              <w:left w:val="single" w:sz="8" w:color="BFBFBF"/>
              <w:bottom w:val="single" w:sz="8" w:color="EAEAEA"/>
            </w:tcBorders>
            <w:shd w:val="clear" w:color="auto" w:fill="EAEAEA"/>
          </w:tcPr>
          <w:p>
            <w:pPr>
              <w:spacing w:after="0"/>
              <w:rPr>
                <w:sz w:val="19"/>
                <w:szCs w:val="19"/>
                <w:color w:val="auto"/>
              </w:rPr>
            </w:pPr>
          </w:p>
        </w:tc>
        <w:tc>
          <w:tcPr>
            <w:tcW w:w="29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color w:val="auto"/>
              </w:rPr>
              <w:t>into the future.</w:t>
            </w:r>
          </w:p>
        </w:tc>
        <w:tc>
          <w:tcPr>
            <w:tcW w:w="3000" w:type="dxa"/>
            <w:vAlign w:val="bottom"/>
            <w:tcBorders>
              <w:bottom w:val="single" w:sz="8" w:color="EAEAEA"/>
            </w:tcBorders>
            <w:shd w:val="clear" w:color="auto" w:fill="EAEAEA"/>
          </w:tcPr>
          <w:p>
            <w:pPr>
              <w:spacing w:after="0"/>
              <w:rPr>
                <w:sz w:val="19"/>
                <w:szCs w:val="19"/>
                <w:color w:val="auto"/>
              </w:rPr>
            </w:pPr>
          </w:p>
        </w:tc>
        <w:tc>
          <w:tcPr>
            <w:tcW w:w="2920" w:type="dxa"/>
            <w:vAlign w:val="bottom"/>
            <w:tcBorders>
              <w:bottom w:val="single" w:sz="8" w:color="EAEAEA"/>
              <w:right w:val="single" w:sz="8" w:color="BFBFBF"/>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80" w:type="dxa"/>
            <w:vAlign w:val="bottom"/>
            <w:tcBorders>
              <w:top w:val="single" w:sz="8" w:color="5D89B4"/>
              <w:left w:val="single" w:sz="8" w:color="BFBFBF"/>
            </w:tcBorders>
          </w:tcPr>
          <w:p>
            <w:pPr>
              <w:ind w:left="240"/>
              <w:spacing w:after="0"/>
              <w:rPr>
                <w:sz w:val="20"/>
                <w:szCs w:val="20"/>
                <w:color w:val="auto"/>
              </w:rPr>
            </w:pPr>
            <w:r>
              <w:rPr>
                <w:rFonts w:ascii="Arial" w:cs="Arial" w:eastAsia="Arial" w:hAnsi="Arial"/>
                <w:sz w:val="14"/>
                <w:szCs w:val="14"/>
                <w:b w:val="1"/>
                <w:bCs w:val="1"/>
                <w:color w:val="auto"/>
              </w:rPr>
              <w:t>Other Benefits</w:t>
            </w:r>
          </w:p>
        </w:tc>
        <w:tc>
          <w:tcPr>
            <w:tcW w:w="2940" w:type="dxa"/>
            <w:vAlign w:val="bottom"/>
            <w:tcBorders>
              <w:top w:val="single" w:sz="8" w:color="5D89B4"/>
            </w:tcBorders>
          </w:tcPr>
          <w:p>
            <w:pPr>
              <w:ind w:left="100"/>
              <w:spacing w:after="0"/>
              <w:rPr>
                <w:sz w:val="20"/>
                <w:szCs w:val="20"/>
                <w:color w:val="auto"/>
              </w:rPr>
            </w:pPr>
            <w:r>
              <w:rPr>
                <w:rFonts w:ascii="Arial" w:cs="Arial" w:eastAsia="Arial" w:hAnsi="Arial"/>
                <w:sz w:val="14"/>
                <w:szCs w:val="14"/>
                <w:color w:val="auto"/>
              </w:rPr>
              <w:t>Used to attract and retain talent needed in</w:t>
            </w:r>
          </w:p>
        </w:tc>
        <w:tc>
          <w:tcPr>
            <w:tcW w:w="3000" w:type="dxa"/>
            <w:vAlign w:val="bottom"/>
            <w:tcBorders>
              <w:top w:val="single" w:sz="8" w:color="5D89B4"/>
            </w:tcBorders>
          </w:tcPr>
          <w:p>
            <w:pPr>
              <w:ind w:left="100"/>
              <w:spacing w:after="0"/>
              <w:rPr>
                <w:sz w:val="20"/>
                <w:szCs w:val="20"/>
                <w:color w:val="auto"/>
              </w:rPr>
            </w:pPr>
            <w:r>
              <w:rPr>
                <w:rFonts w:ascii="Arial" w:cs="Arial" w:eastAsia="Arial" w:hAnsi="Arial"/>
                <w:sz w:val="14"/>
                <w:szCs w:val="14"/>
                <w:color w:val="auto"/>
              </w:rPr>
              <w:t>Additional benefits include financial planning</w:t>
            </w:r>
          </w:p>
        </w:tc>
        <w:tc>
          <w:tcPr>
            <w:tcW w:w="2920" w:type="dxa"/>
            <w:vAlign w:val="bottom"/>
            <w:tcBorders>
              <w:top w:val="single" w:sz="8" w:color="5D89B4"/>
              <w:right w:val="single" w:sz="8" w:color="BFBFBF"/>
            </w:tcBorders>
          </w:tcPr>
          <w:p>
            <w:pPr>
              <w:ind w:left="60"/>
              <w:spacing w:after="0"/>
              <w:rPr>
                <w:sz w:val="20"/>
                <w:szCs w:val="20"/>
                <w:color w:val="auto"/>
              </w:rPr>
            </w:pPr>
            <w:r>
              <w:rPr>
                <w:rFonts w:ascii="Arial" w:cs="Arial" w:eastAsia="Arial" w:hAnsi="Arial"/>
                <w:sz w:val="14"/>
                <w:szCs w:val="14"/>
                <w:color w:val="auto"/>
              </w:rPr>
              <w:t>Limited participation by the NEOs in these</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the business.</w:t>
            </w:r>
          </w:p>
        </w:tc>
        <w:tc>
          <w:tcPr>
            <w:tcW w:w="3000" w:type="dxa"/>
            <w:vAlign w:val="bottom"/>
          </w:tcPr>
          <w:p>
            <w:pPr>
              <w:ind w:left="100"/>
              <w:spacing w:after="0"/>
              <w:rPr>
                <w:sz w:val="20"/>
                <w:szCs w:val="20"/>
                <w:color w:val="auto"/>
              </w:rPr>
            </w:pPr>
            <w:r>
              <w:rPr>
                <w:rFonts w:ascii="Arial" w:cs="Arial" w:eastAsia="Arial" w:hAnsi="Arial"/>
                <w:sz w:val="14"/>
                <w:szCs w:val="14"/>
                <w:color w:val="auto"/>
              </w:rPr>
              <w:t>reimbursement, broad-based automobile</w:t>
            </w:r>
          </w:p>
        </w:tc>
        <w:tc>
          <w:tcPr>
            <w:tcW w:w="2920" w:type="dxa"/>
            <w:vAlign w:val="bottom"/>
            <w:tcBorders>
              <w:right w:val="single" w:sz="8" w:color="BFBFBF"/>
            </w:tcBorders>
          </w:tcPr>
          <w:p>
            <w:pPr>
              <w:ind w:left="60"/>
              <w:spacing w:after="0"/>
              <w:rPr>
                <w:sz w:val="20"/>
                <w:szCs w:val="20"/>
                <w:color w:val="auto"/>
              </w:rPr>
            </w:pPr>
            <w:r>
              <w:rPr>
                <w:rFonts w:ascii="Arial" w:cs="Arial" w:eastAsia="Arial" w:hAnsi="Arial"/>
                <w:sz w:val="14"/>
                <w:szCs w:val="14"/>
                <w:color w:val="auto"/>
              </w:rPr>
              <w:t>programs.</w:t>
            </w: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spacing w:after="0"/>
              <w:rPr>
                <w:sz w:val="13"/>
                <w:szCs w:val="13"/>
                <w:color w:val="auto"/>
              </w:rPr>
            </w:pPr>
          </w:p>
        </w:tc>
        <w:tc>
          <w:tcPr>
            <w:tcW w:w="3000" w:type="dxa"/>
            <w:vAlign w:val="bottom"/>
          </w:tcPr>
          <w:p>
            <w:pPr>
              <w:ind w:left="100"/>
              <w:spacing w:after="0"/>
              <w:rPr>
                <w:sz w:val="20"/>
                <w:szCs w:val="20"/>
                <w:color w:val="auto"/>
              </w:rPr>
            </w:pPr>
            <w:r>
              <w:rPr>
                <w:rFonts w:ascii="Arial" w:cs="Arial" w:eastAsia="Arial" w:hAnsi="Arial"/>
                <w:sz w:val="14"/>
                <w:szCs w:val="14"/>
                <w:color w:val="auto"/>
              </w:rPr>
              <w:t>benefits, selected benefits for expatriate</w:t>
            </w:r>
          </w:p>
        </w:tc>
        <w:tc>
          <w:tcPr>
            <w:tcW w:w="2920" w:type="dxa"/>
            <w:vAlign w:val="bottom"/>
            <w:tcBorders>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spacing w:after="0"/>
              <w:rPr>
                <w:sz w:val="13"/>
                <w:szCs w:val="13"/>
                <w:color w:val="auto"/>
              </w:rPr>
            </w:pPr>
          </w:p>
        </w:tc>
        <w:tc>
          <w:tcPr>
            <w:tcW w:w="3000" w:type="dxa"/>
            <w:vAlign w:val="bottom"/>
          </w:tcPr>
          <w:p>
            <w:pPr>
              <w:ind w:left="100"/>
              <w:spacing w:after="0"/>
              <w:rPr>
                <w:sz w:val="20"/>
                <w:szCs w:val="20"/>
                <w:color w:val="auto"/>
              </w:rPr>
            </w:pPr>
            <w:r>
              <w:rPr>
                <w:rFonts w:ascii="Arial" w:cs="Arial" w:eastAsia="Arial" w:hAnsi="Arial"/>
                <w:sz w:val="14"/>
                <w:szCs w:val="14"/>
                <w:color w:val="auto"/>
              </w:rPr>
              <w:t>executives, participation in broad-based</w:t>
            </w:r>
          </w:p>
        </w:tc>
        <w:tc>
          <w:tcPr>
            <w:tcW w:w="2920" w:type="dxa"/>
            <w:vAlign w:val="bottom"/>
            <w:tcBorders>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spacing w:after="0"/>
              <w:rPr>
                <w:sz w:val="13"/>
                <w:szCs w:val="13"/>
                <w:color w:val="auto"/>
              </w:rPr>
            </w:pPr>
          </w:p>
        </w:tc>
        <w:tc>
          <w:tcPr>
            <w:tcW w:w="3000" w:type="dxa"/>
            <w:vAlign w:val="bottom"/>
          </w:tcPr>
          <w:p>
            <w:pPr>
              <w:ind w:left="100"/>
              <w:spacing w:after="0"/>
              <w:rPr>
                <w:sz w:val="20"/>
                <w:szCs w:val="20"/>
                <w:color w:val="auto"/>
              </w:rPr>
            </w:pPr>
            <w:r>
              <w:rPr>
                <w:rFonts w:ascii="Arial" w:cs="Arial" w:eastAsia="Arial" w:hAnsi="Arial"/>
                <w:sz w:val="14"/>
                <w:szCs w:val="14"/>
                <w:color w:val="auto"/>
              </w:rPr>
              <w:t>employee benefit plans, and certain other</w:t>
            </w:r>
          </w:p>
        </w:tc>
        <w:tc>
          <w:tcPr>
            <w:tcW w:w="2920" w:type="dxa"/>
            <w:vAlign w:val="bottom"/>
            <w:tcBorders>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left w:val="single" w:sz="8" w:color="BFBFBF"/>
            </w:tcBorders>
          </w:tcPr>
          <w:p>
            <w:pPr>
              <w:spacing w:after="0"/>
              <w:rPr>
                <w:sz w:val="13"/>
                <w:szCs w:val="13"/>
                <w:color w:val="auto"/>
              </w:rPr>
            </w:pPr>
          </w:p>
        </w:tc>
        <w:tc>
          <w:tcPr>
            <w:tcW w:w="2940" w:type="dxa"/>
            <w:vAlign w:val="bottom"/>
          </w:tcPr>
          <w:p>
            <w:pPr>
              <w:spacing w:after="0"/>
              <w:rPr>
                <w:sz w:val="13"/>
                <w:szCs w:val="13"/>
                <w:color w:val="auto"/>
              </w:rPr>
            </w:pPr>
          </w:p>
        </w:tc>
        <w:tc>
          <w:tcPr>
            <w:tcW w:w="3000" w:type="dxa"/>
            <w:vAlign w:val="bottom"/>
          </w:tcPr>
          <w:p>
            <w:pPr>
              <w:ind w:left="100"/>
              <w:spacing w:after="0"/>
              <w:rPr>
                <w:sz w:val="20"/>
                <w:szCs w:val="20"/>
                <w:color w:val="auto"/>
              </w:rPr>
            </w:pPr>
            <w:r>
              <w:rPr>
                <w:rFonts w:ascii="Arial" w:cs="Arial" w:eastAsia="Arial" w:hAnsi="Arial"/>
                <w:sz w:val="14"/>
                <w:szCs w:val="14"/>
                <w:color w:val="auto"/>
              </w:rPr>
              <w:t>benefits required by local law or driven by</w:t>
            </w:r>
          </w:p>
        </w:tc>
        <w:tc>
          <w:tcPr>
            <w:tcW w:w="2920" w:type="dxa"/>
            <w:vAlign w:val="bottom"/>
            <w:tcBorders>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Borders>
              <w:left w:val="single" w:sz="8" w:color="BFBFBF"/>
            </w:tcBorders>
          </w:tcPr>
          <w:p>
            <w:pPr>
              <w:spacing w:after="0"/>
              <w:rPr>
                <w:sz w:val="14"/>
                <w:szCs w:val="14"/>
                <w:color w:val="auto"/>
              </w:rPr>
            </w:pPr>
          </w:p>
        </w:tc>
        <w:tc>
          <w:tcPr>
            <w:tcW w:w="2940" w:type="dxa"/>
            <w:vAlign w:val="bottom"/>
          </w:tcPr>
          <w:p>
            <w:pPr>
              <w:spacing w:after="0"/>
              <w:rPr>
                <w:sz w:val="14"/>
                <w:szCs w:val="14"/>
                <w:color w:val="auto"/>
              </w:rPr>
            </w:pPr>
          </w:p>
        </w:tc>
        <w:tc>
          <w:tcPr>
            <w:tcW w:w="3000" w:type="dxa"/>
            <w:vAlign w:val="bottom"/>
          </w:tcPr>
          <w:p>
            <w:pPr>
              <w:ind w:left="100"/>
              <w:spacing w:after="0"/>
              <w:rPr>
                <w:sz w:val="20"/>
                <w:szCs w:val="20"/>
                <w:color w:val="auto"/>
              </w:rPr>
            </w:pPr>
            <w:r>
              <w:rPr>
                <w:rFonts w:ascii="Arial" w:cs="Arial" w:eastAsia="Arial" w:hAnsi="Arial"/>
                <w:sz w:val="14"/>
                <w:szCs w:val="14"/>
                <w:color w:val="auto"/>
              </w:rPr>
              <w:t>local market practice.</w:t>
            </w:r>
          </w:p>
        </w:tc>
        <w:tc>
          <w:tcPr>
            <w:tcW w:w="2920" w:type="dxa"/>
            <w:vAlign w:val="bottom"/>
            <w:tcBorders>
              <w:right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80" w:type="dxa"/>
            <w:vAlign w:val="bottom"/>
            <w:tcBorders>
              <w:left w:val="single" w:sz="8" w:color="BFBFBF"/>
              <w:bottom w:val="single" w:sz="8" w:color="BFBFBF"/>
            </w:tcBorders>
          </w:tcPr>
          <w:p>
            <w:pPr>
              <w:spacing w:after="0"/>
              <w:rPr>
                <w:sz w:val="4"/>
                <w:szCs w:val="4"/>
                <w:color w:val="auto"/>
              </w:rPr>
            </w:pPr>
          </w:p>
        </w:tc>
        <w:tc>
          <w:tcPr>
            <w:tcW w:w="2940" w:type="dxa"/>
            <w:vAlign w:val="bottom"/>
            <w:tcBorders>
              <w:bottom w:val="single" w:sz="8" w:color="BFBFBF"/>
            </w:tcBorders>
          </w:tcPr>
          <w:p>
            <w:pPr>
              <w:spacing w:after="0"/>
              <w:rPr>
                <w:sz w:val="4"/>
                <w:szCs w:val="4"/>
                <w:color w:val="auto"/>
              </w:rPr>
            </w:pPr>
          </w:p>
        </w:tc>
        <w:tc>
          <w:tcPr>
            <w:tcW w:w="3000" w:type="dxa"/>
            <w:vAlign w:val="bottom"/>
            <w:tcBorders>
              <w:bottom w:val="single" w:sz="8" w:color="BFBFBF"/>
            </w:tcBorders>
          </w:tcPr>
          <w:p>
            <w:pPr>
              <w:spacing w:after="0"/>
              <w:rPr>
                <w:sz w:val="4"/>
                <w:szCs w:val="4"/>
                <w:color w:val="auto"/>
              </w:rPr>
            </w:pPr>
          </w:p>
        </w:tc>
        <w:tc>
          <w:tcPr>
            <w:tcW w:w="2920" w:type="dxa"/>
            <w:vAlign w:val="bottom"/>
            <w:tcBorders>
              <w:bottom w:val="single" w:sz="8" w:color="BFBFBF"/>
              <w:right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80" w:type="dxa"/>
            <w:vAlign w:val="bottom"/>
            <w:tcBorders>
              <w:bottom w:val="single" w:sz="8" w:color="5D89B4"/>
            </w:tcBorders>
          </w:tcPr>
          <w:p>
            <w:pPr>
              <w:spacing w:after="0"/>
              <w:rPr>
                <w:sz w:val="14"/>
                <w:szCs w:val="14"/>
                <w:color w:val="auto"/>
              </w:rPr>
            </w:pPr>
          </w:p>
        </w:tc>
        <w:tc>
          <w:tcPr>
            <w:tcW w:w="2940" w:type="dxa"/>
            <w:vAlign w:val="bottom"/>
            <w:tcBorders>
              <w:bottom w:val="single" w:sz="8" w:color="5D89B4"/>
            </w:tcBorders>
          </w:tcPr>
          <w:p>
            <w:pPr>
              <w:spacing w:after="0"/>
              <w:rPr>
                <w:sz w:val="14"/>
                <w:szCs w:val="14"/>
                <w:color w:val="auto"/>
              </w:rPr>
            </w:pPr>
          </w:p>
        </w:tc>
        <w:tc>
          <w:tcPr>
            <w:tcW w:w="3000" w:type="dxa"/>
            <w:vAlign w:val="bottom"/>
            <w:tcBorders>
              <w:bottom w:val="single" w:sz="8" w:color="5D89B4"/>
            </w:tcBorders>
          </w:tcPr>
          <w:p>
            <w:pPr>
              <w:spacing w:after="0"/>
              <w:rPr>
                <w:sz w:val="14"/>
                <w:szCs w:val="14"/>
                <w:color w:val="auto"/>
              </w:rPr>
            </w:pPr>
          </w:p>
        </w:tc>
        <w:tc>
          <w:tcPr>
            <w:tcW w:w="292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34</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40"/>
          </w:cols>
          <w:pgMar w:left="480" w:top="1165" w:right="47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Target Total Compensation</w:t>
      </w:r>
    </w:p>
    <w:p>
      <w:pPr>
        <w:spacing w:after="0" w:line="139" w:lineRule="exact"/>
        <w:rPr>
          <w:sz w:val="20"/>
          <w:szCs w:val="20"/>
          <w:color w:val="auto"/>
        </w:rPr>
      </w:pPr>
    </w:p>
    <w:p>
      <w:pPr>
        <w:jc w:val="both"/>
        <w:ind w:right="320"/>
        <w:spacing w:after="0" w:line="232" w:lineRule="auto"/>
        <w:rPr>
          <w:sz w:val="20"/>
          <w:szCs w:val="20"/>
          <w:color w:val="auto"/>
        </w:rPr>
      </w:pPr>
      <w:r>
        <w:rPr>
          <w:rFonts w:ascii="Arial" w:cs="Arial" w:eastAsia="Arial" w:hAnsi="Arial"/>
          <w:sz w:val="15"/>
          <w:szCs w:val="15"/>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2021. This table does not include the one-time 2021 Special Grant, as the Committee does not consider it to have been part of target annual compensation: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D89B4"/>
        </w:rPr>
        <w:t>2021 Target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163195</wp:posOffset>
            </wp:positionV>
            <wp:extent cx="5222875" cy="17919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22875"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80"/>
        <w:spacing w:after="0" w:line="232" w:lineRule="auto"/>
        <w:rPr>
          <w:sz w:val="20"/>
          <w:szCs w:val="20"/>
          <w:color w:val="auto"/>
        </w:rPr>
      </w:pPr>
      <w:r>
        <w:rPr>
          <w:rFonts w:ascii="Arial" w:cs="Arial" w:eastAsia="Arial" w:hAnsi="Arial"/>
          <w:sz w:val="15"/>
          <w:szCs w:val="15"/>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w:t>
      </w:r>
    </w:p>
    <w:p>
      <w:pPr>
        <w:spacing w:after="0" w:line="128" w:lineRule="exact"/>
        <w:rPr>
          <w:sz w:val="20"/>
          <w:szCs w:val="20"/>
          <w:color w:val="auto"/>
        </w:rPr>
      </w:pPr>
    </w:p>
    <w:p>
      <w:pPr>
        <w:ind w:right="540"/>
        <w:spacing w:after="0" w:line="237" w:lineRule="auto"/>
        <w:rPr>
          <w:sz w:val="20"/>
          <w:szCs w:val="20"/>
          <w:color w:val="auto"/>
        </w:rPr>
      </w:pPr>
      <w:r>
        <w:rPr>
          <w:rFonts w:ascii="Arial" w:cs="Arial" w:eastAsia="Arial" w:hAnsi="Arial"/>
          <w:sz w:val="15"/>
          <w:szCs w:val="15"/>
          <w:color w:val="auto"/>
        </w:rPr>
        <w:t>This table outlines the values of the each of the NEO’s total target compensation values and the percentage that is variable (both short- and long-term) and performance-based (both short- and long-term).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D89B4"/>
        </w:rPr>
        <w:t>2021 NEO Target Compensation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2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840" w:type="dxa"/>
            <w:vAlign w:val="bottom"/>
            <w:shd w:val="clear" w:color="auto" w:fill="EAEAEA"/>
          </w:tcPr>
          <w:p>
            <w:pPr>
              <w:spacing w:after="0"/>
              <w:rPr>
                <w:sz w:val="14"/>
                <w:szCs w:val="14"/>
                <w:color w:val="auto"/>
              </w:rPr>
            </w:pPr>
          </w:p>
        </w:tc>
        <w:tc>
          <w:tcPr>
            <w:tcW w:w="104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940" w:type="dxa"/>
            <w:vAlign w:val="bottom"/>
            <w:shd w:val="clear" w:color="auto" w:fill="EAEAEA"/>
          </w:tcPr>
          <w:p>
            <w:pPr>
              <w:jc w:val="right"/>
              <w:ind w:right="137"/>
              <w:spacing w:after="0"/>
              <w:rPr>
                <w:sz w:val="20"/>
                <w:szCs w:val="20"/>
                <w:color w:val="auto"/>
              </w:rPr>
            </w:pPr>
            <w:r>
              <w:rPr>
                <w:rFonts w:ascii="Arial" w:cs="Arial" w:eastAsia="Arial" w:hAnsi="Arial"/>
                <w:sz w:val="11"/>
                <w:szCs w:val="11"/>
                <w:b w:val="1"/>
                <w:bCs w:val="1"/>
                <w:color w:val="5D89B4"/>
              </w:rPr>
              <w:t>% TOTAL</w:t>
            </w:r>
          </w:p>
        </w:tc>
        <w:tc>
          <w:tcPr>
            <w:tcW w:w="1160" w:type="dxa"/>
            <w:vAlign w:val="bottom"/>
            <w:shd w:val="clear" w:color="auto" w:fill="EAEAEA"/>
          </w:tcPr>
          <w:p>
            <w:pPr>
              <w:jc w:val="right"/>
              <w:ind w:right="157"/>
              <w:spacing w:after="0"/>
              <w:rPr>
                <w:sz w:val="20"/>
                <w:szCs w:val="20"/>
                <w:color w:val="auto"/>
              </w:rPr>
            </w:pPr>
            <w:r>
              <w:rPr>
                <w:rFonts w:ascii="Arial" w:cs="Arial" w:eastAsia="Arial" w:hAnsi="Arial"/>
                <w:sz w:val="11"/>
                <w:szCs w:val="11"/>
                <w:b w:val="1"/>
                <w:bCs w:val="1"/>
                <w:color w:val="5D89B4"/>
              </w:rPr>
              <w:t>% TOTAL 2021</w:t>
            </w:r>
          </w:p>
        </w:tc>
        <w:tc>
          <w:tcPr>
            <w:tcW w:w="960" w:type="dxa"/>
            <w:vAlign w:val="bottom"/>
            <w:shd w:val="clear" w:color="auto" w:fill="EAEAEA"/>
          </w:tcPr>
          <w:p>
            <w:pPr>
              <w:spacing w:after="0"/>
              <w:rPr>
                <w:sz w:val="14"/>
                <w:szCs w:val="14"/>
                <w:color w:val="auto"/>
              </w:rPr>
            </w:pPr>
          </w:p>
        </w:tc>
        <w:tc>
          <w:tcPr>
            <w:tcW w:w="1140" w:type="dxa"/>
            <w:vAlign w:val="bottom"/>
            <w:shd w:val="clear" w:color="auto" w:fill="EAEAEA"/>
          </w:tcPr>
          <w:p>
            <w:pPr>
              <w:jc w:val="right"/>
              <w:ind w:right="137"/>
              <w:spacing w:after="0"/>
              <w:rPr>
                <w:sz w:val="20"/>
                <w:szCs w:val="20"/>
                <w:color w:val="auto"/>
              </w:rPr>
            </w:pPr>
            <w:r>
              <w:rPr>
                <w:rFonts w:ascii="Arial" w:cs="Arial" w:eastAsia="Arial" w:hAnsi="Arial"/>
                <w:sz w:val="11"/>
                <w:szCs w:val="11"/>
                <w:b w:val="1"/>
                <w:bCs w:val="1"/>
                <w:color w:val="5D89B4"/>
              </w:rPr>
              <w:t>% TOTAL 2021</w:t>
            </w:r>
          </w:p>
        </w:tc>
      </w:tr>
      <w:tr>
        <w:trPr>
          <w:trHeight w:val="120"/>
        </w:trPr>
        <w:tc>
          <w:tcPr>
            <w:tcW w:w="122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84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75"/>
              <w:spacing w:after="0" w:line="121" w:lineRule="exact"/>
              <w:rPr>
                <w:sz w:val="20"/>
                <w:szCs w:val="20"/>
                <w:color w:val="auto"/>
              </w:rPr>
            </w:pPr>
            <w:r>
              <w:rPr>
                <w:rFonts w:ascii="Arial" w:cs="Arial" w:eastAsia="Arial" w:hAnsi="Arial"/>
                <w:sz w:val="11"/>
                <w:szCs w:val="11"/>
                <w:b w:val="1"/>
                <w:bCs w:val="1"/>
                <w:color w:val="5D89B4"/>
              </w:rPr>
              <w:t>REGULAR</w:t>
            </w:r>
          </w:p>
        </w:tc>
        <w:tc>
          <w:tcPr>
            <w:tcW w:w="900" w:type="dxa"/>
            <w:vAlign w:val="bottom"/>
            <w:shd w:val="clear" w:color="auto" w:fill="EAEAEA"/>
          </w:tcPr>
          <w:p>
            <w:pPr>
              <w:spacing w:after="0"/>
              <w:rPr>
                <w:sz w:val="10"/>
                <w:szCs w:val="10"/>
                <w:color w:val="auto"/>
              </w:rPr>
            </w:pPr>
          </w:p>
        </w:tc>
        <w:tc>
          <w:tcPr>
            <w:tcW w:w="940" w:type="dxa"/>
            <w:vAlign w:val="bottom"/>
            <w:shd w:val="clear" w:color="auto" w:fill="EAEAEA"/>
          </w:tcPr>
          <w:p>
            <w:pPr>
              <w:spacing w:after="0"/>
              <w:rPr>
                <w:sz w:val="10"/>
                <w:szCs w:val="10"/>
                <w:color w:val="auto"/>
              </w:rPr>
            </w:pPr>
          </w:p>
        </w:tc>
        <w:tc>
          <w:tcPr>
            <w:tcW w:w="940" w:type="dxa"/>
            <w:vAlign w:val="bottom"/>
            <w:shd w:val="clear" w:color="auto" w:fill="EAEAEA"/>
          </w:tcPr>
          <w:p>
            <w:pPr>
              <w:jc w:val="right"/>
              <w:ind w:right="137"/>
              <w:spacing w:after="0" w:line="121" w:lineRule="exact"/>
              <w:rPr>
                <w:sz w:val="20"/>
                <w:szCs w:val="20"/>
                <w:color w:val="auto"/>
              </w:rPr>
            </w:pPr>
            <w:r>
              <w:rPr>
                <w:rFonts w:ascii="Arial" w:cs="Arial" w:eastAsia="Arial" w:hAnsi="Arial"/>
                <w:sz w:val="11"/>
                <w:szCs w:val="11"/>
                <w:b w:val="1"/>
                <w:bCs w:val="1"/>
                <w:color w:val="5D89B4"/>
              </w:rPr>
              <w:t>2021</w:t>
            </w:r>
          </w:p>
        </w:tc>
        <w:tc>
          <w:tcPr>
            <w:tcW w:w="1160" w:type="dxa"/>
            <w:vAlign w:val="bottom"/>
            <w:shd w:val="clear" w:color="auto" w:fill="EAEAEA"/>
          </w:tcPr>
          <w:p>
            <w:pPr>
              <w:jc w:val="right"/>
              <w:ind w:right="157"/>
              <w:spacing w:after="0" w:line="121" w:lineRule="exact"/>
              <w:rPr>
                <w:sz w:val="20"/>
                <w:szCs w:val="20"/>
                <w:color w:val="auto"/>
              </w:rPr>
            </w:pPr>
            <w:r>
              <w:rPr>
                <w:rFonts w:ascii="Arial" w:cs="Arial" w:eastAsia="Arial" w:hAnsi="Arial"/>
                <w:sz w:val="11"/>
                <w:szCs w:val="11"/>
                <w:b w:val="1"/>
                <w:bCs w:val="1"/>
                <w:color w:val="5D89B4"/>
              </w:rPr>
              <w:t>TARGET</w:t>
            </w:r>
          </w:p>
        </w:tc>
        <w:tc>
          <w:tcPr>
            <w:tcW w:w="960" w:type="dxa"/>
            <w:vAlign w:val="bottom"/>
            <w:shd w:val="clear" w:color="auto" w:fill="EAEAEA"/>
          </w:tcPr>
          <w:p>
            <w:pPr>
              <w:spacing w:after="0"/>
              <w:rPr>
                <w:sz w:val="10"/>
                <w:szCs w:val="10"/>
                <w:color w:val="auto"/>
              </w:rPr>
            </w:pPr>
          </w:p>
        </w:tc>
        <w:tc>
          <w:tcPr>
            <w:tcW w:w="1140" w:type="dxa"/>
            <w:vAlign w:val="bottom"/>
            <w:shd w:val="clear" w:color="auto" w:fill="EAEAEA"/>
          </w:tcPr>
          <w:p>
            <w:pPr>
              <w:jc w:val="right"/>
              <w:ind w:right="137"/>
              <w:spacing w:after="0" w:line="121" w:lineRule="exact"/>
              <w:rPr>
                <w:sz w:val="20"/>
                <w:szCs w:val="20"/>
                <w:color w:val="auto"/>
              </w:rPr>
            </w:pPr>
            <w:r>
              <w:rPr>
                <w:rFonts w:ascii="Arial" w:cs="Arial" w:eastAsia="Arial" w:hAnsi="Arial"/>
                <w:sz w:val="11"/>
                <w:szCs w:val="11"/>
                <w:b w:val="1"/>
                <w:bCs w:val="1"/>
                <w:color w:val="5D89B4"/>
              </w:rPr>
              <w:t>TARGET</w:t>
            </w:r>
          </w:p>
        </w:tc>
      </w:tr>
      <w:tr>
        <w:trPr>
          <w:trHeight w:val="120"/>
        </w:trPr>
        <w:tc>
          <w:tcPr>
            <w:tcW w:w="122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84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75"/>
              <w:spacing w:after="0" w:line="121" w:lineRule="exact"/>
              <w:rPr>
                <w:sz w:val="20"/>
                <w:szCs w:val="20"/>
                <w:color w:val="auto"/>
              </w:rPr>
            </w:pPr>
            <w:r>
              <w:rPr>
                <w:rFonts w:ascii="Arial" w:cs="Arial" w:eastAsia="Arial" w:hAnsi="Arial"/>
                <w:sz w:val="11"/>
                <w:szCs w:val="11"/>
                <w:b w:val="1"/>
                <w:bCs w:val="1"/>
                <w:color w:val="5D89B4"/>
              </w:rPr>
              <w:t>PERFORMANCE</w:t>
            </w:r>
          </w:p>
        </w:tc>
        <w:tc>
          <w:tcPr>
            <w:tcW w:w="900" w:type="dxa"/>
            <w:vAlign w:val="bottom"/>
            <w:shd w:val="clear" w:color="auto" w:fill="EAEAEA"/>
          </w:tcPr>
          <w:p>
            <w:pPr>
              <w:spacing w:after="0"/>
              <w:rPr>
                <w:sz w:val="10"/>
                <w:szCs w:val="10"/>
                <w:color w:val="auto"/>
              </w:rPr>
            </w:pPr>
          </w:p>
        </w:tc>
        <w:tc>
          <w:tcPr>
            <w:tcW w:w="940" w:type="dxa"/>
            <w:vAlign w:val="bottom"/>
            <w:shd w:val="clear" w:color="auto" w:fill="EAEAEA"/>
          </w:tcPr>
          <w:p>
            <w:pPr>
              <w:jc w:val="right"/>
              <w:ind w:right="14"/>
              <w:spacing w:after="0" w:line="121" w:lineRule="exact"/>
              <w:rPr>
                <w:sz w:val="20"/>
                <w:szCs w:val="20"/>
                <w:color w:val="auto"/>
              </w:rPr>
            </w:pPr>
            <w:r>
              <w:rPr>
                <w:rFonts w:ascii="Arial" w:cs="Arial" w:eastAsia="Arial" w:hAnsi="Arial"/>
                <w:sz w:val="11"/>
                <w:szCs w:val="11"/>
                <w:b w:val="1"/>
                <w:bCs w:val="1"/>
                <w:color w:val="5D89B4"/>
              </w:rPr>
              <w:t>TOTAL 2021</w:t>
            </w:r>
          </w:p>
        </w:tc>
        <w:tc>
          <w:tcPr>
            <w:tcW w:w="940" w:type="dxa"/>
            <w:vAlign w:val="bottom"/>
            <w:shd w:val="clear" w:color="auto" w:fill="EAEAEA"/>
          </w:tcPr>
          <w:p>
            <w:pPr>
              <w:jc w:val="right"/>
              <w:ind w:right="137"/>
              <w:spacing w:after="0" w:line="121" w:lineRule="exact"/>
              <w:rPr>
                <w:sz w:val="20"/>
                <w:szCs w:val="20"/>
                <w:color w:val="auto"/>
              </w:rPr>
            </w:pPr>
            <w:r>
              <w:rPr>
                <w:rFonts w:ascii="Arial" w:cs="Arial" w:eastAsia="Arial" w:hAnsi="Arial"/>
                <w:sz w:val="11"/>
                <w:szCs w:val="11"/>
                <w:b w:val="1"/>
                <w:bCs w:val="1"/>
                <w:color w:val="5D89B4"/>
              </w:rPr>
              <w:t>TARGET</w:t>
            </w:r>
          </w:p>
        </w:tc>
        <w:tc>
          <w:tcPr>
            <w:tcW w:w="1160" w:type="dxa"/>
            <w:vAlign w:val="bottom"/>
            <w:shd w:val="clear" w:color="auto" w:fill="EAEAEA"/>
          </w:tcPr>
          <w:p>
            <w:pPr>
              <w:jc w:val="right"/>
              <w:ind w:right="157"/>
              <w:spacing w:after="0" w:line="121" w:lineRule="exact"/>
              <w:rPr>
                <w:sz w:val="20"/>
                <w:szCs w:val="20"/>
                <w:color w:val="auto"/>
              </w:rPr>
            </w:pPr>
            <w:r>
              <w:rPr>
                <w:rFonts w:ascii="Arial" w:cs="Arial" w:eastAsia="Arial" w:hAnsi="Arial"/>
                <w:sz w:val="11"/>
                <w:szCs w:val="11"/>
                <w:b w:val="1"/>
                <w:bCs w:val="1"/>
                <w:color w:val="5D89B4"/>
              </w:rPr>
              <w:t>COMP</w:t>
            </w:r>
          </w:p>
        </w:tc>
        <w:tc>
          <w:tcPr>
            <w:tcW w:w="9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2021 SPECIAL</w:t>
            </w:r>
          </w:p>
        </w:tc>
        <w:tc>
          <w:tcPr>
            <w:tcW w:w="1140" w:type="dxa"/>
            <w:vAlign w:val="bottom"/>
            <w:shd w:val="clear" w:color="auto" w:fill="EAEAEA"/>
          </w:tcPr>
          <w:p>
            <w:pPr>
              <w:jc w:val="right"/>
              <w:ind w:right="137"/>
              <w:spacing w:after="0" w:line="121" w:lineRule="exact"/>
              <w:rPr>
                <w:sz w:val="20"/>
                <w:szCs w:val="20"/>
                <w:color w:val="auto"/>
              </w:rPr>
            </w:pPr>
            <w:r>
              <w:rPr>
                <w:rFonts w:ascii="Arial" w:cs="Arial" w:eastAsia="Arial" w:hAnsi="Arial"/>
                <w:sz w:val="11"/>
                <w:szCs w:val="11"/>
                <w:b w:val="1"/>
                <w:bCs w:val="1"/>
                <w:color w:val="5D89B4"/>
              </w:rPr>
              <w:t>COMP</w:t>
            </w:r>
          </w:p>
        </w:tc>
      </w:tr>
      <w:tr>
        <w:trPr>
          <w:trHeight w:val="120"/>
        </w:trPr>
        <w:tc>
          <w:tcPr>
            <w:tcW w:w="1220" w:type="dxa"/>
            <w:vAlign w:val="bottom"/>
            <w:shd w:val="clear" w:color="auto" w:fill="EAEAEA"/>
          </w:tcPr>
          <w:p>
            <w:pPr>
              <w:spacing w:after="0"/>
              <w:rPr>
                <w:sz w:val="10"/>
                <w:szCs w:val="10"/>
                <w:color w:val="auto"/>
              </w:rPr>
            </w:pPr>
          </w:p>
        </w:tc>
        <w:tc>
          <w:tcPr>
            <w:tcW w:w="900" w:type="dxa"/>
            <w:vAlign w:val="bottom"/>
            <w:shd w:val="clear" w:color="auto" w:fill="EAEAEA"/>
          </w:tcPr>
          <w:p>
            <w:pPr>
              <w:jc w:val="right"/>
              <w:ind w:right="32"/>
              <w:spacing w:after="0" w:line="121" w:lineRule="exact"/>
              <w:rPr>
                <w:sz w:val="20"/>
                <w:szCs w:val="20"/>
                <w:color w:val="auto"/>
              </w:rPr>
            </w:pPr>
            <w:r>
              <w:rPr>
                <w:rFonts w:ascii="Arial" w:cs="Arial" w:eastAsia="Arial" w:hAnsi="Arial"/>
                <w:sz w:val="11"/>
                <w:szCs w:val="11"/>
                <w:b w:val="1"/>
                <w:bCs w:val="1"/>
                <w:color w:val="5D89B4"/>
              </w:rPr>
              <w:t>BASE</w:t>
            </w:r>
          </w:p>
        </w:tc>
        <w:tc>
          <w:tcPr>
            <w:tcW w:w="880" w:type="dxa"/>
            <w:vAlign w:val="bottom"/>
            <w:shd w:val="clear" w:color="auto" w:fill="EAEAEA"/>
          </w:tcPr>
          <w:p>
            <w:pPr>
              <w:jc w:val="right"/>
              <w:ind w:right="32"/>
              <w:spacing w:after="0" w:line="121" w:lineRule="exact"/>
              <w:rPr>
                <w:sz w:val="20"/>
                <w:szCs w:val="20"/>
                <w:color w:val="auto"/>
              </w:rPr>
            </w:pPr>
            <w:r>
              <w:rPr>
                <w:rFonts w:ascii="Arial" w:cs="Arial" w:eastAsia="Arial" w:hAnsi="Arial"/>
                <w:sz w:val="11"/>
                <w:szCs w:val="11"/>
                <w:b w:val="1"/>
                <w:bCs w:val="1"/>
                <w:color w:val="5D89B4"/>
              </w:rPr>
              <w:t>ANNUAL</w:t>
            </w:r>
          </w:p>
        </w:tc>
        <w:tc>
          <w:tcPr>
            <w:tcW w:w="840" w:type="dxa"/>
            <w:vAlign w:val="bottom"/>
            <w:shd w:val="clear" w:color="auto" w:fill="EAEAEA"/>
          </w:tcPr>
          <w:p>
            <w:pPr>
              <w:jc w:val="right"/>
              <w:ind w:right="12"/>
              <w:spacing w:after="0" w:line="121" w:lineRule="exact"/>
              <w:rPr>
                <w:sz w:val="20"/>
                <w:szCs w:val="20"/>
                <w:color w:val="auto"/>
              </w:rPr>
            </w:pPr>
            <w:r>
              <w:rPr>
                <w:rFonts w:ascii="Arial" w:cs="Arial" w:eastAsia="Arial" w:hAnsi="Arial"/>
                <w:sz w:val="11"/>
                <w:szCs w:val="11"/>
                <w:b w:val="1"/>
                <w:bCs w:val="1"/>
                <w:color w:val="5D89B4"/>
              </w:rPr>
              <w:t>STOCK</w:t>
            </w:r>
          </w:p>
        </w:tc>
        <w:tc>
          <w:tcPr>
            <w:tcW w:w="1040" w:type="dxa"/>
            <w:vAlign w:val="bottom"/>
            <w:shd w:val="clear" w:color="auto" w:fill="EAEAEA"/>
          </w:tcPr>
          <w:p>
            <w:pPr>
              <w:jc w:val="right"/>
              <w:ind w:right="75"/>
              <w:spacing w:after="0" w:line="121" w:lineRule="exact"/>
              <w:rPr>
                <w:sz w:val="20"/>
                <w:szCs w:val="20"/>
                <w:color w:val="auto"/>
              </w:rPr>
            </w:pPr>
            <w:r>
              <w:rPr>
                <w:rFonts w:ascii="Arial" w:cs="Arial" w:eastAsia="Arial" w:hAnsi="Arial"/>
                <w:sz w:val="11"/>
                <w:szCs w:val="11"/>
                <w:b w:val="1"/>
                <w:bCs w:val="1"/>
                <w:color w:val="5D89B4"/>
              </w:rPr>
              <w:t>SHARE</w:t>
            </w:r>
          </w:p>
        </w:tc>
        <w:tc>
          <w:tcPr>
            <w:tcW w:w="900" w:type="dxa"/>
            <w:vAlign w:val="bottom"/>
            <w:shd w:val="clear" w:color="auto" w:fill="EAEAEA"/>
          </w:tcPr>
          <w:p>
            <w:pPr>
              <w:jc w:val="right"/>
              <w:ind w:right="9"/>
              <w:spacing w:after="0" w:line="121" w:lineRule="exact"/>
              <w:rPr>
                <w:sz w:val="20"/>
                <w:szCs w:val="20"/>
                <w:color w:val="auto"/>
              </w:rPr>
            </w:pPr>
            <w:r>
              <w:rPr>
                <w:rFonts w:ascii="Arial" w:cs="Arial" w:eastAsia="Arial" w:hAnsi="Arial"/>
                <w:sz w:val="11"/>
                <w:szCs w:val="11"/>
                <w:b w:val="1"/>
                <w:bCs w:val="1"/>
                <w:color w:val="5D89B4"/>
              </w:rPr>
              <w:t>RESTRICTED</w:t>
            </w:r>
          </w:p>
        </w:tc>
        <w:tc>
          <w:tcPr>
            <w:tcW w:w="940" w:type="dxa"/>
            <w:vAlign w:val="bottom"/>
            <w:shd w:val="clear" w:color="auto" w:fill="EAEAEA"/>
          </w:tcPr>
          <w:p>
            <w:pPr>
              <w:jc w:val="right"/>
              <w:ind w:right="14"/>
              <w:spacing w:after="0" w:line="121" w:lineRule="exact"/>
              <w:rPr>
                <w:sz w:val="20"/>
                <w:szCs w:val="20"/>
                <w:color w:val="auto"/>
              </w:rPr>
            </w:pPr>
            <w:r>
              <w:rPr>
                <w:rFonts w:ascii="Arial" w:cs="Arial" w:eastAsia="Arial" w:hAnsi="Arial"/>
                <w:sz w:val="11"/>
                <w:szCs w:val="11"/>
                <w:b w:val="1"/>
                <w:bCs w:val="1"/>
                <w:color w:val="5D89B4"/>
              </w:rPr>
              <w:t>TARGET</w:t>
            </w:r>
          </w:p>
        </w:tc>
        <w:tc>
          <w:tcPr>
            <w:tcW w:w="940" w:type="dxa"/>
            <w:vAlign w:val="bottom"/>
            <w:shd w:val="clear" w:color="auto" w:fill="EAEAEA"/>
          </w:tcPr>
          <w:p>
            <w:pPr>
              <w:jc w:val="right"/>
              <w:ind w:right="137"/>
              <w:spacing w:after="0" w:line="121" w:lineRule="exact"/>
              <w:rPr>
                <w:sz w:val="20"/>
                <w:szCs w:val="20"/>
                <w:color w:val="auto"/>
              </w:rPr>
            </w:pPr>
            <w:r>
              <w:rPr>
                <w:rFonts w:ascii="Arial" w:cs="Arial" w:eastAsia="Arial" w:hAnsi="Arial"/>
                <w:sz w:val="11"/>
                <w:szCs w:val="11"/>
                <w:b w:val="1"/>
                <w:bCs w:val="1"/>
                <w:color w:val="5D89B4"/>
              </w:rPr>
              <w:t>COMP</w:t>
            </w:r>
          </w:p>
        </w:tc>
        <w:tc>
          <w:tcPr>
            <w:tcW w:w="1160" w:type="dxa"/>
            <w:vAlign w:val="bottom"/>
            <w:shd w:val="clear" w:color="auto" w:fill="EAEAEA"/>
          </w:tcPr>
          <w:p>
            <w:pPr>
              <w:jc w:val="right"/>
              <w:ind w:right="157"/>
              <w:spacing w:after="0" w:line="121" w:lineRule="exact"/>
              <w:rPr>
                <w:sz w:val="20"/>
                <w:szCs w:val="20"/>
                <w:color w:val="auto"/>
              </w:rPr>
            </w:pPr>
            <w:r>
              <w:rPr>
                <w:rFonts w:ascii="Arial" w:cs="Arial" w:eastAsia="Arial" w:hAnsi="Arial"/>
                <w:sz w:val="11"/>
                <w:szCs w:val="11"/>
                <w:b w:val="1"/>
                <w:bCs w:val="1"/>
                <w:color w:val="5D89B4"/>
              </w:rPr>
              <w:t>PERFORMANCE-</w:t>
            </w:r>
          </w:p>
        </w:tc>
        <w:tc>
          <w:tcPr>
            <w:tcW w:w="9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PERFORMANCE</w:t>
            </w:r>
          </w:p>
        </w:tc>
        <w:tc>
          <w:tcPr>
            <w:tcW w:w="1140" w:type="dxa"/>
            <w:vAlign w:val="bottom"/>
            <w:shd w:val="clear" w:color="auto" w:fill="EAEAEA"/>
          </w:tcPr>
          <w:p>
            <w:pPr>
              <w:jc w:val="right"/>
              <w:ind w:right="137"/>
              <w:spacing w:after="0" w:line="121" w:lineRule="exact"/>
              <w:rPr>
                <w:sz w:val="20"/>
                <w:szCs w:val="20"/>
                <w:color w:val="auto"/>
              </w:rPr>
            </w:pPr>
            <w:r>
              <w:rPr>
                <w:rFonts w:ascii="Arial" w:cs="Arial" w:eastAsia="Arial" w:hAnsi="Arial"/>
                <w:sz w:val="11"/>
                <w:szCs w:val="11"/>
                <w:b w:val="1"/>
                <w:bCs w:val="1"/>
                <w:color w:val="5D89B4"/>
              </w:rPr>
              <w:t>PERFORMANCE-</w:t>
            </w:r>
          </w:p>
        </w:tc>
      </w:tr>
      <w:tr>
        <w:trPr>
          <w:trHeight w:val="154"/>
        </w:trPr>
        <w:tc>
          <w:tcPr>
            <w:tcW w:w="122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NEO</w:t>
            </w:r>
          </w:p>
        </w:tc>
        <w:tc>
          <w:tcPr>
            <w:tcW w:w="900" w:type="dxa"/>
            <w:vAlign w:val="bottom"/>
            <w:shd w:val="clear" w:color="auto" w:fill="EAEAEA"/>
          </w:tcPr>
          <w:p>
            <w:pPr>
              <w:jc w:val="right"/>
              <w:ind w:right="32"/>
              <w:spacing w:after="0"/>
              <w:rPr>
                <w:sz w:val="20"/>
                <w:szCs w:val="20"/>
                <w:color w:val="auto"/>
              </w:rPr>
            </w:pPr>
            <w:r>
              <w:rPr>
                <w:rFonts w:ascii="Arial" w:cs="Arial" w:eastAsia="Arial" w:hAnsi="Arial"/>
                <w:sz w:val="11"/>
                <w:szCs w:val="11"/>
                <w:b w:val="1"/>
                <w:bCs w:val="1"/>
                <w:color w:val="5D89B4"/>
              </w:rPr>
              <w:t>SALARY $</w:t>
            </w:r>
          </w:p>
        </w:tc>
        <w:tc>
          <w:tcPr>
            <w:tcW w:w="880" w:type="dxa"/>
            <w:vAlign w:val="bottom"/>
            <w:shd w:val="clear" w:color="auto" w:fill="EAEAEA"/>
          </w:tcPr>
          <w:p>
            <w:pPr>
              <w:jc w:val="right"/>
              <w:ind w:right="32"/>
              <w:spacing w:after="0"/>
              <w:rPr>
                <w:sz w:val="20"/>
                <w:szCs w:val="20"/>
                <w:color w:val="auto"/>
              </w:rPr>
            </w:pPr>
            <w:r>
              <w:rPr>
                <w:rFonts w:ascii="Arial" w:cs="Arial" w:eastAsia="Arial" w:hAnsi="Arial"/>
                <w:sz w:val="11"/>
                <w:szCs w:val="11"/>
                <w:b w:val="1"/>
                <w:bCs w:val="1"/>
                <w:color w:val="5D89B4"/>
              </w:rPr>
              <w:t>INCENTIVE $</w:t>
            </w:r>
          </w:p>
        </w:tc>
        <w:tc>
          <w:tcPr>
            <w:tcW w:w="840" w:type="dxa"/>
            <w:vAlign w:val="bottom"/>
            <w:shd w:val="clear" w:color="auto" w:fill="EAEAEA"/>
          </w:tcPr>
          <w:p>
            <w:pPr>
              <w:jc w:val="right"/>
              <w:ind w:right="12"/>
              <w:spacing w:after="0"/>
              <w:rPr>
                <w:sz w:val="20"/>
                <w:szCs w:val="20"/>
                <w:color w:val="auto"/>
              </w:rPr>
            </w:pPr>
            <w:r>
              <w:rPr>
                <w:rFonts w:ascii="Arial" w:cs="Arial" w:eastAsia="Arial" w:hAnsi="Arial"/>
                <w:sz w:val="11"/>
                <w:szCs w:val="11"/>
                <w:b w:val="1"/>
                <w:bCs w:val="1"/>
                <w:color w:val="5D89B4"/>
              </w:rPr>
              <w:t>OPTIONS $</w:t>
            </w:r>
          </w:p>
        </w:tc>
        <w:tc>
          <w:tcPr>
            <w:tcW w:w="1940" w:type="dxa"/>
            <w:vAlign w:val="bottom"/>
            <w:gridSpan w:val="2"/>
            <w:shd w:val="clear" w:color="auto" w:fill="EAEAEA"/>
          </w:tcPr>
          <w:p>
            <w:pPr>
              <w:jc w:val="right"/>
              <w:ind w:right="9"/>
              <w:spacing w:after="0"/>
              <w:rPr>
                <w:sz w:val="20"/>
                <w:szCs w:val="20"/>
                <w:color w:val="auto"/>
              </w:rPr>
            </w:pPr>
            <w:r>
              <w:rPr>
                <w:rFonts w:ascii="Arial" w:cs="Arial" w:eastAsia="Arial" w:hAnsi="Arial"/>
                <w:sz w:val="11"/>
                <w:szCs w:val="11"/>
                <w:b w:val="1"/>
                <w:bCs w:val="1"/>
                <w:color w:val="5D89B4"/>
              </w:rPr>
              <w:t>UNITS (1) $  STOCK UNITS $</w:t>
            </w:r>
          </w:p>
        </w:tc>
        <w:tc>
          <w:tcPr>
            <w:tcW w:w="940" w:type="dxa"/>
            <w:vAlign w:val="bottom"/>
            <w:shd w:val="clear" w:color="auto" w:fill="EAEAEA"/>
          </w:tcPr>
          <w:p>
            <w:pPr>
              <w:jc w:val="right"/>
              <w:ind w:right="14"/>
              <w:spacing w:after="0"/>
              <w:rPr>
                <w:sz w:val="20"/>
                <w:szCs w:val="20"/>
                <w:color w:val="auto"/>
              </w:rPr>
            </w:pPr>
            <w:r>
              <w:rPr>
                <w:rFonts w:ascii="Arial" w:cs="Arial" w:eastAsia="Arial" w:hAnsi="Arial"/>
                <w:sz w:val="11"/>
                <w:szCs w:val="11"/>
                <w:b w:val="1"/>
                <w:bCs w:val="1"/>
                <w:color w:val="5D89B4"/>
              </w:rPr>
              <w:t>COMP $</w:t>
            </w:r>
          </w:p>
        </w:tc>
        <w:tc>
          <w:tcPr>
            <w:tcW w:w="940" w:type="dxa"/>
            <w:vAlign w:val="bottom"/>
            <w:shd w:val="clear" w:color="auto" w:fill="EAEAEA"/>
          </w:tcPr>
          <w:p>
            <w:pPr>
              <w:jc w:val="right"/>
              <w:ind w:right="137"/>
              <w:spacing w:after="0"/>
              <w:rPr>
                <w:sz w:val="20"/>
                <w:szCs w:val="20"/>
                <w:color w:val="auto"/>
              </w:rPr>
            </w:pPr>
            <w:r>
              <w:rPr>
                <w:rFonts w:ascii="Arial" w:cs="Arial" w:eastAsia="Arial" w:hAnsi="Arial"/>
                <w:sz w:val="11"/>
                <w:szCs w:val="11"/>
                <w:b w:val="1"/>
                <w:bCs w:val="1"/>
                <w:color w:val="5D89B4"/>
              </w:rPr>
              <w:t>VARIABLE(2)</w:t>
            </w:r>
          </w:p>
        </w:tc>
        <w:tc>
          <w:tcPr>
            <w:tcW w:w="1160" w:type="dxa"/>
            <w:vAlign w:val="bottom"/>
            <w:shd w:val="clear" w:color="auto" w:fill="EAEAEA"/>
          </w:tcPr>
          <w:p>
            <w:pPr>
              <w:jc w:val="right"/>
              <w:ind w:right="157"/>
              <w:spacing w:after="0"/>
              <w:rPr>
                <w:sz w:val="20"/>
                <w:szCs w:val="20"/>
                <w:color w:val="auto"/>
              </w:rPr>
            </w:pPr>
            <w:r>
              <w:rPr>
                <w:rFonts w:ascii="Arial" w:cs="Arial" w:eastAsia="Arial" w:hAnsi="Arial"/>
                <w:sz w:val="11"/>
                <w:szCs w:val="11"/>
                <w:b w:val="1"/>
                <w:bCs w:val="1"/>
                <w:color w:val="5D89B4"/>
              </w:rPr>
              <w:t>BASED(3)</w:t>
            </w:r>
          </w:p>
        </w:tc>
        <w:tc>
          <w:tcPr>
            <w:tcW w:w="9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SHARE UNITS $</w:t>
            </w:r>
          </w:p>
        </w:tc>
        <w:tc>
          <w:tcPr>
            <w:tcW w:w="1140" w:type="dxa"/>
            <w:vAlign w:val="bottom"/>
            <w:shd w:val="clear" w:color="auto" w:fill="EAEAEA"/>
          </w:tcPr>
          <w:p>
            <w:pPr>
              <w:jc w:val="right"/>
              <w:ind w:right="137"/>
              <w:spacing w:after="0"/>
              <w:rPr>
                <w:sz w:val="20"/>
                <w:szCs w:val="20"/>
                <w:color w:val="auto"/>
              </w:rPr>
            </w:pPr>
            <w:r>
              <w:rPr>
                <w:rFonts w:ascii="Arial" w:cs="Arial" w:eastAsia="Arial" w:hAnsi="Arial"/>
                <w:sz w:val="11"/>
                <w:szCs w:val="11"/>
                <w:b w:val="1"/>
                <w:bCs w:val="1"/>
                <w:color w:val="5D89B4"/>
              </w:rPr>
              <w:t>BASED(4)</w:t>
            </w:r>
          </w:p>
        </w:tc>
      </w:tr>
      <w:tr>
        <w:trPr>
          <w:trHeight w:val="62"/>
        </w:trPr>
        <w:tc>
          <w:tcPr>
            <w:tcW w:w="1220" w:type="dxa"/>
            <w:vAlign w:val="bottom"/>
            <w:shd w:val="clear" w:color="auto" w:fill="EAEAEA"/>
          </w:tcPr>
          <w:p>
            <w:pPr>
              <w:spacing w:after="0"/>
              <w:rPr>
                <w:sz w:val="5"/>
                <w:szCs w:val="5"/>
                <w:color w:val="auto"/>
              </w:rPr>
            </w:pPr>
          </w:p>
        </w:tc>
        <w:tc>
          <w:tcPr>
            <w:tcW w:w="90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84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900" w:type="dxa"/>
            <w:vAlign w:val="bottom"/>
            <w:shd w:val="clear" w:color="auto" w:fill="EAEAEA"/>
          </w:tcPr>
          <w:p>
            <w:pPr>
              <w:spacing w:after="0"/>
              <w:rPr>
                <w:sz w:val="5"/>
                <w:szCs w:val="5"/>
                <w:color w:val="auto"/>
              </w:rPr>
            </w:pPr>
          </w:p>
        </w:tc>
        <w:tc>
          <w:tcPr>
            <w:tcW w:w="940" w:type="dxa"/>
            <w:vAlign w:val="bottom"/>
            <w:shd w:val="clear" w:color="auto" w:fill="EAEAEA"/>
          </w:tcPr>
          <w:p>
            <w:pPr>
              <w:spacing w:after="0"/>
              <w:rPr>
                <w:sz w:val="5"/>
                <w:szCs w:val="5"/>
                <w:color w:val="auto"/>
              </w:rPr>
            </w:pPr>
          </w:p>
        </w:tc>
        <w:tc>
          <w:tcPr>
            <w:tcW w:w="940" w:type="dxa"/>
            <w:vAlign w:val="bottom"/>
            <w:shd w:val="clear" w:color="auto" w:fill="EAEAEA"/>
          </w:tcPr>
          <w:p>
            <w:pPr>
              <w:spacing w:after="0"/>
              <w:rPr>
                <w:sz w:val="5"/>
                <w:szCs w:val="5"/>
                <w:color w:val="auto"/>
              </w:rPr>
            </w:pPr>
          </w:p>
        </w:tc>
        <w:tc>
          <w:tcPr>
            <w:tcW w:w="1160" w:type="dxa"/>
            <w:vAlign w:val="bottom"/>
            <w:shd w:val="clear" w:color="auto" w:fill="EAEAEA"/>
          </w:tcPr>
          <w:p>
            <w:pPr>
              <w:spacing w:after="0"/>
              <w:rPr>
                <w:sz w:val="5"/>
                <w:szCs w:val="5"/>
                <w:color w:val="auto"/>
              </w:rPr>
            </w:pPr>
          </w:p>
        </w:tc>
        <w:tc>
          <w:tcPr>
            <w:tcW w:w="960" w:type="dxa"/>
            <w:vAlign w:val="bottom"/>
            <w:shd w:val="clear" w:color="auto" w:fill="EAEAEA"/>
          </w:tcPr>
          <w:p>
            <w:pPr>
              <w:spacing w:after="0"/>
              <w:rPr>
                <w:sz w:val="5"/>
                <w:szCs w:val="5"/>
                <w:color w:val="auto"/>
              </w:rPr>
            </w:pPr>
          </w:p>
        </w:tc>
        <w:tc>
          <w:tcPr>
            <w:tcW w:w="1140" w:type="dxa"/>
            <w:vAlign w:val="bottom"/>
            <w:shd w:val="clear" w:color="auto" w:fill="EAEAEA"/>
          </w:tcPr>
          <w:p>
            <w:pPr>
              <w:spacing w:after="0"/>
              <w:rPr>
                <w:sz w:val="5"/>
                <w:szCs w:val="5"/>
                <w:color w:val="auto"/>
              </w:rPr>
            </w:pPr>
          </w:p>
        </w:tc>
      </w:tr>
      <w:tr>
        <w:trPr>
          <w:trHeight w:val="214"/>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Jonas</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4"/>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Prising</w:t>
            </w:r>
          </w:p>
        </w:tc>
        <w:tc>
          <w:tcPr>
            <w:tcW w:w="900" w:type="dxa"/>
            <w:vAlign w:val="bottom"/>
          </w:tcPr>
          <w:p>
            <w:pPr>
              <w:jc w:val="right"/>
              <w:ind w:right="32"/>
              <w:spacing w:after="0"/>
              <w:rPr>
                <w:sz w:val="20"/>
                <w:szCs w:val="20"/>
                <w:color w:val="auto"/>
              </w:rPr>
            </w:pPr>
            <w:r>
              <w:rPr>
                <w:rFonts w:ascii="Arial" w:cs="Arial" w:eastAsia="Arial" w:hAnsi="Arial"/>
                <w:sz w:val="15"/>
                <w:szCs w:val="15"/>
                <w:color w:val="auto"/>
              </w:rPr>
              <w:t>1,250,000</w:t>
            </w:r>
          </w:p>
        </w:tc>
        <w:tc>
          <w:tcPr>
            <w:tcW w:w="880" w:type="dxa"/>
            <w:vAlign w:val="bottom"/>
          </w:tcPr>
          <w:p>
            <w:pPr>
              <w:jc w:val="right"/>
              <w:ind w:right="32"/>
              <w:spacing w:after="0"/>
              <w:rPr>
                <w:sz w:val="20"/>
                <w:szCs w:val="20"/>
                <w:color w:val="auto"/>
              </w:rPr>
            </w:pPr>
            <w:r>
              <w:rPr>
                <w:rFonts w:ascii="Arial" w:cs="Arial" w:eastAsia="Arial" w:hAnsi="Arial"/>
                <w:sz w:val="15"/>
                <w:szCs w:val="15"/>
                <w:color w:val="auto"/>
              </w:rPr>
              <w:t>2,000,000</w:t>
            </w:r>
          </w:p>
        </w:tc>
        <w:tc>
          <w:tcPr>
            <w:tcW w:w="840" w:type="dxa"/>
            <w:vAlign w:val="bottom"/>
          </w:tcPr>
          <w:p>
            <w:pPr>
              <w:jc w:val="right"/>
              <w:ind w:right="12"/>
              <w:spacing w:after="0"/>
              <w:rPr>
                <w:sz w:val="20"/>
                <w:szCs w:val="20"/>
                <w:color w:val="auto"/>
              </w:rPr>
            </w:pPr>
            <w:r>
              <w:rPr>
                <w:rFonts w:ascii="Arial" w:cs="Arial" w:eastAsia="Arial" w:hAnsi="Arial"/>
                <w:sz w:val="15"/>
                <w:szCs w:val="15"/>
                <w:color w:val="auto"/>
              </w:rPr>
              <w:t>2,000,022</w:t>
            </w:r>
          </w:p>
        </w:tc>
        <w:tc>
          <w:tcPr>
            <w:tcW w:w="1040" w:type="dxa"/>
            <w:vAlign w:val="bottom"/>
          </w:tcPr>
          <w:p>
            <w:pPr>
              <w:jc w:val="right"/>
              <w:ind w:right="75"/>
              <w:spacing w:after="0"/>
              <w:rPr>
                <w:sz w:val="20"/>
                <w:szCs w:val="20"/>
                <w:color w:val="auto"/>
              </w:rPr>
            </w:pPr>
            <w:r>
              <w:rPr>
                <w:rFonts w:ascii="Arial" w:cs="Arial" w:eastAsia="Arial" w:hAnsi="Arial"/>
                <w:sz w:val="15"/>
                <w:szCs w:val="15"/>
                <w:color w:val="auto"/>
              </w:rPr>
              <w:t>6,000,011</w:t>
            </w:r>
          </w:p>
        </w:tc>
        <w:tc>
          <w:tcPr>
            <w:tcW w:w="900" w:type="dxa"/>
            <w:vAlign w:val="bottom"/>
          </w:tcPr>
          <w:p>
            <w:pPr>
              <w:jc w:val="right"/>
              <w:ind w:right="9"/>
              <w:spacing w:after="0"/>
              <w:rPr>
                <w:sz w:val="20"/>
                <w:szCs w:val="20"/>
                <w:color w:val="auto"/>
              </w:rPr>
            </w:pPr>
            <w:r>
              <w:rPr>
                <w:rFonts w:ascii="Arial" w:cs="Arial" w:eastAsia="Arial" w:hAnsi="Arial"/>
                <w:sz w:val="15"/>
                <w:szCs w:val="15"/>
                <w:color w:val="auto"/>
              </w:rPr>
              <w:t>2,000,004</w:t>
            </w:r>
          </w:p>
        </w:tc>
        <w:tc>
          <w:tcPr>
            <w:tcW w:w="940" w:type="dxa"/>
            <w:vAlign w:val="bottom"/>
          </w:tcPr>
          <w:p>
            <w:pPr>
              <w:jc w:val="right"/>
              <w:ind w:right="14"/>
              <w:spacing w:after="0"/>
              <w:rPr>
                <w:sz w:val="20"/>
                <w:szCs w:val="20"/>
                <w:color w:val="auto"/>
              </w:rPr>
            </w:pPr>
            <w:r>
              <w:rPr>
                <w:rFonts w:ascii="Arial" w:cs="Arial" w:eastAsia="Arial" w:hAnsi="Arial"/>
                <w:sz w:val="15"/>
                <w:szCs w:val="15"/>
                <w:color w:val="auto"/>
              </w:rPr>
              <w:t>13,250,037</w:t>
            </w:r>
          </w:p>
        </w:tc>
        <w:tc>
          <w:tcPr>
            <w:tcW w:w="940" w:type="dxa"/>
            <w:vAlign w:val="bottom"/>
          </w:tcPr>
          <w:p>
            <w:pPr>
              <w:jc w:val="right"/>
              <w:spacing w:after="0"/>
              <w:rPr>
                <w:sz w:val="20"/>
                <w:szCs w:val="20"/>
                <w:color w:val="auto"/>
              </w:rPr>
            </w:pPr>
            <w:r>
              <w:rPr>
                <w:rFonts w:ascii="Arial" w:cs="Arial" w:eastAsia="Arial" w:hAnsi="Arial"/>
                <w:sz w:val="15"/>
                <w:szCs w:val="15"/>
                <w:color w:val="auto"/>
              </w:rPr>
              <w:t>91%</w:t>
            </w:r>
          </w:p>
        </w:tc>
        <w:tc>
          <w:tcPr>
            <w:tcW w:w="1160" w:type="dxa"/>
            <w:vAlign w:val="bottom"/>
          </w:tcPr>
          <w:p>
            <w:pPr>
              <w:jc w:val="right"/>
              <w:ind w:right="17"/>
              <w:spacing w:after="0"/>
              <w:rPr>
                <w:sz w:val="20"/>
                <w:szCs w:val="20"/>
                <w:color w:val="auto"/>
              </w:rPr>
            </w:pPr>
            <w:r>
              <w:rPr>
                <w:rFonts w:ascii="Arial" w:cs="Arial" w:eastAsia="Arial" w:hAnsi="Arial"/>
                <w:sz w:val="15"/>
                <w:szCs w:val="15"/>
                <w:color w:val="auto"/>
              </w:rPr>
              <w:t>75%</w:t>
            </w:r>
          </w:p>
        </w:tc>
        <w:tc>
          <w:tcPr>
            <w:tcW w:w="960" w:type="dxa"/>
            <w:vAlign w:val="bottom"/>
          </w:tcPr>
          <w:p>
            <w:pPr>
              <w:jc w:val="right"/>
              <w:spacing w:after="0"/>
              <w:rPr>
                <w:sz w:val="20"/>
                <w:szCs w:val="20"/>
                <w:color w:val="auto"/>
              </w:rPr>
            </w:pPr>
            <w:r>
              <w:rPr>
                <w:rFonts w:ascii="Arial" w:cs="Arial" w:eastAsia="Arial" w:hAnsi="Arial"/>
                <w:sz w:val="15"/>
                <w:szCs w:val="15"/>
                <w:color w:val="auto"/>
              </w:rPr>
              <w:t>4,000,008</w:t>
            </w:r>
          </w:p>
        </w:tc>
        <w:tc>
          <w:tcPr>
            <w:tcW w:w="114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50"/>
        </w:trPr>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r>
      <w:tr>
        <w:trPr>
          <w:trHeight w:val="194"/>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John</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T. McGinnis</w:t>
            </w:r>
          </w:p>
        </w:tc>
        <w:tc>
          <w:tcPr>
            <w:tcW w:w="900" w:type="dxa"/>
            <w:vAlign w:val="bottom"/>
          </w:tcPr>
          <w:p>
            <w:pPr>
              <w:jc w:val="right"/>
              <w:ind w:right="32"/>
              <w:spacing w:after="0"/>
              <w:rPr>
                <w:sz w:val="20"/>
                <w:szCs w:val="20"/>
                <w:color w:val="auto"/>
              </w:rPr>
            </w:pPr>
            <w:r>
              <w:rPr>
                <w:rFonts w:ascii="Arial" w:cs="Arial" w:eastAsia="Arial" w:hAnsi="Arial"/>
                <w:sz w:val="15"/>
                <w:szCs w:val="15"/>
                <w:color w:val="auto"/>
              </w:rPr>
              <w:t>746,750</w:t>
            </w:r>
          </w:p>
        </w:tc>
        <w:tc>
          <w:tcPr>
            <w:tcW w:w="880" w:type="dxa"/>
            <w:vAlign w:val="bottom"/>
          </w:tcPr>
          <w:p>
            <w:pPr>
              <w:jc w:val="right"/>
              <w:ind w:right="32"/>
              <w:spacing w:after="0"/>
              <w:rPr>
                <w:sz w:val="20"/>
                <w:szCs w:val="20"/>
                <w:color w:val="auto"/>
              </w:rPr>
            </w:pPr>
            <w:r>
              <w:rPr>
                <w:rFonts w:ascii="Arial" w:cs="Arial" w:eastAsia="Arial" w:hAnsi="Arial"/>
                <w:sz w:val="15"/>
                <w:szCs w:val="15"/>
                <w:color w:val="auto"/>
              </w:rPr>
              <w:t>821,425</w:t>
            </w:r>
          </w:p>
        </w:tc>
        <w:tc>
          <w:tcPr>
            <w:tcW w:w="840" w:type="dxa"/>
            <w:vAlign w:val="bottom"/>
          </w:tcPr>
          <w:p>
            <w:pPr>
              <w:jc w:val="right"/>
              <w:ind w:right="12"/>
              <w:spacing w:after="0"/>
              <w:rPr>
                <w:sz w:val="20"/>
                <w:szCs w:val="20"/>
                <w:color w:val="auto"/>
              </w:rPr>
            </w:pPr>
            <w:r>
              <w:rPr>
                <w:rFonts w:ascii="Arial" w:cs="Arial" w:eastAsia="Arial" w:hAnsi="Arial"/>
                <w:sz w:val="15"/>
                <w:szCs w:val="15"/>
                <w:color w:val="auto"/>
              </w:rPr>
              <w:t>600,018</w:t>
            </w:r>
          </w:p>
        </w:tc>
        <w:tc>
          <w:tcPr>
            <w:tcW w:w="1040" w:type="dxa"/>
            <w:vAlign w:val="bottom"/>
          </w:tcPr>
          <w:p>
            <w:pPr>
              <w:jc w:val="right"/>
              <w:ind w:right="75"/>
              <w:spacing w:after="0"/>
              <w:rPr>
                <w:sz w:val="20"/>
                <w:szCs w:val="20"/>
                <w:color w:val="auto"/>
              </w:rPr>
            </w:pPr>
            <w:r>
              <w:rPr>
                <w:rFonts w:ascii="Arial" w:cs="Arial" w:eastAsia="Arial" w:hAnsi="Arial"/>
                <w:sz w:val="15"/>
                <w:szCs w:val="15"/>
                <w:color w:val="auto"/>
              </w:rPr>
              <w:t>1,800,040</w:t>
            </w:r>
          </w:p>
        </w:tc>
        <w:tc>
          <w:tcPr>
            <w:tcW w:w="900" w:type="dxa"/>
            <w:vAlign w:val="bottom"/>
          </w:tcPr>
          <w:p>
            <w:pPr>
              <w:jc w:val="right"/>
              <w:ind w:right="9"/>
              <w:spacing w:after="0"/>
              <w:rPr>
                <w:sz w:val="20"/>
                <w:szCs w:val="20"/>
                <w:color w:val="auto"/>
              </w:rPr>
            </w:pPr>
            <w:r>
              <w:rPr>
                <w:rFonts w:ascii="Arial" w:cs="Arial" w:eastAsia="Arial" w:hAnsi="Arial"/>
                <w:sz w:val="15"/>
                <w:szCs w:val="15"/>
                <w:color w:val="auto"/>
              </w:rPr>
              <w:t>600,075</w:t>
            </w:r>
          </w:p>
        </w:tc>
        <w:tc>
          <w:tcPr>
            <w:tcW w:w="940" w:type="dxa"/>
            <w:vAlign w:val="bottom"/>
          </w:tcPr>
          <w:p>
            <w:pPr>
              <w:jc w:val="right"/>
              <w:ind w:right="14"/>
              <w:spacing w:after="0"/>
              <w:rPr>
                <w:sz w:val="20"/>
                <w:szCs w:val="20"/>
                <w:color w:val="auto"/>
              </w:rPr>
            </w:pPr>
            <w:r>
              <w:rPr>
                <w:rFonts w:ascii="Arial" w:cs="Arial" w:eastAsia="Arial" w:hAnsi="Arial"/>
                <w:sz w:val="15"/>
                <w:szCs w:val="15"/>
                <w:color w:val="auto"/>
              </w:rPr>
              <w:t>4,568,308</w:t>
            </w:r>
          </w:p>
        </w:tc>
        <w:tc>
          <w:tcPr>
            <w:tcW w:w="940" w:type="dxa"/>
            <w:vAlign w:val="bottom"/>
          </w:tcPr>
          <w:p>
            <w:pPr>
              <w:jc w:val="right"/>
              <w:spacing w:after="0"/>
              <w:rPr>
                <w:sz w:val="20"/>
                <w:szCs w:val="20"/>
                <w:color w:val="auto"/>
              </w:rPr>
            </w:pPr>
            <w:r>
              <w:rPr>
                <w:rFonts w:ascii="Arial" w:cs="Arial" w:eastAsia="Arial" w:hAnsi="Arial"/>
                <w:sz w:val="15"/>
                <w:szCs w:val="15"/>
                <w:color w:val="auto"/>
              </w:rPr>
              <w:t>84%</w:t>
            </w:r>
          </w:p>
        </w:tc>
        <w:tc>
          <w:tcPr>
            <w:tcW w:w="1160" w:type="dxa"/>
            <w:vAlign w:val="bottom"/>
          </w:tcPr>
          <w:p>
            <w:pPr>
              <w:jc w:val="right"/>
              <w:ind w:right="17"/>
              <w:spacing w:after="0"/>
              <w:rPr>
                <w:sz w:val="20"/>
                <w:szCs w:val="20"/>
                <w:color w:val="auto"/>
              </w:rPr>
            </w:pPr>
            <w:r>
              <w:rPr>
                <w:rFonts w:ascii="Arial" w:cs="Arial" w:eastAsia="Arial" w:hAnsi="Arial"/>
                <w:sz w:val="15"/>
                <w:szCs w:val="15"/>
                <w:color w:val="auto"/>
              </w:rPr>
              <w:t>71%</w:t>
            </w:r>
          </w:p>
        </w:tc>
        <w:tc>
          <w:tcPr>
            <w:tcW w:w="960" w:type="dxa"/>
            <w:vAlign w:val="bottom"/>
          </w:tcPr>
          <w:p>
            <w:pPr>
              <w:jc w:val="right"/>
              <w:spacing w:after="0"/>
              <w:rPr>
                <w:sz w:val="20"/>
                <w:szCs w:val="20"/>
                <w:color w:val="auto"/>
              </w:rPr>
            </w:pPr>
            <w:r>
              <w:rPr>
                <w:rFonts w:ascii="Arial" w:cs="Arial" w:eastAsia="Arial" w:hAnsi="Arial"/>
                <w:sz w:val="15"/>
                <w:szCs w:val="15"/>
                <w:color w:val="auto"/>
              </w:rPr>
              <w:t>1,200,058</w:t>
            </w:r>
          </w:p>
        </w:tc>
        <w:tc>
          <w:tcPr>
            <w:tcW w:w="114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50"/>
        </w:trPr>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r>
      <w:tr>
        <w:trPr>
          <w:trHeight w:val="194"/>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Michelle</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S. Nettles</w:t>
            </w:r>
          </w:p>
        </w:tc>
        <w:tc>
          <w:tcPr>
            <w:tcW w:w="900" w:type="dxa"/>
            <w:vAlign w:val="bottom"/>
          </w:tcPr>
          <w:p>
            <w:pPr>
              <w:jc w:val="right"/>
              <w:ind w:right="32"/>
              <w:spacing w:after="0"/>
              <w:rPr>
                <w:sz w:val="20"/>
                <w:szCs w:val="20"/>
                <w:color w:val="auto"/>
              </w:rPr>
            </w:pPr>
            <w:r>
              <w:rPr>
                <w:rFonts w:ascii="Arial" w:cs="Arial" w:eastAsia="Arial" w:hAnsi="Arial"/>
                <w:sz w:val="15"/>
                <w:szCs w:val="15"/>
                <w:color w:val="auto"/>
              </w:rPr>
              <w:t>566,500</w:t>
            </w:r>
          </w:p>
        </w:tc>
        <w:tc>
          <w:tcPr>
            <w:tcW w:w="880" w:type="dxa"/>
            <w:vAlign w:val="bottom"/>
          </w:tcPr>
          <w:p>
            <w:pPr>
              <w:jc w:val="right"/>
              <w:ind w:right="32"/>
              <w:spacing w:after="0"/>
              <w:rPr>
                <w:sz w:val="20"/>
                <w:szCs w:val="20"/>
                <w:color w:val="auto"/>
              </w:rPr>
            </w:pPr>
            <w:r>
              <w:rPr>
                <w:rFonts w:ascii="Arial" w:cs="Arial" w:eastAsia="Arial" w:hAnsi="Arial"/>
                <w:sz w:val="15"/>
                <w:szCs w:val="15"/>
                <w:color w:val="auto"/>
              </w:rPr>
              <w:t>424,875</w:t>
            </w:r>
          </w:p>
        </w:tc>
        <w:tc>
          <w:tcPr>
            <w:tcW w:w="840" w:type="dxa"/>
            <w:vAlign w:val="bottom"/>
          </w:tcPr>
          <w:p>
            <w:pPr>
              <w:jc w:val="right"/>
              <w:ind w:right="12"/>
              <w:spacing w:after="0"/>
              <w:rPr>
                <w:sz w:val="20"/>
                <w:szCs w:val="20"/>
                <w:color w:val="auto"/>
              </w:rPr>
            </w:pPr>
            <w:r>
              <w:rPr>
                <w:rFonts w:ascii="Arial" w:cs="Arial" w:eastAsia="Arial" w:hAnsi="Arial"/>
                <w:sz w:val="15"/>
                <w:szCs w:val="15"/>
                <w:color w:val="auto"/>
              </w:rPr>
              <w:t>200,014</w:t>
            </w:r>
          </w:p>
        </w:tc>
        <w:tc>
          <w:tcPr>
            <w:tcW w:w="1040" w:type="dxa"/>
            <w:vAlign w:val="bottom"/>
          </w:tcPr>
          <w:p>
            <w:pPr>
              <w:jc w:val="right"/>
              <w:ind w:right="75"/>
              <w:spacing w:after="0"/>
              <w:rPr>
                <w:sz w:val="20"/>
                <w:szCs w:val="20"/>
                <w:color w:val="auto"/>
              </w:rPr>
            </w:pPr>
            <w:r>
              <w:rPr>
                <w:rFonts w:ascii="Arial" w:cs="Arial" w:eastAsia="Arial" w:hAnsi="Arial"/>
                <w:sz w:val="15"/>
                <w:szCs w:val="15"/>
                <w:color w:val="auto"/>
              </w:rPr>
              <w:t>600,075</w:t>
            </w:r>
          </w:p>
        </w:tc>
        <w:tc>
          <w:tcPr>
            <w:tcW w:w="900" w:type="dxa"/>
            <w:vAlign w:val="bottom"/>
          </w:tcPr>
          <w:p>
            <w:pPr>
              <w:jc w:val="right"/>
              <w:ind w:right="9"/>
              <w:spacing w:after="0"/>
              <w:rPr>
                <w:sz w:val="20"/>
                <w:szCs w:val="20"/>
                <w:color w:val="auto"/>
              </w:rPr>
            </w:pPr>
            <w:r>
              <w:rPr>
                <w:rFonts w:ascii="Arial" w:cs="Arial" w:eastAsia="Arial" w:hAnsi="Arial"/>
                <w:sz w:val="15"/>
                <w:szCs w:val="15"/>
                <w:color w:val="auto"/>
              </w:rPr>
              <w:t>200,056</w:t>
            </w:r>
          </w:p>
        </w:tc>
        <w:tc>
          <w:tcPr>
            <w:tcW w:w="940" w:type="dxa"/>
            <w:vAlign w:val="bottom"/>
          </w:tcPr>
          <w:p>
            <w:pPr>
              <w:jc w:val="right"/>
              <w:ind w:right="14"/>
              <w:spacing w:after="0"/>
              <w:rPr>
                <w:sz w:val="20"/>
                <w:szCs w:val="20"/>
                <w:color w:val="auto"/>
              </w:rPr>
            </w:pPr>
            <w:r>
              <w:rPr>
                <w:rFonts w:ascii="Arial" w:cs="Arial" w:eastAsia="Arial" w:hAnsi="Arial"/>
                <w:sz w:val="15"/>
                <w:szCs w:val="15"/>
                <w:color w:val="auto"/>
              </w:rPr>
              <w:t>1,991,520</w:t>
            </w:r>
          </w:p>
        </w:tc>
        <w:tc>
          <w:tcPr>
            <w:tcW w:w="940" w:type="dxa"/>
            <w:vAlign w:val="bottom"/>
          </w:tcPr>
          <w:p>
            <w:pPr>
              <w:jc w:val="right"/>
              <w:spacing w:after="0"/>
              <w:rPr>
                <w:sz w:val="20"/>
                <w:szCs w:val="20"/>
                <w:color w:val="auto"/>
              </w:rPr>
            </w:pPr>
            <w:r>
              <w:rPr>
                <w:rFonts w:ascii="Arial" w:cs="Arial" w:eastAsia="Arial" w:hAnsi="Arial"/>
                <w:sz w:val="15"/>
                <w:szCs w:val="15"/>
                <w:color w:val="auto"/>
              </w:rPr>
              <w:t>72%</w:t>
            </w:r>
          </w:p>
        </w:tc>
        <w:tc>
          <w:tcPr>
            <w:tcW w:w="1160" w:type="dxa"/>
            <w:vAlign w:val="bottom"/>
          </w:tcPr>
          <w:p>
            <w:pPr>
              <w:jc w:val="right"/>
              <w:ind w:right="17"/>
              <w:spacing w:after="0"/>
              <w:rPr>
                <w:sz w:val="20"/>
                <w:szCs w:val="20"/>
                <w:color w:val="auto"/>
              </w:rPr>
            </w:pPr>
            <w:r>
              <w:rPr>
                <w:rFonts w:ascii="Arial" w:cs="Arial" w:eastAsia="Arial" w:hAnsi="Arial"/>
                <w:sz w:val="15"/>
                <w:szCs w:val="15"/>
                <w:color w:val="auto"/>
              </w:rPr>
              <w:t>62%</w:t>
            </w:r>
          </w:p>
        </w:tc>
        <w:tc>
          <w:tcPr>
            <w:tcW w:w="960" w:type="dxa"/>
            <w:vAlign w:val="bottom"/>
          </w:tcPr>
          <w:p>
            <w:pPr>
              <w:jc w:val="right"/>
              <w:spacing w:after="0"/>
              <w:rPr>
                <w:sz w:val="20"/>
                <w:szCs w:val="20"/>
                <w:color w:val="auto"/>
              </w:rPr>
            </w:pPr>
            <w:r>
              <w:rPr>
                <w:rFonts w:ascii="Arial" w:cs="Arial" w:eastAsia="Arial" w:hAnsi="Arial"/>
                <w:sz w:val="15"/>
                <w:szCs w:val="15"/>
                <w:color w:val="auto"/>
              </w:rPr>
              <w:t>400,019</w:t>
            </w:r>
          </w:p>
        </w:tc>
        <w:tc>
          <w:tcPr>
            <w:tcW w:w="114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50"/>
        </w:trPr>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r>
      <w:tr>
        <w:trPr>
          <w:trHeight w:val="194"/>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Richard</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Buchband</w:t>
            </w:r>
          </w:p>
        </w:tc>
        <w:tc>
          <w:tcPr>
            <w:tcW w:w="900" w:type="dxa"/>
            <w:vAlign w:val="bottom"/>
          </w:tcPr>
          <w:p>
            <w:pPr>
              <w:jc w:val="right"/>
              <w:ind w:right="32"/>
              <w:spacing w:after="0"/>
              <w:rPr>
                <w:sz w:val="20"/>
                <w:szCs w:val="20"/>
                <w:color w:val="auto"/>
              </w:rPr>
            </w:pPr>
            <w:r>
              <w:rPr>
                <w:rFonts w:ascii="Arial" w:cs="Arial" w:eastAsia="Arial" w:hAnsi="Arial"/>
                <w:sz w:val="15"/>
                <w:szCs w:val="15"/>
                <w:color w:val="auto"/>
              </w:rPr>
              <w:t>540,750</w:t>
            </w:r>
          </w:p>
        </w:tc>
        <w:tc>
          <w:tcPr>
            <w:tcW w:w="880" w:type="dxa"/>
            <w:vAlign w:val="bottom"/>
          </w:tcPr>
          <w:p>
            <w:pPr>
              <w:jc w:val="right"/>
              <w:ind w:right="32"/>
              <w:spacing w:after="0"/>
              <w:rPr>
                <w:sz w:val="20"/>
                <w:szCs w:val="20"/>
                <w:color w:val="auto"/>
              </w:rPr>
            </w:pPr>
            <w:r>
              <w:rPr>
                <w:rFonts w:ascii="Arial" w:cs="Arial" w:eastAsia="Arial" w:hAnsi="Arial"/>
                <w:sz w:val="15"/>
                <w:szCs w:val="15"/>
                <w:color w:val="auto"/>
              </w:rPr>
              <w:t>405,563</w:t>
            </w:r>
          </w:p>
        </w:tc>
        <w:tc>
          <w:tcPr>
            <w:tcW w:w="840" w:type="dxa"/>
            <w:vAlign w:val="bottom"/>
          </w:tcPr>
          <w:p>
            <w:pPr>
              <w:jc w:val="right"/>
              <w:ind w:right="12"/>
              <w:spacing w:after="0"/>
              <w:rPr>
                <w:sz w:val="20"/>
                <w:szCs w:val="20"/>
                <w:color w:val="auto"/>
              </w:rPr>
            </w:pPr>
            <w:r>
              <w:rPr>
                <w:rFonts w:ascii="Arial" w:cs="Arial" w:eastAsia="Arial" w:hAnsi="Arial"/>
                <w:sz w:val="15"/>
                <w:szCs w:val="15"/>
                <w:color w:val="auto"/>
              </w:rPr>
              <w:t>160,015</w:t>
            </w:r>
          </w:p>
        </w:tc>
        <w:tc>
          <w:tcPr>
            <w:tcW w:w="1040" w:type="dxa"/>
            <w:vAlign w:val="bottom"/>
          </w:tcPr>
          <w:p>
            <w:pPr>
              <w:jc w:val="right"/>
              <w:ind w:right="75"/>
              <w:spacing w:after="0"/>
              <w:rPr>
                <w:sz w:val="20"/>
                <w:szCs w:val="20"/>
                <w:color w:val="auto"/>
              </w:rPr>
            </w:pPr>
            <w:r>
              <w:rPr>
                <w:rFonts w:ascii="Arial" w:cs="Arial" w:eastAsia="Arial" w:hAnsi="Arial"/>
                <w:sz w:val="15"/>
                <w:szCs w:val="15"/>
                <w:color w:val="auto"/>
              </w:rPr>
              <w:t>480,023</w:t>
            </w:r>
          </w:p>
        </w:tc>
        <w:tc>
          <w:tcPr>
            <w:tcW w:w="900" w:type="dxa"/>
            <w:vAlign w:val="bottom"/>
          </w:tcPr>
          <w:p>
            <w:pPr>
              <w:jc w:val="right"/>
              <w:ind w:right="9"/>
              <w:spacing w:after="0"/>
              <w:rPr>
                <w:sz w:val="20"/>
                <w:szCs w:val="20"/>
                <w:color w:val="auto"/>
              </w:rPr>
            </w:pPr>
            <w:r>
              <w:rPr>
                <w:rFonts w:ascii="Arial" w:cs="Arial" w:eastAsia="Arial" w:hAnsi="Arial"/>
                <w:sz w:val="15"/>
                <w:szCs w:val="15"/>
                <w:color w:val="auto"/>
              </w:rPr>
              <w:t>160,008</w:t>
            </w:r>
          </w:p>
        </w:tc>
        <w:tc>
          <w:tcPr>
            <w:tcW w:w="940" w:type="dxa"/>
            <w:vAlign w:val="bottom"/>
          </w:tcPr>
          <w:p>
            <w:pPr>
              <w:jc w:val="right"/>
              <w:ind w:right="14"/>
              <w:spacing w:after="0"/>
              <w:rPr>
                <w:sz w:val="20"/>
                <w:szCs w:val="20"/>
                <w:color w:val="auto"/>
              </w:rPr>
            </w:pPr>
            <w:r>
              <w:rPr>
                <w:rFonts w:ascii="Arial" w:cs="Arial" w:eastAsia="Arial" w:hAnsi="Arial"/>
                <w:sz w:val="15"/>
                <w:szCs w:val="15"/>
                <w:color w:val="auto"/>
              </w:rPr>
              <w:t>1,746,359</w:t>
            </w:r>
          </w:p>
        </w:tc>
        <w:tc>
          <w:tcPr>
            <w:tcW w:w="940" w:type="dxa"/>
            <w:vAlign w:val="bottom"/>
          </w:tcPr>
          <w:p>
            <w:pPr>
              <w:jc w:val="right"/>
              <w:spacing w:after="0"/>
              <w:rPr>
                <w:sz w:val="20"/>
                <w:szCs w:val="20"/>
                <w:color w:val="auto"/>
              </w:rPr>
            </w:pPr>
            <w:r>
              <w:rPr>
                <w:rFonts w:ascii="Arial" w:cs="Arial" w:eastAsia="Arial" w:hAnsi="Arial"/>
                <w:sz w:val="15"/>
                <w:szCs w:val="15"/>
                <w:color w:val="auto"/>
              </w:rPr>
              <w:t>69%</w:t>
            </w:r>
          </w:p>
        </w:tc>
        <w:tc>
          <w:tcPr>
            <w:tcW w:w="1160" w:type="dxa"/>
            <w:vAlign w:val="bottom"/>
          </w:tcPr>
          <w:p>
            <w:pPr>
              <w:jc w:val="right"/>
              <w:ind w:right="17"/>
              <w:spacing w:after="0"/>
              <w:rPr>
                <w:sz w:val="20"/>
                <w:szCs w:val="20"/>
                <w:color w:val="auto"/>
              </w:rPr>
            </w:pPr>
            <w:r>
              <w:rPr>
                <w:rFonts w:ascii="Arial" w:cs="Arial" w:eastAsia="Arial" w:hAnsi="Arial"/>
                <w:sz w:val="15"/>
                <w:szCs w:val="15"/>
                <w:color w:val="auto"/>
              </w:rPr>
              <w:t>60%</w:t>
            </w:r>
          </w:p>
        </w:tc>
        <w:tc>
          <w:tcPr>
            <w:tcW w:w="960" w:type="dxa"/>
            <w:vAlign w:val="bottom"/>
          </w:tcPr>
          <w:p>
            <w:pPr>
              <w:jc w:val="right"/>
              <w:spacing w:after="0"/>
              <w:rPr>
                <w:sz w:val="20"/>
                <w:szCs w:val="20"/>
                <w:color w:val="auto"/>
              </w:rPr>
            </w:pPr>
            <w:r>
              <w:rPr>
                <w:rFonts w:ascii="Arial" w:cs="Arial" w:eastAsia="Arial" w:hAnsi="Arial"/>
                <w:sz w:val="15"/>
                <w:szCs w:val="15"/>
                <w:color w:val="auto"/>
              </w:rPr>
              <w:t>320,015</w:t>
            </w:r>
          </w:p>
        </w:tc>
        <w:tc>
          <w:tcPr>
            <w:tcW w:w="114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50"/>
        </w:trPr>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11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Does not include the 2021 Special Grant.</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annual incentive, stock options, PSUs and RSUs. Does not include the 2021 Special Grant.</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annual incentive, stock options and PSUs. Does not include the 2021 Special Grant.</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annual incentive, stock options and PSUs, including the 2021 Special Grant.</w:t>
      </w:r>
    </w:p>
    <w:p>
      <w:pPr>
        <w:spacing w:after="0" w:line="205"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35</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Market Positioning: 2021 Target Compensation in the Competitive Marketplace</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How We Determine the Competitive Market: Challenges in Identifying a Relevant Peer Group</w:t>
      </w:r>
    </w:p>
    <w:p>
      <w:pPr>
        <w:spacing w:after="0" w:line="90" w:lineRule="exact"/>
        <w:rPr>
          <w:sz w:val="20"/>
          <w:szCs w:val="20"/>
          <w:color w:val="auto"/>
        </w:rPr>
      </w:pPr>
    </w:p>
    <w:p>
      <w:pPr>
        <w:ind w:right="220"/>
        <w:spacing w:after="0" w:line="232" w:lineRule="auto"/>
        <w:rPr>
          <w:sz w:val="20"/>
          <w:szCs w:val="20"/>
          <w:color w:val="auto"/>
        </w:rPr>
      </w:pPr>
      <w:r>
        <w:rPr>
          <w:rFonts w:ascii="Arial" w:cs="Arial" w:eastAsia="Arial" w:hAnsi="Arial"/>
          <w:sz w:val="15"/>
          <w:szCs w:val="15"/>
          <w:color w:val="auto"/>
        </w:rPr>
        <w:t>In alignment with its compensation principles, the Committee devotes considerable effort to identifying an appropriate competitive market for benchmarking our executive compensation. The Committee has determined that simply benchmarking against other U.S. companies in our industry would not yield a meaningful peer group — we present a different profile, being significantly larger, more complex, and more global in scope than other U.S.-listed companies in our industry.</w:t>
      </w:r>
    </w:p>
    <w:p>
      <w:pPr>
        <w:spacing w:after="0" w:line="115"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Our two largest competitors, Adecco and Randstad, are based in Europe, and although we review available compensation data for these two companies, their pay practices are different and disclosure practices differ. Our nearest U.S. public competitor had much smaller revenue — approximately $6.5 billion in 2021 compared to our revenue of nearly $21 billion — and the other U.S. public competitors are even smaller. Mercer has confirmed to the Committee that attempting to use such competitors would not produce relevant data.</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The 2021 Peer Group</w:t>
      </w:r>
    </w:p>
    <w:p>
      <w:pPr>
        <w:spacing w:after="0" w:line="74"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auto"/>
        </w:rPr>
        <w:t xml:space="preserve">In setting compensation for 2021, the Committee </w:t>
      </w:r>
      <w:r>
        <w:rPr>
          <w:rFonts w:ascii="Arial" w:cs="Arial" w:eastAsia="Arial" w:hAnsi="Arial"/>
          <w:sz w:val="15"/>
          <w:szCs w:val="15"/>
          <w:i w:val="1"/>
          <w:iCs w:val="1"/>
          <w:color w:val="auto"/>
        </w:rPr>
        <w:t>primarily utilized a customized peer group developed by Mercer consisting of companies within the S&amp;P 500. For</w:t>
      </w:r>
      <w:r>
        <w:rPr>
          <w:rFonts w:ascii="Arial" w:cs="Arial" w:eastAsia="Arial" w:hAnsi="Arial"/>
          <w:sz w:val="15"/>
          <w:szCs w:val="15"/>
          <w:color w:val="auto"/>
        </w:rPr>
        <w:t xml:space="preserve"> </w:t>
      </w:r>
      <w:r>
        <w:rPr>
          <w:rFonts w:ascii="Arial" w:cs="Arial" w:eastAsia="Arial" w:hAnsi="Arial"/>
          <w:sz w:val="15"/>
          <w:szCs w:val="15"/>
          <w:i w:val="1"/>
          <w:iCs w:val="1"/>
          <w:color w:val="auto"/>
        </w:rPr>
        <w:t>ManpowerGroup, Mercer removed companies that are not comparable to us, to arrive at a research subset of 95 companies within the S&amp;P 500 with minimum revenues of approximately $13 billion, maximum revenues of approximately $40 billion, and median revenues of $21 billion. The Committee believed using this group provided a robust basis for assessing the competitive range of compensation for senior executives of companies of ManpowerGroup’s scale. A list of the companies included in the peer group is attached as Appendix A.</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Changes to the Peer Group for 2022</w:t>
      </w:r>
    </w:p>
    <w:p>
      <w:pPr>
        <w:spacing w:after="0" w:line="77" w:lineRule="exact"/>
        <w:rPr>
          <w:sz w:val="20"/>
          <w:szCs w:val="20"/>
          <w:color w:val="auto"/>
        </w:rPr>
      </w:pPr>
    </w:p>
    <w:p>
      <w:pPr>
        <w:ind w:right="100"/>
        <w:spacing w:after="0" w:line="223" w:lineRule="auto"/>
        <w:rPr>
          <w:sz w:val="20"/>
          <w:szCs w:val="20"/>
          <w:color w:val="auto"/>
        </w:rPr>
      </w:pPr>
      <w:r>
        <w:rPr>
          <w:rFonts w:ascii="Arial" w:cs="Arial" w:eastAsia="Arial" w:hAnsi="Arial"/>
          <w:sz w:val="15"/>
          <w:szCs w:val="15"/>
          <w:color w:val="auto"/>
        </w:rPr>
        <w:t>To create even greater comparability to the Company’s business, Mercer developed and the Committee adopted a new peer group methodology for 2022. A smaller peer group was designed that includes a mix of the following factors, which the Committee determined were important: (i) similar size to ManpowerGroup in revenues, gross profit or market capitalization; (ii) companies in the service sector and with global footprints and comparable margin characteristics; and</w:t>
      </w:r>
    </w:p>
    <w:p>
      <w:pPr>
        <w:spacing w:after="0" w:line="1" w:lineRule="exact"/>
        <w:rPr>
          <w:sz w:val="20"/>
          <w:szCs w:val="20"/>
          <w:color w:val="auto"/>
        </w:rPr>
      </w:pPr>
    </w:p>
    <w:p>
      <w:pPr>
        <w:ind w:right="60" w:firstLine="7"/>
        <w:spacing w:after="0" w:line="237" w:lineRule="auto"/>
        <w:tabs>
          <w:tab w:leader="none" w:pos="244"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companies where ManpowerGroup is identified as a peer company by the issuer or by proxy advisory firms. The new peer group of 23 companies is designed to align with these priorities on a composite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265420" cy="2120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65420" cy="212090"/>
                    </a:xfrm>
                    <a:prstGeom prst="rect">
                      <a:avLst/>
                    </a:prstGeom>
                    <a:noFill/>
                  </pic:spPr>
                </pic:pic>
              </a:graphicData>
            </a:graphic>
          </wp:anchor>
        </w:drawing>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5D89B4"/>
        </w:rPr>
        <w:t>2022 Peer Group Companies</w:t>
      </w:r>
    </w:p>
    <w:p>
      <w:pPr>
        <w:spacing w:after="0" w:line="147" w:lineRule="exact"/>
        <w:rPr>
          <w:sz w:val="20"/>
          <w:szCs w:val="20"/>
          <w:color w:val="auto"/>
        </w:rPr>
      </w:pPr>
    </w:p>
    <w:tbl>
      <w:tblPr>
        <w:tblLayout w:type="fixed"/>
        <w:tblInd w:w="1320" w:type="dxa"/>
        <w:tblCellMar>
          <w:top w:w="0" w:type="dxa"/>
          <w:left w:w="0" w:type="dxa"/>
          <w:bottom w:w="0" w:type="dxa"/>
          <w:right w:w="0" w:type="dxa"/>
        </w:tblCellMar>
      </w:tblPr>
      <w:tr>
        <w:trPr>
          <w:trHeight w:val="181"/>
        </w:trPr>
        <w:tc>
          <w:tcPr>
            <w:tcW w:w="2480" w:type="dxa"/>
            <w:vAlign w:val="bottom"/>
          </w:tcPr>
          <w:p>
            <w:pPr>
              <w:ind w:left="60"/>
              <w:spacing w:after="0"/>
              <w:rPr>
                <w:sz w:val="20"/>
                <w:szCs w:val="20"/>
                <w:color w:val="auto"/>
              </w:rPr>
            </w:pPr>
            <w:r>
              <w:rPr>
                <w:rFonts w:ascii="Arial" w:cs="Arial" w:eastAsia="Arial" w:hAnsi="Arial"/>
                <w:sz w:val="15"/>
                <w:szCs w:val="15"/>
                <w:color w:val="auto"/>
              </w:rPr>
              <w:t>Aramark</w:t>
            </w:r>
          </w:p>
        </w:tc>
        <w:tc>
          <w:tcPr>
            <w:tcW w:w="2900" w:type="dxa"/>
            <w:vAlign w:val="bottom"/>
          </w:tcPr>
          <w:p>
            <w:pPr>
              <w:ind w:left="480"/>
              <w:spacing w:after="0"/>
              <w:rPr>
                <w:sz w:val="20"/>
                <w:szCs w:val="20"/>
                <w:color w:val="auto"/>
              </w:rPr>
            </w:pPr>
            <w:r>
              <w:rPr>
                <w:rFonts w:ascii="Arial" w:cs="Arial" w:eastAsia="Arial" w:hAnsi="Arial"/>
                <w:sz w:val="15"/>
                <w:szCs w:val="15"/>
                <w:color w:val="auto"/>
              </w:rPr>
              <w:t>EOG Resources, Inc.</w:t>
            </w:r>
          </w:p>
        </w:tc>
        <w:tc>
          <w:tcPr>
            <w:tcW w:w="2900" w:type="dxa"/>
            <w:vAlign w:val="bottom"/>
          </w:tcPr>
          <w:p>
            <w:pPr>
              <w:ind w:left="320"/>
              <w:spacing w:after="0"/>
              <w:rPr>
                <w:sz w:val="20"/>
                <w:szCs w:val="20"/>
                <w:color w:val="auto"/>
              </w:rPr>
            </w:pPr>
            <w:r>
              <w:rPr>
                <w:rFonts w:ascii="Arial" w:cs="Arial" w:eastAsia="Arial" w:hAnsi="Arial"/>
                <w:sz w:val="15"/>
                <w:szCs w:val="15"/>
                <w:color w:val="auto"/>
              </w:rPr>
              <w:t>Nucor Corporation</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Baker Hughes Co.</w:t>
            </w:r>
          </w:p>
        </w:tc>
        <w:tc>
          <w:tcPr>
            <w:tcW w:w="2900" w:type="dxa"/>
            <w:vAlign w:val="bottom"/>
          </w:tcPr>
          <w:p>
            <w:pPr>
              <w:ind w:left="480"/>
              <w:spacing w:after="0"/>
              <w:rPr>
                <w:sz w:val="20"/>
                <w:szCs w:val="20"/>
                <w:color w:val="auto"/>
              </w:rPr>
            </w:pPr>
            <w:r>
              <w:rPr>
                <w:rFonts w:ascii="Arial" w:cs="Arial" w:eastAsia="Arial" w:hAnsi="Arial"/>
                <w:sz w:val="15"/>
                <w:szCs w:val="15"/>
                <w:color w:val="auto"/>
              </w:rPr>
              <w:t>Fluor Corporation</w:t>
            </w:r>
          </w:p>
        </w:tc>
        <w:tc>
          <w:tcPr>
            <w:tcW w:w="2900" w:type="dxa"/>
            <w:vAlign w:val="bottom"/>
          </w:tcPr>
          <w:p>
            <w:pPr>
              <w:ind w:left="320"/>
              <w:spacing w:after="0"/>
              <w:rPr>
                <w:sz w:val="20"/>
                <w:szCs w:val="20"/>
                <w:color w:val="auto"/>
              </w:rPr>
            </w:pPr>
            <w:r>
              <w:rPr>
                <w:rFonts w:ascii="Arial" w:cs="Arial" w:eastAsia="Arial" w:hAnsi="Arial"/>
                <w:sz w:val="15"/>
                <w:szCs w:val="15"/>
                <w:color w:val="auto"/>
              </w:rPr>
              <w:t>PACCAR Inc.</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CBRE Group, Inc.</w:t>
            </w:r>
          </w:p>
        </w:tc>
        <w:tc>
          <w:tcPr>
            <w:tcW w:w="2900" w:type="dxa"/>
            <w:vAlign w:val="bottom"/>
          </w:tcPr>
          <w:p>
            <w:pPr>
              <w:ind w:left="480"/>
              <w:spacing w:after="0"/>
              <w:rPr>
                <w:sz w:val="20"/>
                <w:szCs w:val="20"/>
                <w:color w:val="auto"/>
              </w:rPr>
            </w:pPr>
            <w:r>
              <w:rPr>
                <w:rFonts w:ascii="Arial" w:cs="Arial" w:eastAsia="Arial" w:hAnsi="Arial"/>
                <w:sz w:val="15"/>
                <w:szCs w:val="15"/>
                <w:color w:val="auto"/>
              </w:rPr>
              <w:t>General Mills, Inc.</w:t>
            </w:r>
          </w:p>
        </w:tc>
        <w:tc>
          <w:tcPr>
            <w:tcW w:w="2900" w:type="dxa"/>
            <w:vAlign w:val="bottom"/>
          </w:tcPr>
          <w:p>
            <w:pPr>
              <w:ind w:left="320"/>
              <w:spacing w:after="0"/>
              <w:rPr>
                <w:sz w:val="20"/>
                <w:szCs w:val="20"/>
                <w:color w:val="auto"/>
              </w:rPr>
            </w:pPr>
            <w:r>
              <w:rPr>
                <w:rFonts w:ascii="Arial" w:cs="Arial" w:eastAsia="Arial" w:hAnsi="Arial"/>
                <w:sz w:val="15"/>
                <w:szCs w:val="15"/>
                <w:color w:val="auto"/>
              </w:rPr>
              <w:t>Textron Inc.</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CDW Corp.</w:t>
            </w:r>
          </w:p>
        </w:tc>
        <w:tc>
          <w:tcPr>
            <w:tcW w:w="2900" w:type="dxa"/>
            <w:vAlign w:val="bottom"/>
          </w:tcPr>
          <w:p>
            <w:pPr>
              <w:ind w:left="480"/>
              <w:spacing w:after="0"/>
              <w:rPr>
                <w:sz w:val="20"/>
                <w:szCs w:val="20"/>
                <w:color w:val="auto"/>
              </w:rPr>
            </w:pPr>
            <w:r>
              <w:rPr>
                <w:rFonts w:ascii="Arial" w:cs="Arial" w:eastAsia="Arial" w:hAnsi="Arial"/>
                <w:sz w:val="15"/>
                <w:szCs w:val="15"/>
                <w:color w:val="auto"/>
              </w:rPr>
              <w:t>Genuine Parts Co</w:t>
            </w:r>
          </w:p>
        </w:tc>
        <w:tc>
          <w:tcPr>
            <w:tcW w:w="2900" w:type="dxa"/>
            <w:vAlign w:val="bottom"/>
          </w:tcPr>
          <w:p>
            <w:pPr>
              <w:ind w:left="320"/>
              <w:spacing w:after="0"/>
              <w:rPr>
                <w:sz w:val="20"/>
                <w:szCs w:val="20"/>
                <w:color w:val="auto"/>
              </w:rPr>
            </w:pPr>
            <w:r>
              <w:rPr>
                <w:rFonts w:ascii="Arial" w:cs="Arial" w:eastAsia="Arial" w:hAnsi="Arial"/>
                <w:sz w:val="15"/>
                <w:szCs w:val="15"/>
                <w:color w:val="auto"/>
              </w:rPr>
              <w:t>The Clorox Co.</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CH Robinson Worldwide Inc.</w:t>
            </w:r>
          </w:p>
        </w:tc>
        <w:tc>
          <w:tcPr>
            <w:tcW w:w="2900" w:type="dxa"/>
            <w:vAlign w:val="bottom"/>
          </w:tcPr>
          <w:p>
            <w:pPr>
              <w:ind w:left="480"/>
              <w:spacing w:after="0"/>
              <w:rPr>
                <w:sz w:val="20"/>
                <w:szCs w:val="20"/>
                <w:color w:val="auto"/>
              </w:rPr>
            </w:pPr>
            <w:r>
              <w:rPr>
                <w:rFonts w:ascii="Arial" w:cs="Arial" w:eastAsia="Arial" w:hAnsi="Arial"/>
                <w:sz w:val="15"/>
                <w:szCs w:val="15"/>
                <w:color w:val="auto"/>
              </w:rPr>
              <w:t>Hewlett Packard Enterprise Co.</w:t>
            </w:r>
          </w:p>
        </w:tc>
        <w:tc>
          <w:tcPr>
            <w:tcW w:w="2900" w:type="dxa"/>
            <w:vAlign w:val="bottom"/>
          </w:tcPr>
          <w:p>
            <w:pPr>
              <w:ind w:left="320"/>
              <w:spacing w:after="0"/>
              <w:rPr>
                <w:sz w:val="20"/>
                <w:szCs w:val="20"/>
                <w:color w:val="auto"/>
              </w:rPr>
            </w:pPr>
            <w:r>
              <w:rPr>
                <w:rFonts w:ascii="Arial" w:cs="Arial" w:eastAsia="Arial" w:hAnsi="Arial"/>
                <w:sz w:val="15"/>
                <w:szCs w:val="15"/>
                <w:color w:val="auto"/>
              </w:rPr>
              <w:t>The Gap, Inc.</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Cummins Inc.</w:t>
            </w:r>
          </w:p>
        </w:tc>
        <w:tc>
          <w:tcPr>
            <w:tcW w:w="2900" w:type="dxa"/>
            <w:vAlign w:val="bottom"/>
          </w:tcPr>
          <w:p>
            <w:pPr>
              <w:ind w:left="480"/>
              <w:spacing w:after="0"/>
              <w:rPr>
                <w:sz w:val="20"/>
                <w:szCs w:val="20"/>
                <w:color w:val="auto"/>
              </w:rPr>
            </w:pPr>
            <w:r>
              <w:rPr>
                <w:rFonts w:ascii="Arial" w:cs="Arial" w:eastAsia="Arial" w:hAnsi="Arial"/>
                <w:sz w:val="15"/>
                <w:szCs w:val="15"/>
                <w:color w:val="auto"/>
              </w:rPr>
              <w:t>International Paper Company</w:t>
            </w:r>
          </w:p>
        </w:tc>
        <w:tc>
          <w:tcPr>
            <w:tcW w:w="2900" w:type="dxa"/>
            <w:vAlign w:val="bottom"/>
          </w:tcPr>
          <w:p>
            <w:pPr>
              <w:ind w:left="320"/>
              <w:spacing w:after="0"/>
              <w:rPr>
                <w:sz w:val="20"/>
                <w:szCs w:val="20"/>
                <w:color w:val="auto"/>
              </w:rPr>
            </w:pPr>
            <w:r>
              <w:rPr>
                <w:rFonts w:ascii="Arial" w:cs="Arial" w:eastAsia="Arial" w:hAnsi="Arial"/>
                <w:sz w:val="15"/>
                <w:szCs w:val="15"/>
                <w:color w:val="auto"/>
              </w:rPr>
              <w:t>Western Digital Corporation</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Dollar Tree, Inc.</w:t>
            </w:r>
          </w:p>
        </w:tc>
        <w:tc>
          <w:tcPr>
            <w:tcW w:w="2900" w:type="dxa"/>
            <w:vAlign w:val="bottom"/>
          </w:tcPr>
          <w:p>
            <w:pPr>
              <w:ind w:left="480"/>
              <w:spacing w:after="0"/>
              <w:rPr>
                <w:sz w:val="20"/>
                <w:szCs w:val="20"/>
                <w:color w:val="auto"/>
              </w:rPr>
            </w:pPr>
            <w:r>
              <w:rPr>
                <w:rFonts w:ascii="Arial" w:cs="Arial" w:eastAsia="Arial" w:hAnsi="Arial"/>
                <w:sz w:val="15"/>
                <w:szCs w:val="15"/>
                <w:color w:val="auto"/>
              </w:rPr>
              <w:t>Jacobs Engineering Group Inc.</w:t>
            </w:r>
          </w:p>
        </w:tc>
        <w:tc>
          <w:tcPr>
            <w:tcW w:w="2900" w:type="dxa"/>
            <w:vAlign w:val="bottom"/>
          </w:tcPr>
          <w:p>
            <w:pPr>
              <w:ind w:left="320"/>
              <w:spacing w:after="0"/>
              <w:rPr>
                <w:sz w:val="20"/>
                <w:szCs w:val="20"/>
                <w:color w:val="auto"/>
              </w:rPr>
            </w:pPr>
            <w:r>
              <w:rPr>
                <w:rFonts w:ascii="Arial" w:cs="Arial" w:eastAsia="Arial" w:hAnsi="Arial"/>
                <w:sz w:val="15"/>
                <w:szCs w:val="15"/>
                <w:color w:val="auto"/>
              </w:rPr>
              <w:t>WW Grainger Inc.</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DXC Technology Company</w:t>
            </w:r>
          </w:p>
        </w:tc>
        <w:tc>
          <w:tcPr>
            <w:tcW w:w="2900" w:type="dxa"/>
            <w:vAlign w:val="bottom"/>
          </w:tcPr>
          <w:p>
            <w:pPr>
              <w:ind w:left="480"/>
              <w:spacing w:after="0"/>
              <w:rPr>
                <w:sz w:val="20"/>
                <w:szCs w:val="20"/>
                <w:color w:val="auto"/>
              </w:rPr>
            </w:pPr>
            <w:r>
              <w:rPr>
                <w:rFonts w:ascii="Arial" w:cs="Arial" w:eastAsia="Arial" w:hAnsi="Arial"/>
                <w:sz w:val="15"/>
                <w:szCs w:val="15"/>
                <w:color w:val="auto"/>
              </w:rPr>
              <w:t>Kohl’s Corporation</w:t>
            </w:r>
          </w:p>
        </w:tc>
        <w:tc>
          <w:tcPr>
            <w:tcW w:w="2900" w:type="dxa"/>
            <w:vAlign w:val="bottom"/>
          </w:tcPr>
          <w:p>
            <w:pPr>
              <w:spacing w:after="0"/>
              <w:rPr>
                <w:sz w:val="19"/>
                <w:szCs w:val="19"/>
                <w:color w:val="auto"/>
              </w:rPr>
            </w:pP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Additional Data Sources</w:t>
      </w:r>
    </w:p>
    <w:p>
      <w:pPr>
        <w:spacing w:after="0" w:line="77"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The Committee also utilizes data from U.S. compensation surveys published by Mercer and other third-party data providers that are recommended by Mercer as a means to evaluate compensation for certain NEO positions. The CEO and CFO positions were only compared to companies within the peer group for 2021. Compensation for global functional leaders was compared against compensation survey data recommended by Mercer for executives with similar roles and responsibilities. Ms. Nettles’s position was only compared with U.S. compensation survey data of human resource management executives. Mr. Buchband’s position was only compared with U.S. compensation survey data of legal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36</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165" w:right="5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Assessing Individual Factors</w:t>
      </w:r>
    </w:p>
    <w:p>
      <w:pPr>
        <w:spacing w:after="0" w:line="90"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the NEO’s historical compensation, and any retention concerns. The Committee uses a historical compensation report to review the compensation and benefits provided to each NEO in connection with its compensation decisions concerning that NEO.</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The Committee’s Decision-Making Process</w:t>
      </w:r>
    </w:p>
    <w:p>
      <w:pPr>
        <w:spacing w:after="0" w:line="139" w:lineRule="exact"/>
        <w:rPr>
          <w:sz w:val="20"/>
          <w:szCs w:val="20"/>
          <w:color w:val="auto"/>
        </w:rPr>
      </w:pPr>
    </w:p>
    <w:p>
      <w:pPr>
        <w:ind w:right="40"/>
        <w:spacing w:after="0" w:line="226" w:lineRule="auto"/>
        <w:rPr>
          <w:sz w:val="20"/>
          <w:szCs w:val="20"/>
          <w:color w:val="auto"/>
        </w:rPr>
      </w:pPr>
      <w:r>
        <w:rPr>
          <w:rFonts w:ascii="Arial" w:cs="Arial" w:eastAsia="Arial" w:hAnsi="Arial"/>
          <w:sz w:val="15"/>
          <w:szCs w:val="15"/>
          <w:color w:val="auto"/>
        </w:rPr>
        <w:t>The Committee determines the CEO’s compensation levels, including base salary, establishing and determining the achievement of the financial goals and operating objectives for the annual cash incentives, and any equity-based compensation awards. Generally, the CEO establishes and recommends the achievement of the goals and objectives for the annual incentives for the other NEOs, with the Committee making the final determinations. Similarly, the CEO generally recommends to the Committee any salary adjustments, cash incentive awards or equity-based awards for the other NEOs, which are then evaluated and determined by the Committee. Mercer provides input to the Committee regarding the final compensation for all of the NEOs. This input reflected the Company’s performance results for 2021, external market references against the peer group, internal compensation references and the individual performance of each of the NEOs. Under the Committee’s charter, compensation for our CEO and CFO is subject to ratification by the board of directors. Accordingly, the board of directors ratified the determinations for Mr. Prising and Mr. McGinnis.</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Components of the 2021 Executive Compensation Program — Base Salary</w:t>
      </w:r>
    </w:p>
    <w:p>
      <w:pPr>
        <w:spacing w:after="0" w:line="139" w:lineRule="exact"/>
        <w:rPr>
          <w:sz w:val="20"/>
          <w:szCs w:val="20"/>
          <w:color w:val="auto"/>
        </w:rPr>
      </w:pPr>
    </w:p>
    <w:p>
      <w:pPr>
        <w:ind w:right="480"/>
        <w:spacing w:after="0" w:line="237" w:lineRule="auto"/>
        <w:rPr>
          <w:sz w:val="20"/>
          <w:szCs w:val="20"/>
          <w:color w:val="auto"/>
        </w:rPr>
      </w:pPr>
      <w:r>
        <w:rPr>
          <w:rFonts w:ascii="Arial" w:cs="Arial" w:eastAsia="Arial" w:hAnsi="Arial"/>
          <w:sz w:val="15"/>
          <w:szCs w:val="15"/>
          <w:color w:val="auto"/>
        </w:rPr>
        <w:t>Base salaries for NEOs are set based on the median of base salaries paid in the relevant competitive market, for the particular position, subject to individual performance factors as described earlier.</w:t>
      </w:r>
    </w:p>
    <w:p>
      <w:pPr>
        <w:spacing w:after="0" w:line="114"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benefits each NEO may receive is also increased if his or her salary is increased. The value of long-term incentive awards is not determined as a multiple of base salary. As noted above, each of the NEOs other than Mr. Prising received an increase in base salary of approximately 3% for 2021 to better align with the competitive market for their roles.</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Components of the 2021 Executive Compensation Program — Annual Cash Incentives</w:t>
      </w:r>
    </w:p>
    <w:p>
      <w:pPr>
        <w:spacing w:after="0" w:line="139" w:lineRule="exact"/>
        <w:rPr>
          <w:sz w:val="20"/>
          <w:szCs w:val="20"/>
          <w:color w:val="auto"/>
        </w:rPr>
      </w:pPr>
    </w:p>
    <w:p>
      <w:pPr>
        <w:jc w:val="both"/>
        <w:ind w:right="520"/>
        <w:spacing w:after="0" w:line="232" w:lineRule="auto"/>
        <w:rPr>
          <w:sz w:val="20"/>
          <w:szCs w:val="20"/>
          <w:color w:val="auto"/>
        </w:rPr>
      </w:pPr>
      <w:r>
        <w:rPr>
          <w:rFonts w:ascii="Arial" w:cs="Arial" w:eastAsia="Arial" w:hAnsi="Arial"/>
          <w:sz w:val="15"/>
          <w:szCs w:val="15"/>
          <w:color w:val="auto"/>
        </w:rPr>
        <w:t>The Incentive Plan provides for the payment of annual cash rewards to a participant based on the Company’s attainment of one or more financial goals and operating objectives established for that participant for the relevant year. Incentive amounts are based on achievement of pre-established goals using these metrics. The financial goals include EPS, ROIC and Revenue. The operating objectives are typically tied to broad strategic or operational initiatives.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How EPS, ROIC and Revenue are Calculated</w:t>
      </w:r>
    </w:p>
    <w:p>
      <w:pPr>
        <w:spacing w:after="0" w:line="90" w:lineRule="exact"/>
        <w:rPr>
          <w:sz w:val="20"/>
          <w:szCs w:val="20"/>
          <w:color w:val="auto"/>
        </w:rPr>
      </w:pPr>
    </w:p>
    <w:p>
      <w:pPr>
        <w:ind w:right="260"/>
        <w:spacing w:after="0" w:line="237" w:lineRule="auto"/>
        <w:rPr>
          <w:sz w:val="20"/>
          <w:szCs w:val="20"/>
          <w:color w:val="auto"/>
        </w:rPr>
      </w:pPr>
      <w:r>
        <w:rPr>
          <w:rFonts w:ascii="Arial" w:cs="Arial" w:eastAsia="Arial" w:hAnsi="Arial"/>
          <w:sz w:val="15"/>
          <w:szCs w:val="15"/>
          <w:color w:val="auto"/>
        </w:rPr>
        <w:t>The annual cash incentives for NEOs for 2021 are based on three objective factors — EPS, ROIC, Revenue — and individual performance objectives. When setting the 2021 targets, which occurred in mid-February 2021, the Committee determined that certain items should be excluded from our performance metrics:</w:t>
      </w:r>
    </w:p>
    <w:p>
      <w:pPr>
        <w:spacing w:after="0" w:line="101" w:lineRule="exact"/>
        <w:rPr>
          <w:sz w:val="20"/>
          <w:szCs w:val="20"/>
          <w:color w:val="auto"/>
        </w:rPr>
      </w:pPr>
    </w:p>
    <w:p>
      <w:pPr>
        <w:ind w:left="220" w:right="540" w:hanging="213"/>
        <w:spacing w:after="0" w:line="237" w:lineRule="auto"/>
        <w:tabs>
          <w:tab w:leader="none" w:pos="220" w:val="left"/>
        </w:tabs>
        <w:numPr>
          <w:ilvl w:val="0"/>
          <w:numId w:val="78"/>
        </w:numPr>
        <w:rPr>
          <w:rFonts w:ascii="Arial" w:cs="Arial" w:eastAsia="Arial" w:hAnsi="Arial"/>
          <w:sz w:val="15"/>
          <w:szCs w:val="15"/>
          <w:color w:val="auto"/>
        </w:rPr>
      </w:pPr>
      <w:r>
        <w:rPr>
          <w:rFonts w:ascii="Arial" w:cs="Arial" w:eastAsia="Arial" w:hAnsi="Arial"/>
          <w:sz w:val="15"/>
          <w:szCs w:val="15"/>
          <w:color w:val="5D89B4"/>
        </w:rPr>
        <w:t xml:space="preserve">Constant Currency. </w:t>
      </w:r>
      <w:r>
        <w:rPr>
          <w:rFonts w:ascii="Arial" w:cs="Arial" w:eastAsia="Arial" w:hAnsi="Arial"/>
          <w:sz w:val="15"/>
          <w:szCs w:val="15"/>
          <w:color w:val="000000"/>
        </w:rPr>
        <w:t>We eliminate the impact of changes in exchange rates for EPS, ROIC and Revenue. This allows us to better capture year-over-year</w:t>
      </w:r>
      <w:r>
        <w:rPr>
          <w:rFonts w:ascii="Arial" w:cs="Arial" w:eastAsia="Arial" w:hAnsi="Arial"/>
          <w:sz w:val="15"/>
          <w:szCs w:val="15"/>
          <w:color w:val="5D89B4"/>
        </w:rPr>
        <w:t xml:space="preserve"> </w:t>
      </w:r>
      <w:r>
        <w:rPr>
          <w:rFonts w:ascii="Arial" w:cs="Arial" w:eastAsia="Arial" w:hAnsi="Arial"/>
          <w:sz w:val="15"/>
          <w:szCs w:val="15"/>
          <w:color w:val="000000"/>
        </w:rPr>
        <w:t>changes in underlying performance.</w:t>
      </w:r>
    </w:p>
    <w:p>
      <w:pPr>
        <w:spacing w:after="0" w:line="100" w:lineRule="exact"/>
        <w:rPr>
          <w:rFonts w:ascii="Arial" w:cs="Arial" w:eastAsia="Arial" w:hAnsi="Arial"/>
          <w:sz w:val="15"/>
          <w:szCs w:val="15"/>
          <w:color w:val="auto"/>
        </w:rPr>
      </w:pPr>
    </w:p>
    <w:p>
      <w:pPr>
        <w:ind w:left="220" w:right="420" w:hanging="213"/>
        <w:spacing w:after="0" w:line="237" w:lineRule="auto"/>
        <w:tabs>
          <w:tab w:leader="none" w:pos="220" w:val="left"/>
        </w:tabs>
        <w:numPr>
          <w:ilvl w:val="0"/>
          <w:numId w:val="78"/>
        </w:numPr>
        <w:rPr>
          <w:rFonts w:ascii="Arial" w:cs="Arial" w:eastAsia="Arial" w:hAnsi="Arial"/>
          <w:sz w:val="15"/>
          <w:szCs w:val="15"/>
          <w:color w:val="auto"/>
        </w:rPr>
      </w:pPr>
      <w:r>
        <w:rPr>
          <w:rFonts w:ascii="Arial" w:cs="Arial" w:eastAsia="Arial" w:hAnsi="Arial"/>
          <w:sz w:val="15"/>
          <w:szCs w:val="15"/>
          <w:color w:val="5D89B4"/>
        </w:rPr>
        <w:t xml:space="preserve">Share Repurchases. </w:t>
      </w:r>
      <w:r>
        <w:rPr>
          <w:rFonts w:ascii="Arial" w:cs="Arial" w:eastAsia="Arial" w:hAnsi="Arial"/>
          <w:sz w:val="15"/>
          <w:szCs w:val="15"/>
          <w:color w:val="000000"/>
        </w:rPr>
        <w:t>We remove the benefit of share repurchases from our EPS calculation except to the extent necessary to offset dilution resulting from</w:t>
      </w:r>
      <w:r>
        <w:rPr>
          <w:rFonts w:ascii="Arial" w:cs="Arial" w:eastAsia="Arial" w:hAnsi="Arial"/>
          <w:sz w:val="15"/>
          <w:szCs w:val="15"/>
          <w:color w:val="5D89B4"/>
        </w:rPr>
        <w:t xml:space="preserve"> </w:t>
      </w:r>
      <w:r>
        <w:rPr>
          <w:rFonts w:ascii="Arial" w:cs="Arial" w:eastAsia="Arial" w:hAnsi="Arial"/>
          <w:sz w:val="15"/>
          <w:szCs w:val="15"/>
          <w:color w:val="000000"/>
        </w:rPr>
        <w:t>shares issued under our equity plans.</w:t>
      </w:r>
    </w:p>
    <w:p>
      <w:pPr>
        <w:spacing w:after="0" w:line="100" w:lineRule="exact"/>
        <w:rPr>
          <w:rFonts w:ascii="Arial" w:cs="Arial" w:eastAsia="Arial" w:hAnsi="Arial"/>
          <w:sz w:val="15"/>
          <w:szCs w:val="15"/>
          <w:color w:val="auto"/>
        </w:rPr>
      </w:pPr>
    </w:p>
    <w:p>
      <w:pPr>
        <w:ind w:left="220" w:right="320" w:hanging="213"/>
        <w:spacing w:after="0" w:line="237" w:lineRule="auto"/>
        <w:tabs>
          <w:tab w:leader="none" w:pos="220" w:val="left"/>
        </w:tabs>
        <w:numPr>
          <w:ilvl w:val="0"/>
          <w:numId w:val="78"/>
        </w:numPr>
        <w:rPr>
          <w:rFonts w:ascii="Arial" w:cs="Arial" w:eastAsia="Arial" w:hAnsi="Arial"/>
          <w:sz w:val="15"/>
          <w:szCs w:val="15"/>
          <w:color w:val="auto"/>
        </w:rPr>
      </w:pPr>
      <w:r>
        <w:rPr>
          <w:rFonts w:ascii="Arial" w:cs="Arial" w:eastAsia="Arial" w:hAnsi="Arial"/>
          <w:sz w:val="15"/>
          <w:szCs w:val="15"/>
          <w:color w:val="5D89B4"/>
        </w:rPr>
        <w:t xml:space="preserve">Restructuring Costs. </w:t>
      </w:r>
      <w:r>
        <w:rPr>
          <w:rFonts w:ascii="Arial" w:cs="Arial" w:eastAsia="Arial" w:hAnsi="Arial"/>
          <w:sz w:val="15"/>
          <w:szCs w:val="15"/>
          <w:color w:val="000000"/>
        </w:rPr>
        <w:t>We exclude restructuring costs from our EPS and ROIC calculations, net of the savings related to these costs. This allows us to better</w:t>
      </w:r>
      <w:r>
        <w:rPr>
          <w:rFonts w:ascii="Arial" w:cs="Arial" w:eastAsia="Arial" w:hAnsi="Arial"/>
          <w:sz w:val="15"/>
          <w:szCs w:val="15"/>
          <w:color w:val="5D89B4"/>
        </w:rPr>
        <w:t xml:space="preserve"> </w:t>
      </w:r>
      <w:r>
        <w:rPr>
          <w:rFonts w:ascii="Arial" w:cs="Arial" w:eastAsia="Arial" w:hAnsi="Arial"/>
          <w:sz w:val="15"/>
          <w:szCs w:val="15"/>
          <w:color w:val="000000"/>
        </w:rPr>
        <w:t>reflect the Company’s performance for the year.</w:t>
      </w:r>
    </w:p>
    <w:p>
      <w:pPr>
        <w:spacing w:after="0" w:line="100" w:lineRule="exact"/>
        <w:rPr>
          <w:rFonts w:ascii="Arial" w:cs="Arial" w:eastAsia="Arial" w:hAnsi="Arial"/>
          <w:sz w:val="15"/>
          <w:szCs w:val="15"/>
          <w:color w:val="auto"/>
        </w:rPr>
      </w:pPr>
    </w:p>
    <w:p>
      <w:pPr>
        <w:ind w:left="220" w:right="160" w:hanging="213"/>
        <w:spacing w:after="0" w:line="237" w:lineRule="auto"/>
        <w:tabs>
          <w:tab w:leader="none" w:pos="220" w:val="left"/>
        </w:tabs>
        <w:numPr>
          <w:ilvl w:val="0"/>
          <w:numId w:val="78"/>
        </w:numPr>
        <w:rPr>
          <w:rFonts w:ascii="Arial" w:cs="Arial" w:eastAsia="Arial" w:hAnsi="Arial"/>
          <w:sz w:val="15"/>
          <w:szCs w:val="15"/>
          <w:color w:val="auto"/>
        </w:rPr>
      </w:pPr>
      <w:r>
        <w:rPr>
          <w:rFonts w:ascii="Arial" w:cs="Arial" w:eastAsia="Arial" w:hAnsi="Arial"/>
          <w:sz w:val="15"/>
          <w:szCs w:val="15"/>
          <w:color w:val="5D89B4"/>
        </w:rPr>
        <w:t xml:space="preserve">Goodwill Impairment. </w:t>
      </w:r>
      <w:r>
        <w:rPr>
          <w:rFonts w:ascii="Arial" w:cs="Arial" w:eastAsia="Arial" w:hAnsi="Arial"/>
          <w:sz w:val="15"/>
          <w:szCs w:val="15"/>
          <w:color w:val="000000"/>
        </w:rPr>
        <w:t>We exclude goodwill impairment charges from our EPS and ROIC calculations. This, too, better reflects the Company’s performance for</w:t>
      </w:r>
      <w:r>
        <w:rPr>
          <w:rFonts w:ascii="Arial" w:cs="Arial" w:eastAsia="Arial" w:hAnsi="Arial"/>
          <w:sz w:val="15"/>
          <w:szCs w:val="15"/>
          <w:color w:val="5D89B4"/>
        </w:rPr>
        <w:t xml:space="preserve"> </w:t>
      </w:r>
      <w:r>
        <w:rPr>
          <w:rFonts w:ascii="Arial" w:cs="Arial" w:eastAsia="Arial" w:hAnsi="Arial"/>
          <w:sz w:val="15"/>
          <w:szCs w:val="15"/>
          <w:color w:val="000000"/>
        </w:rPr>
        <w:t>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37</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65" w:lineRule="exact"/>
        <w:rPr>
          <w:sz w:val="20"/>
          <w:szCs w:val="20"/>
          <w:color w:val="auto"/>
        </w:rPr>
      </w:pPr>
    </w:p>
    <w:p>
      <w:pPr>
        <w:ind w:left="220" w:right="60" w:hanging="213"/>
        <w:spacing w:after="0" w:line="237" w:lineRule="auto"/>
        <w:tabs>
          <w:tab w:leader="none" w:pos="220" w:val="left"/>
        </w:tabs>
        <w:numPr>
          <w:ilvl w:val="0"/>
          <w:numId w:val="79"/>
        </w:numPr>
        <w:rPr>
          <w:rFonts w:ascii="Arial" w:cs="Arial" w:eastAsia="Arial" w:hAnsi="Arial"/>
          <w:sz w:val="15"/>
          <w:szCs w:val="15"/>
          <w:color w:val="auto"/>
        </w:rPr>
      </w:pPr>
      <w:r>
        <w:rPr>
          <w:rFonts w:ascii="Arial" w:cs="Arial" w:eastAsia="Arial" w:hAnsi="Arial"/>
          <w:sz w:val="15"/>
          <w:szCs w:val="15"/>
          <w:color w:val="5D89B4"/>
        </w:rPr>
        <w:t xml:space="preserve">Other Non-Recurring Items. </w:t>
      </w:r>
      <w:r>
        <w:rPr>
          <w:rFonts w:ascii="Arial" w:cs="Arial" w:eastAsia="Arial" w:hAnsi="Arial"/>
          <w:sz w:val="15"/>
          <w:szCs w:val="15"/>
          <w:color w:val="000000"/>
        </w:rPr>
        <w:t>We exclude from EPS and ROIC certain items and any non-recurring accrual adjustments greater than $10 million as described in</w:t>
      </w:r>
      <w:r>
        <w:rPr>
          <w:rFonts w:ascii="Arial" w:cs="Arial" w:eastAsia="Arial" w:hAnsi="Arial"/>
          <w:sz w:val="15"/>
          <w:szCs w:val="15"/>
          <w:color w:val="5D89B4"/>
        </w:rPr>
        <w:t xml:space="preserve"> </w:t>
      </w:r>
      <w:r>
        <w:rPr>
          <w:rFonts w:ascii="Arial" w:cs="Arial" w:eastAsia="Arial" w:hAnsi="Arial"/>
          <w:sz w:val="15"/>
          <w:szCs w:val="15"/>
          <w:color w:val="000000"/>
        </w:rPr>
        <w:t>the following calculations to better reflect the Company’s performance during the year:</w:t>
      </w:r>
    </w:p>
    <w:p>
      <w:pPr>
        <w:spacing w:after="0" w:line="82" w:lineRule="exact"/>
        <w:rPr>
          <w:rFonts w:ascii="Arial" w:cs="Arial" w:eastAsia="Arial" w:hAnsi="Arial"/>
          <w:sz w:val="15"/>
          <w:szCs w:val="15"/>
          <w:color w:val="auto"/>
        </w:rPr>
      </w:pPr>
    </w:p>
    <w:p>
      <w:pPr>
        <w:ind w:left="440" w:right="260" w:hanging="219"/>
        <w:spacing w:after="0" w:line="234" w:lineRule="auto"/>
        <w:tabs>
          <w:tab w:leader="none" w:pos="440" w:val="left"/>
        </w:tabs>
        <w:numPr>
          <w:ilvl w:val="1"/>
          <w:numId w:val="79"/>
        </w:numPr>
        <w:rPr>
          <w:rFonts w:ascii="Arial" w:cs="Arial" w:eastAsia="Arial" w:hAnsi="Arial"/>
          <w:sz w:val="15"/>
          <w:szCs w:val="15"/>
          <w:color w:val="auto"/>
        </w:rPr>
      </w:pPr>
      <w:r>
        <w:rPr>
          <w:rFonts w:ascii="Arial" w:cs="Arial" w:eastAsia="Arial" w:hAnsi="Arial"/>
          <w:sz w:val="15"/>
          <w:szCs w:val="15"/>
          <w:b w:val="1"/>
          <w:bCs w:val="1"/>
          <w:color w:val="auto"/>
        </w:rPr>
        <w:t xml:space="preserve">EPS </w:t>
      </w:r>
      <w:r>
        <w:rPr>
          <w:rFonts w:ascii="Arial" w:cs="Arial" w:eastAsia="Arial" w:hAnsi="Arial"/>
          <w:sz w:val="15"/>
          <w:szCs w:val="15"/>
          <w:color w:val="auto"/>
        </w:rPr>
        <w:t>— net earnings per share — diluted, including net earnings from continuing and discontinued operations, but excluding the impact of currency,</w:t>
      </w:r>
      <w:r>
        <w:rPr>
          <w:rFonts w:ascii="Arial" w:cs="Arial" w:eastAsia="Arial" w:hAnsi="Arial"/>
          <w:sz w:val="15"/>
          <w:szCs w:val="15"/>
          <w:b w:val="1"/>
          <w:bCs w:val="1"/>
          <w:color w:val="auto"/>
        </w:rPr>
        <w:t xml:space="preserve"> </w:t>
      </w:r>
      <w:r>
        <w:rPr>
          <w:rFonts w:ascii="Arial" w:cs="Arial" w:eastAsia="Arial" w:hAnsi="Arial"/>
          <w:sz w:val="15"/>
          <w:szCs w:val="15"/>
          <w:color w:val="auto"/>
        </w:rPr>
        <w:t>restructuring charges net of related savings, any cumulative effects of changes in accounting principles, extraordinary items, goodwill impairment or the benefit of current year share repurchases in excess of dilution. Earnings per share are further adjusted for the following items that exceed $10 million individually: tax or regulatory law changes, accounting adjustments related to acquisitions or dispositions where the Company previously held ownership interest; and non-recurring adjustments pertaining to prior periods.</w:t>
      </w:r>
    </w:p>
    <w:p>
      <w:pPr>
        <w:spacing w:after="0" w:line="81" w:lineRule="exact"/>
        <w:rPr>
          <w:rFonts w:ascii="Arial" w:cs="Arial" w:eastAsia="Arial" w:hAnsi="Arial"/>
          <w:sz w:val="15"/>
          <w:szCs w:val="15"/>
          <w:color w:val="auto"/>
        </w:rPr>
      </w:pPr>
    </w:p>
    <w:p>
      <w:pPr>
        <w:ind w:left="440" w:right="120" w:hanging="219"/>
        <w:spacing w:after="0" w:line="234" w:lineRule="auto"/>
        <w:tabs>
          <w:tab w:leader="none" w:pos="440" w:val="left"/>
        </w:tabs>
        <w:numPr>
          <w:ilvl w:val="1"/>
          <w:numId w:val="79"/>
        </w:numPr>
        <w:rPr>
          <w:rFonts w:ascii="Arial" w:cs="Arial" w:eastAsia="Arial" w:hAnsi="Arial"/>
          <w:sz w:val="15"/>
          <w:szCs w:val="15"/>
          <w:color w:val="auto"/>
        </w:rPr>
      </w:pPr>
      <w:r>
        <w:rPr>
          <w:rFonts w:ascii="Arial" w:cs="Arial" w:eastAsia="Arial" w:hAnsi="Arial"/>
          <w:sz w:val="15"/>
          <w:szCs w:val="15"/>
          <w:b w:val="1"/>
          <w:bCs w:val="1"/>
          <w:color w:val="auto"/>
        </w:rPr>
        <w:t xml:space="preserve">ROIC </w:t>
      </w:r>
      <w:r>
        <w:rPr>
          <w:rFonts w:ascii="Arial" w:cs="Arial" w:eastAsia="Arial" w:hAnsi="Arial"/>
          <w:sz w:val="15"/>
          <w:szCs w:val="15"/>
          <w:color w:val="auto"/>
        </w:rPr>
        <w:t>— consolidated net operating profit after taxes divided by average capital. Net operating profit equals earnings before income taxes plus net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expense and goodwill impairment (including the results of continuing and discontinued operations) minus taxes, excluding the impact of currency and restructuring charges net of related savings. ROIC is further adjusted for the following items that exceed $10 million individually: tax or regulatory law changes, accounting adjustments related to acquisitions or dispositions where the Company previously held an ownership interest, and non-recurring adjustments pertaining to prior periods. Average capital is the average monthly ending balance of capital employed plus or minus certain adjustments.</w:t>
      </w:r>
    </w:p>
    <w:p>
      <w:pPr>
        <w:spacing w:after="0" w:line="81" w:lineRule="exact"/>
        <w:rPr>
          <w:rFonts w:ascii="Arial" w:cs="Arial" w:eastAsia="Arial" w:hAnsi="Arial"/>
          <w:sz w:val="15"/>
          <w:szCs w:val="15"/>
          <w:color w:val="auto"/>
        </w:rPr>
      </w:pPr>
    </w:p>
    <w:p>
      <w:pPr>
        <w:ind w:left="440" w:right="200" w:hanging="219"/>
        <w:spacing w:after="0" w:line="260" w:lineRule="auto"/>
        <w:tabs>
          <w:tab w:leader="none" w:pos="440" w:val="left"/>
        </w:tabs>
        <w:numPr>
          <w:ilvl w:val="1"/>
          <w:numId w:val="79"/>
        </w:numPr>
        <w:rPr>
          <w:rFonts w:ascii="Arial" w:cs="Arial" w:eastAsia="Arial" w:hAnsi="Arial"/>
          <w:sz w:val="15"/>
          <w:szCs w:val="15"/>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 Revenue during the period, including continued and discontinued operations. Revenue is adjusted to exclude the impact of currency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same adjustments as made to EPS, as applicable.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See page 27 for a discussion of the specific items excluded from EPS, ROIC and Revenue for 2021.</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color w:val="auto"/>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 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113" w:lineRule="exact"/>
        <w:rPr>
          <w:sz w:val="20"/>
          <w:szCs w:val="20"/>
          <w:color w:val="auto"/>
        </w:rPr>
      </w:pPr>
    </w:p>
    <w:p>
      <w:pPr>
        <w:ind w:right="80"/>
        <w:spacing w:after="0" w:line="232" w:lineRule="auto"/>
        <w:rPr>
          <w:sz w:val="20"/>
          <w:szCs w:val="20"/>
          <w:color w:val="auto"/>
        </w:rPr>
      </w:pPr>
      <w:r>
        <w:rPr>
          <w:rFonts w:ascii="Arial" w:cs="Arial" w:eastAsia="Arial" w:hAnsi="Arial"/>
          <w:sz w:val="15"/>
          <w:szCs w:val="15"/>
          <w:color w:val="auto"/>
        </w:rPr>
        <w:t>The ROIC target is then determined based on the earnings growth reflected by the EPS target as well as consideration by the Committee of factors relating to the Company’s level of capital. The Revenue target is generally based on the Company’s targeted long-term growth rate for Revenue. Similar to EPS, it may be adjusted year-by-year based on economic conditions and the Company’s expected financial performance for the year.</w:t>
      </w:r>
    </w:p>
    <w:p>
      <w:pPr>
        <w:spacing w:after="0" w:line="128"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This methodology is not the same as the Company’s financial budgeting or business outlook for the year. As a result, target performance for purposes of achieving an incentive award will not be the same as performance at the budgeted financial plan, which may be higher or lower than target performance depending on economic conditions and trends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38</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165" w:right="5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Why the Company uses EPS, ROIC and Revenue</w:t>
      </w:r>
    </w:p>
    <w:p>
      <w:pPr>
        <w:spacing w:after="0" w:line="90" w:lineRule="exact"/>
        <w:rPr>
          <w:sz w:val="20"/>
          <w:szCs w:val="20"/>
          <w:color w:val="auto"/>
        </w:rPr>
      </w:pPr>
    </w:p>
    <w:p>
      <w:pPr>
        <w:ind w:right="40"/>
        <w:spacing w:after="0" w:line="226" w:lineRule="auto"/>
        <w:rPr>
          <w:sz w:val="20"/>
          <w:szCs w:val="20"/>
          <w:color w:val="auto"/>
        </w:rPr>
      </w:pPr>
      <w:r>
        <w:rPr>
          <w:rFonts w:ascii="Arial" w:cs="Arial" w:eastAsia="Arial" w:hAnsi="Arial"/>
          <w:sz w:val="15"/>
          <w:szCs w:val="15"/>
          <w:color w:val="auto"/>
        </w:rPr>
        <w:t>The Committee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ROIC as a performance goal for the NEOs because it measures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 Using an ROIC metric incentivizes our executives to carefully manage our accounts receivable and other capital investments in order to maximize the return on capital deployed. Our goal is to continuously improve our internal capital employed each year resulting in stable to improving ROIC. The Company uses Revenue as a performance goal in order to incentivize top-line growth, in addition to profitability. For 2021, the Committee adjusted the percentage weightings of the financial metrics so that it could increase the percentage of annual incentive attributable to individual operating objective as follows:</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74"/>
        </w:trPr>
        <w:tc>
          <w:tcPr>
            <w:tcW w:w="450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METRIC</w:t>
            </w:r>
          </w:p>
        </w:tc>
        <w:tc>
          <w:tcPr>
            <w:tcW w:w="2760" w:type="dxa"/>
            <w:vAlign w:val="bottom"/>
            <w:tcBorders>
              <w:bottom w:val="single" w:sz="8" w:color="EAEAEA"/>
            </w:tcBorders>
            <w:shd w:val="clear" w:color="auto" w:fill="EAEAEA"/>
          </w:tcPr>
          <w:p>
            <w:pPr>
              <w:jc w:val="right"/>
              <w:ind w:right="525"/>
              <w:spacing w:after="0"/>
              <w:rPr>
                <w:sz w:val="20"/>
                <w:szCs w:val="20"/>
                <w:color w:val="auto"/>
              </w:rPr>
            </w:pPr>
            <w:r>
              <w:rPr>
                <w:rFonts w:ascii="Arial" w:cs="Arial" w:eastAsia="Arial" w:hAnsi="Arial"/>
                <w:sz w:val="14"/>
                <w:szCs w:val="14"/>
                <w:b w:val="1"/>
                <w:bCs w:val="1"/>
                <w:color w:val="5D89B4"/>
              </w:rPr>
              <w:t>2021 WEIGHTING</w:t>
            </w:r>
          </w:p>
        </w:tc>
        <w:tc>
          <w:tcPr>
            <w:tcW w:w="1900" w:type="dxa"/>
            <w:vAlign w:val="bottom"/>
            <w:tcBorders>
              <w:bottom w:val="single" w:sz="8" w:color="EAEAEA"/>
            </w:tcBorders>
            <w:shd w:val="clear" w:color="auto" w:fill="EAEAEA"/>
          </w:tcPr>
          <w:p>
            <w:pPr>
              <w:jc w:val="right"/>
              <w:ind w:right="185"/>
              <w:spacing w:after="0"/>
              <w:rPr>
                <w:sz w:val="20"/>
                <w:szCs w:val="20"/>
                <w:color w:val="auto"/>
              </w:rPr>
            </w:pPr>
            <w:r>
              <w:rPr>
                <w:rFonts w:ascii="Arial" w:cs="Arial" w:eastAsia="Arial" w:hAnsi="Arial"/>
                <w:sz w:val="14"/>
                <w:szCs w:val="14"/>
                <w:b w:val="1"/>
                <w:bCs w:val="1"/>
                <w:color w:val="5D89B4"/>
              </w:rPr>
              <w:t>2020 WEIGHTING</w:t>
            </w:r>
          </w:p>
        </w:tc>
      </w:tr>
      <w:tr>
        <w:trPr>
          <w:trHeight w:val="245"/>
        </w:trPr>
        <w:tc>
          <w:tcPr>
            <w:tcW w:w="450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760" w:type="dxa"/>
            <w:vAlign w:val="bottom"/>
          </w:tcPr>
          <w:p>
            <w:pPr>
              <w:jc w:val="right"/>
              <w:ind w:right="385"/>
              <w:spacing w:after="0"/>
              <w:rPr>
                <w:sz w:val="20"/>
                <w:szCs w:val="20"/>
                <w:color w:val="auto"/>
              </w:rPr>
            </w:pPr>
            <w:r>
              <w:rPr>
                <w:rFonts w:ascii="Arial" w:cs="Arial" w:eastAsia="Arial" w:hAnsi="Arial"/>
                <w:sz w:val="15"/>
                <w:szCs w:val="15"/>
                <w:color w:val="auto"/>
              </w:rPr>
              <w:t>25.0%</w:t>
            </w:r>
          </w:p>
        </w:tc>
        <w:tc>
          <w:tcPr>
            <w:tcW w:w="1900" w:type="dxa"/>
            <w:vAlign w:val="bottom"/>
          </w:tcPr>
          <w:p>
            <w:pPr>
              <w:jc w:val="right"/>
              <w:ind w:right="65"/>
              <w:spacing w:after="0"/>
              <w:rPr>
                <w:sz w:val="20"/>
                <w:szCs w:val="20"/>
                <w:color w:val="auto"/>
              </w:rPr>
            </w:pPr>
            <w:r>
              <w:rPr>
                <w:rFonts w:ascii="Arial" w:cs="Arial" w:eastAsia="Arial" w:hAnsi="Arial"/>
                <w:sz w:val="15"/>
                <w:szCs w:val="15"/>
                <w:color w:val="auto"/>
              </w:rPr>
              <w:t>30.0%</w:t>
            </w:r>
          </w:p>
        </w:tc>
      </w:tr>
      <w:tr>
        <w:trPr>
          <w:trHeight w:val="50"/>
        </w:trPr>
        <w:tc>
          <w:tcPr>
            <w:tcW w:w="4500" w:type="dxa"/>
            <w:vAlign w:val="bottom"/>
            <w:tcBorders>
              <w:bottom w:val="single" w:sz="8" w:color="5D89B4"/>
            </w:tcBorders>
          </w:tcPr>
          <w:p>
            <w:pPr>
              <w:spacing w:after="0"/>
              <w:rPr>
                <w:sz w:val="4"/>
                <w:szCs w:val="4"/>
                <w:color w:val="auto"/>
              </w:rPr>
            </w:pPr>
          </w:p>
        </w:tc>
        <w:tc>
          <w:tcPr>
            <w:tcW w:w="27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450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760" w:type="dxa"/>
            <w:vAlign w:val="bottom"/>
          </w:tcPr>
          <w:p>
            <w:pPr>
              <w:jc w:val="right"/>
              <w:ind w:right="385"/>
              <w:spacing w:after="0"/>
              <w:rPr>
                <w:sz w:val="20"/>
                <w:szCs w:val="20"/>
                <w:color w:val="auto"/>
              </w:rPr>
            </w:pPr>
            <w:r>
              <w:rPr>
                <w:rFonts w:ascii="Arial" w:cs="Arial" w:eastAsia="Arial" w:hAnsi="Arial"/>
                <w:sz w:val="15"/>
                <w:szCs w:val="15"/>
                <w:color w:val="auto"/>
              </w:rPr>
              <w:t>25.0%</w:t>
            </w:r>
          </w:p>
        </w:tc>
        <w:tc>
          <w:tcPr>
            <w:tcW w:w="1900" w:type="dxa"/>
            <w:vAlign w:val="bottom"/>
          </w:tcPr>
          <w:p>
            <w:pPr>
              <w:jc w:val="right"/>
              <w:ind w:right="65"/>
              <w:spacing w:after="0"/>
              <w:rPr>
                <w:sz w:val="20"/>
                <w:szCs w:val="20"/>
                <w:color w:val="auto"/>
              </w:rPr>
            </w:pPr>
            <w:r>
              <w:rPr>
                <w:rFonts w:ascii="Arial" w:cs="Arial" w:eastAsia="Arial" w:hAnsi="Arial"/>
                <w:sz w:val="15"/>
                <w:szCs w:val="15"/>
                <w:color w:val="auto"/>
              </w:rPr>
              <w:t>30.0%</w:t>
            </w:r>
          </w:p>
        </w:tc>
      </w:tr>
      <w:tr>
        <w:trPr>
          <w:trHeight w:val="50"/>
        </w:trPr>
        <w:tc>
          <w:tcPr>
            <w:tcW w:w="4500" w:type="dxa"/>
            <w:vAlign w:val="bottom"/>
            <w:tcBorders>
              <w:bottom w:val="single" w:sz="8" w:color="5D89B4"/>
            </w:tcBorders>
          </w:tcPr>
          <w:p>
            <w:pPr>
              <w:spacing w:after="0"/>
              <w:rPr>
                <w:sz w:val="4"/>
                <w:szCs w:val="4"/>
                <w:color w:val="auto"/>
              </w:rPr>
            </w:pPr>
          </w:p>
        </w:tc>
        <w:tc>
          <w:tcPr>
            <w:tcW w:w="27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450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760" w:type="dxa"/>
            <w:vAlign w:val="bottom"/>
          </w:tcPr>
          <w:p>
            <w:pPr>
              <w:jc w:val="right"/>
              <w:ind w:right="385"/>
              <w:spacing w:after="0"/>
              <w:rPr>
                <w:sz w:val="20"/>
                <w:szCs w:val="20"/>
                <w:color w:val="auto"/>
              </w:rPr>
            </w:pPr>
            <w:r>
              <w:rPr>
                <w:rFonts w:ascii="Arial" w:cs="Arial" w:eastAsia="Arial" w:hAnsi="Arial"/>
                <w:sz w:val="15"/>
                <w:szCs w:val="15"/>
                <w:color w:val="auto"/>
              </w:rPr>
              <w:t>20.0%</w:t>
            </w:r>
          </w:p>
        </w:tc>
        <w:tc>
          <w:tcPr>
            <w:tcW w:w="1900" w:type="dxa"/>
            <w:vAlign w:val="bottom"/>
          </w:tcPr>
          <w:p>
            <w:pPr>
              <w:jc w:val="right"/>
              <w:ind w:right="65"/>
              <w:spacing w:after="0"/>
              <w:rPr>
                <w:sz w:val="20"/>
                <w:szCs w:val="20"/>
                <w:color w:val="auto"/>
              </w:rPr>
            </w:pPr>
            <w:r>
              <w:rPr>
                <w:rFonts w:ascii="Arial" w:cs="Arial" w:eastAsia="Arial" w:hAnsi="Arial"/>
                <w:sz w:val="15"/>
                <w:szCs w:val="15"/>
                <w:color w:val="auto"/>
              </w:rPr>
              <w:t>20.0%</w:t>
            </w:r>
          </w:p>
        </w:tc>
      </w:tr>
      <w:tr>
        <w:trPr>
          <w:trHeight w:val="50"/>
        </w:trPr>
        <w:tc>
          <w:tcPr>
            <w:tcW w:w="4500" w:type="dxa"/>
            <w:vAlign w:val="bottom"/>
            <w:tcBorders>
              <w:bottom w:val="single" w:sz="8" w:color="5D89B4"/>
            </w:tcBorders>
          </w:tcPr>
          <w:p>
            <w:pPr>
              <w:spacing w:after="0"/>
              <w:rPr>
                <w:sz w:val="4"/>
                <w:szCs w:val="4"/>
                <w:color w:val="auto"/>
              </w:rPr>
            </w:pPr>
          </w:p>
        </w:tc>
        <w:tc>
          <w:tcPr>
            <w:tcW w:w="27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450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w:t>
            </w:r>
          </w:p>
        </w:tc>
        <w:tc>
          <w:tcPr>
            <w:tcW w:w="2760" w:type="dxa"/>
            <w:vAlign w:val="bottom"/>
          </w:tcPr>
          <w:p>
            <w:pPr>
              <w:jc w:val="right"/>
              <w:ind w:right="385"/>
              <w:spacing w:after="0"/>
              <w:rPr>
                <w:sz w:val="20"/>
                <w:szCs w:val="20"/>
                <w:color w:val="auto"/>
              </w:rPr>
            </w:pPr>
            <w:r>
              <w:rPr>
                <w:rFonts w:ascii="Arial" w:cs="Arial" w:eastAsia="Arial" w:hAnsi="Arial"/>
                <w:sz w:val="15"/>
                <w:szCs w:val="15"/>
                <w:color w:val="auto"/>
              </w:rPr>
              <w:t>30.0%</w:t>
            </w:r>
          </w:p>
        </w:tc>
        <w:tc>
          <w:tcPr>
            <w:tcW w:w="1900" w:type="dxa"/>
            <w:vAlign w:val="bottom"/>
          </w:tcPr>
          <w:p>
            <w:pPr>
              <w:jc w:val="right"/>
              <w:ind w:right="65"/>
              <w:spacing w:after="0"/>
              <w:rPr>
                <w:sz w:val="20"/>
                <w:szCs w:val="20"/>
                <w:color w:val="auto"/>
              </w:rPr>
            </w:pPr>
            <w:r>
              <w:rPr>
                <w:rFonts w:ascii="Arial" w:cs="Arial" w:eastAsia="Arial" w:hAnsi="Arial"/>
                <w:sz w:val="15"/>
                <w:szCs w:val="15"/>
                <w:color w:val="auto"/>
              </w:rPr>
              <w:t>20.0%</w:t>
            </w:r>
          </w:p>
        </w:tc>
      </w:tr>
      <w:tr>
        <w:trPr>
          <w:trHeight w:val="50"/>
        </w:trPr>
        <w:tc>
          <w:tcPr>
            <w:tcW w:w="4500" w:type="dxa"/>
            <w:vAlign w:val="bottom"/>
            <w:tcBorders>
              <w:bottom w:val="single" w:sz="8" w:color="5D89B4"/>
            </w:tcBorders>
          </w:tcPr>
          <w:p>
            <w:pPr>
              <w:spacing w:after="0"/>
              <w:rPr>
                <w:sz w:val="4"/>
                <w:szCs w:val="4"/>
                <w:color w:val="auto"/>
              </w:rPr>
            </w:pPr>
          </w:p>
        </w:tc>
        <w:tc>
          <w:tcPr>
            <w:tcW w:w="27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450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2760" w:type="dxa"/>
            <w:vAlign w:val="bottom"/>
          </w:tcPr>
          <w:p>
            <w:pPr>
              <w:jc w:val="right"/>
              <w:ind w:right="385"/>
              <w:spacing w:after="0"/>
              <w:rPr>
                <w:sz w:val="20"/>
                <w:szCs w:val="20"/>
                <w:color w:val="auto"/>
              </w:rPr>
            </w:pPr>
            <w:r>
              <w:rPr>
                <w:rFonts w:ascii="Arial" w:cs="Arial" w:eastAsia="Arial" w:hAnsi="Arial"/>
                <w:sz w:val="15"/>
                <w:szCs w:val="15"/>
                <w:color w:val="auto"/>
              </w:rPr>
              <w:t>100.0%</w:t>
            </w:r>
          </w:p>
        </w:tc>
        <w:tc>
          <w:tcPr>
            <w:tcW w:w="1900" w:type="dxa"/>
            <w:vAlign w:val="bottom"/>
          </w:tcPr>
          <w:p>
            <w:pPr>
              <w:jc w:val="right"/>
              <w:ind w:right="65"/>
              <w:spacing w:after="0"/>
              <w:rPr>
                <w:sz w:val="20"/>
                <w:szCs w:val="20"/>
                <w:color w:val="auto"/>
              </w:rPr>
            </w:pPr>
            <w:r>
              <w:rPr>
                <w:rFonts w:ascii="Arial" w:cs="Arial" w:eastAsia="Arial" w:hAnsi="Arial"/>
                <w:sz w:val="15"/>
                <w:szCs w:val="15"/>
                <w:color w:val="auto"/>
              </w:rPr>
              <w:t>100.0%</w:t>
            </w:r>
          </w:p>
        </w:tc>
      </w:tr>
      <w:tr>
        <w:trPr>
          <w:trHeight w:val="50"/>
        </w:trPr>
        <w:tc>
          <w:tcPr>
            <w:tcW w:w="4500" w:type="dxa"/>
            <w:vAlign w:val="bottom"/>
            <w:tcBorders>
              <w:bottom w:val="single" w:sz="8" w:color="5D89B4"/>
            </w:tcBorders>
          </w:tcPr>
          <w:p>
            <w:pPr>
              <w:spacing w:after="0"/>
              <w:rPr>
                <w:sz w:val="4"/>
                <w:szCs w:val="4"/>
                <w:color w:val="auto"/>
              </w:rPr>
            </w:pPr>
          </w:p>
        </w:tc>
        <w:tc>
          <w:tcPr>
            <w:tcW w:w="27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The 2021 EPS, ROIC and Revenue Goals</w:t>
      </w:r>
    </w:p>
    <w:p>
      <w:pPr>
        <w:spacing w:after="0" w:line="143" w:lineRule="exact"/>
        <w:rPr>
          <w:sz w:val="20"/>
          <w:szCs w:val="20"/>
          <w:color w:val="auto"/>
        </w:rPr>
      </w:pPr>
    </w:p>
    <w:p>
      <w:pPr>
        <w:ind w:right="60"/>
        <w:spacing w:after="0" w:line="227" w:lineRule="auto"/>
        <w:rPr>
          <w:sz w:val="20"/>
          <w:szCs w:val="20"/>
          <w:color w:val="auto"/>
        </w:rPr>
      </w:pPr>
      <w:r>
        <w:rPr>
          <w:rFonts w:ascii="Arial" w:cs="Arial" w:eastAsia="Arial" w:hAnsi="Arial"/>
          <w:sz w:val="15"/>
          <w:szCs w:val="15"/>
          <w:color w:val="auto"/>
        </w:rPr>
        <w:t>For 2021, the Committee continued its practice of setting threshold, target and outstanding goals for EPS and ROIC that were based on its view of appropriate rates of EPS growth compared to prior year achievement. Similarly, the Committee set threshold, target and outstanding goals for Revenue that were based on its view of appropriate Revenue growth. The Committee believed the threshold levels for EPS, ROIC and Revenue were the minimum levels at which it would be appropriate to earn an incentive, based on global economic conditions as they existed at the time when the goals were set in mid-February 2021. Each year the Committee sets targets based on macroeconomic factors and the Company’s business outlook for the coming year and does so independently of where the target levels have been set for the prior year. Given the cyclical nature of our business, this may result in targets being set lower than for the prior year, as occurred in 2021.</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EPS, ROIC and Revenue goals established by the Committee for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rPr>
                <w:sz w:val="21"/>
                <w:szCs w:val="21"/>
                <w:color w:val="auto"/>
              </w:rPr>
            </w:pPr>
          </w:p>
        </w:tc>
        <w:tc>
          <w:tcPr>
            <w:tcW w:w="3420" w:type="dxa"/>
            <w:vAlign w:val="bottom"/>
            <w:shd w:val="clear" w:color="auto" w:fill="EAEAEA"/>
          </w:tcPr>
          <w:p>
            <w:pPr>
              <w:ind w:left="60"/>
              <w:spacing w:after="0"/>
              <w:rPr>
                <w:sz w:val="20"/>
                <w:szCs w:val="20"/>
                <w:color w:val="auto"/>
              </w:rPr>
            </w:pPr>
            <w:r>
              <w:rPr>
                <w:rFonts w:ascii="Arial" w:cs="Arial" w:eastAsia="Arial" w:hAnsi="Arial"/>
                <w:sz w:val="14"/>
                <w:szCs w:val="14"/>
                <w:b w:val="1"/>
                <w:bCs w:val="1"/>
                <w:color w:val="5D89B4"/>
              </w:rPr>
              <w:t>METRIC</w:t>
            </w:r>
          </w:p>
        </w:tc>
        <w:tc>
          <w:tcPr>
            <w:tcW w:w="1280" w:type="dxa"/>
            <w:vAlign w:val="bottom"/>
            <w:shd w:val="clear" w:color="auto" w:fill="EAEAEA"/>
          </w:tcPr>
          <w:p>
            <w:pPr>
              <w:spacing w:after="0"/>
              <w:rPr>
                <w:sz w:val="21"/>
                <w:szCs w:val="21"/>
                <w:color w:val="auto"/>
              </w:rPr>
            </w:pPr>
          </w:p>
        </w:tc>
        <w:tc>
          <w:tcPr>
            <w:tcW w:w="1080" w:type="dxa"/>
            <w:vAlign w:val="bottom"/>
            <w:shd w:val="clear" w:color="auto" w:fill="EAEAEA"/>
          </w:tcPr>
          <w:p>
            <w:pPr>
              <w:jc w:val="right"/>
              <w:ind w:right="124"/>
              <w:spacing w:after="0"/>
              <w:rPr>
                <w:sz w:val="20"/>
                <w:szCs w:val="20"/>
                <w:color w:val="auto"/>
              </w:rPr>
            </w:pPr>
            <w:r>
              <w:rPr>
                <w:rFonts w:ascii="Arial" w:cs="Arial" w:eastAsia="Arial" w:hAnsi="Arial"/>
                <w:sz w:val="14"/>
                <w:szCs w:val="14"/>
                <w:b w:val="1"/>
                <w:bCs w:val="1"/>
                <w:color w:val="5D89B4"/>
                <w:w w:val="98"/>
              </w:rPr>
              <w:t>THRESHOLD</w:t>
            </w:r>
          </w:p>
        </w:tc>
        <w:tc>
          <w:tcPr>
            <w:tcW w:w="1720" w:type="dxa"/>
            <w:vAlign w:val="bottom"/>
            <w:gridSpan w:val="2"/>
            <w:shd w:val="clear" w:color="auto" w:fill="EAEAEA"/>
          </w:tcPr>
          <w:p>
            <w:pPr>
              <w:ind w:left="720"/>
              <w:spacing w:after="0"/>
              <w:rPr>
                <w:sz w:val="20"/>
                <w:szCs w:val="20"/>
                <w:color w:val="auto"/>
              </w:rPr>
            </w:pPr>
            <w:r>
              <w:rPr>
                <w:rFonts w:ascii="Arial" w:cs="Arial" w:eastAsia="Arial" w:hAnsi="Arial"/>
                <w:sz w:val="14"/>
                <w:szCs w:val="14"/>
                <w:b w:val="1"/>
                <w:bCs w:val="1"/>
                <w:color w:val="5D89B4"/>
              </w:rPr>
              <w:t>TARGET</w:t>
            </w:r>
          </w:p>
        </w:tc>
        <w:tc>
          <w:tcPr>
            <w:tcW w:w="1660" w:type="dxa"/>
            <w:vAlign w:val="bottom"/>
            <w:gridSpan w:val="2"/>
            <w:shd w:val="clear" w:color="auto" w:fill="EAEAEA"/>
          </w:tcPr>
          <w:p>
            <w:pPr>
              <w:ind w:left="300"/>
              <w:spacing w:after="0"/>
              <w:rPr>
                <w:sz w:val="20"/>
                <w:szCs w:val="20"/>
                <w:color w:val="auto"/>
              </w:rPr>
            </w:pPr>
            <w:r>
              <w:rPr>
                <w:rFonts w:ascii="Arial" w:cs="Arial" w:eastAsia="Arial" w:hAnsi="Arial"/>
                <w:sz w:val="14"/>
                <w:szCs w:val="14"/>
                <w:b w:val="1"/>
                <w:bCs w:val="1"/>
                <w:color w:val="5D89B4"/>
              </w:rPr>
              <w:t>OUTSTANDING</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900" w:type="dxa"/>
            <w:vAlign w:val="bottom"/>
          </w:tcPr>
          <w:p>
            <w:pPr>
              <w:spacing w:after="0"/>
              <w:rPr>
                <w:sz w:val="19"/>
                <w:szCs w:val="19"/>
                <w:color w:val="auto"/>
              </w:rPr>
            </w:pPr>
          </w:p>
        </w:tc>
        <w:tc>
          <w:tcPr>
            <w:tcW w:w="3420" w:type="dxa"/>
            <w:vAlign w:val="bottom"/>
            <w:vMerge w:val="restart"/>
            <w:shd w:val="clear" w:color="auto" w:fill="EAEAEA"/>
          </w:tcPr>
          <w:p>
            <w:pPr>
              <w:ind w:left="740"/>
              <w:spacing w:after="0"/>
              <w:rPr>
                <w:sz w:val="20"/>
                <w:szCs w:val="20"/>
                <w:color w:val="auto"/>
              </w:rPr>
            </w:pPr>
            <w:r>
              <w:rPr>
                <w:rFonts w:ascii="Arial" w:cs="Arial" w:eastAsia="Arial" w:hAnsi="Arial"/>
                <w:sz w:val="14"/>
                <w:szCs w:val="14"/>
                <w:b w:val="1"/>
                <w:bCs w:val="1"/>
                <w:color w:val="auto"/>
              </w:rPr>
              <w:t>PAYOUT AS A % OF TARGET</w:t>
            </w:r>
          </w:p>
        </w:tc>
        <w:tc>
          <w:tcPr>
            <w:tcW w:w="2360" w:type="dxa"/>
            <w:vAlign w:val="bottom"/>
            <w:gridSpan w:val="2"/>
            <w:shd w:val="clear" w:color="auto" w:fill="EAEAEA"/>
          </w:tcPr>
          <w:p>
            <w:pPr>
              <w:jc w:val="right"/>
              <w:ind w:right="124"/>
              <w:spacing w:after="0"/>
              <w:rPr>
                <w:sz w:val="20"/>
                <w:szCs w:val="20"/>
                <w:color w:val="auto"/>
              </w:rPr>
            </w:pPr>
            <w:r>
              <w:rPr>
                <w:rFonts w:ascii="Arial" w:cs="Arial" w:eastAsia="Arial" w:hAnsi="Arial"/>
                <w:sz w:val="14"/>
                <w:szCs w:val="14"/>
                <w:b w:val="1"/>
                <w:bCs w:val="1"/>
                <w:color w:val="5D89B4"/>
              </w:rPr>
              <w:t>CEO AND CFO: 25%</w:t>
            </w:r>
          </w:p>
        </w:tc>
        <w:tc>
          <w:tcPr>
            <w:tcW w:w="1000" w:type="dxa"/>
            <w:vAlign w:val="bottom"/>
            <w:shd w:val="clear" w:color="auto" w:fill="EAEAEA"/>
          </w:tcPr>
          <w:p>
            <w:pPr>
              <w:spacing w:after="0"/>
              <w:rPr>
                <w:sz w:val="19"/>
                <w:szCs w:val="19"/>
                <w:color w:val="auto"/>
              </w:rPr>
            </w:pPr>
          </w:p>
        </w:tc>
        <w:tc>
          <w:tcPr>
            <w:tcW w:w="720" w:type="dxa"/>
            <w:vAlign w:val="bottom"/>
            <w:shd w:val="clear" w:color="auto" w:fill="EAEAEA"/>
          </w:tcPr>
          <w:p>
            <w:pPr>
              <w:spacing w:after="0"/>
              <w:rPr>
                <w:sz w:val="19"/>
                <w:szCs w:val="19"/>
                <w:color w:val="auto"/>
              </w:rPr>
            </w:pPr>
          </w:p>
        </w:tc>
        <w:tc>
          <w:tcPr>
            <w:tcW w:w="1660" w:type="dxa"/>
            <w:vAlign w:val="bottom"/>
            <w:gridSpan w:val="2"/>
            <w:vMerge w:val="restart"/>
            <w:shd w:val="clear" w:color="auto" w:fill="EAEAEA"/>
          </w:tcPr>
          <w:p>
            <w:pPr>
              <w:ind w:left="280"/>
              <w:spacing w:after="0"/>
              <w:rPr>
                <w:sz w:val="20"/>
                <w:szCs w:val="20"/>
                <w:color w:val="auto"/>
              </w:rPr>
            </w:pPr>
            <w:r>
              <w:rPr>
                <w:rFonts w:ascii="Arial" w:cs="Arial" w:eastAsia="Arial" w:hAnsi="Arial"/>
                <w:sz w:val="14"/>
                <w:szCs w:val="14"/>
                <w:b w:val="1"/>
                <w:bCs w:val="1"/>
                <w:color w:val="5D89B4"/>
              </w:rPr>
              <w:t>All NEOs: 200%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00" w:type="dxa"/>
            <w:vAlign w:val="bottom"/>
          </w:tcPr>
          <w:p>
            <w:pPr>
              <w:spacing w:after="0"/>
              <w:rPr>
                <w:sz w:val="9"/>
                <w:szCs w:val="9"/>
                <w:color w:val="auto"/>
              </w:rPr>
            </w:pPr>
          </w:p>
        </w:tc>
        <w:tc>
          <w:tcPr>
            <w:tcW w:w="3420" w:type="dxa"/>
            <w:vAlign w:val="bottom"/>
            <w:vMerge w:val="continue"/>
            <w:shd w:val="clear" w:color="auto" w:fill="EAEAEA"/>
          </w:tcPr>
          <w:p>
            <w:pPr>
              <w:spacing w:after="0"/>
              <w:rPr>
                <w:sz w:val="9"/>
                <w:szCs w:val="9"/>
                <w:color w:val="auto"/>
              </w:rPr>
            </w:pPr>
          </w:p>
        </w:tc>
        <w:tc>
          <w:tcPr>
            <w:tcW w:w="2360" w:type="dxa"/>
            <w:vAlign w:val="bottom"/>
            <w:gridSpan w:val="2"/>
            <w:vMerge w:val="restart"/>
            <w:shd w:val="clear" w:color="auto" w:fill="EAEAEA"/>
          </w:tcPr>
          <w:p>
            <w:pPr>
              <w:jc w:val="right"/>
              <w:ind w:right="124"/>
              <w:spacing w:after="0"/>
              <w:rPr>
                <w:sz w:val="20"/>
                <w:szCs w:val="20"/>
                <w:color w:val="auto"/>
              </w:rPr>
            </w:pPr>
            <w:r>
              <w:rPr>
                <w:rFonts w:ascii="Arial" w:cs="Arial" w:eastAsia="Arial" w:hAnsi="Arial"/>
                <w:sz w:val="14"/>
                <w:szCs w:val="14"/>
                <w:b w:val="1"/>
                <w:bCs w:val="1"/>
                <w:color w:val="5D89B4"/>
              </w:rPr>
              <w:t>Other NEOs: 33%</w:t>
            </w:r>
          </w:p>
        </w:tc>
        <w:tc>
          <w:tcPr>
            <w:tcW w:w="1000" w:type="dxa"/>
            <w:vAlign w:val="bottom"/>
            <w:shd w:val="clear" w:color="auto" w:fill="EAEAEA"/>
          </w:tcPr>
          <w:p>
            <w:pPr>
              <w:spacing w:after="0"/>
              <w:rPr>
                <w:sz w:val="9"/>
                <w:szCs w:val="9"/>
                <w:color w:val="auto"/>
              </w:rPr>
            </w:pPr>
          </w:p>
        </w:tc>
        <w:tc>
          <w:tcPr>
            <w:tcW w:w="720" w:type="dxa"/>
            <w:vAlign w:val="bottom"/>
            <w:shd w:val="clear" w:color="auto" w:fill="EAEAEA"/>
          </w:tcPr>
          <w:p>
            <w:pPr>
              <w:spacing w:after="0"/>
              <w:rPr>
                <w:sz w:val="9"/>
                <w:szCs w:val="9"/>
                <w:color w:val="auto"/>
              </w:rPr>
            </w:pPr>
          </w:p>
        </w:tc>
        <w:tc>
          <w:tcPr>
            <w:tcW w:w="1660" w:type="dxa"/>
            <w:vAlign w:val="bottom"/>
            <w:gridSpan w:val="2"/>
            <w:vMerge w:val="continue"/>
            <w:shd w:val="clear" w:color="auto" w:fill="EAEAEA"/>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3420" w:type="dxa"/>
            <w:vAlign w:val="bottom"/>
            <w:shd w:val="clear" w:color="auto" w:fill="EAEAEA"/>
          </w:tcPr>
          <w:p>
            <w:pPr>
              <w:spacing w:after="0"/>
              <w:rPr>
                <w:sz w:val="6"/>
                <w:szCs w:val="6"/>
                <w:color w:val="auto"/>
              </w:rPr>
            </w:pPr>
          </w:p>
        </w:tc>
        <w:tc>
          <w:tcPr>
            <w:tcW w:w="2360" w:type="dxa"/>
            <w:vAlign w:val="bottom"/>
            <w:gridSpan w:val="2"/>
            <w:vMerge w:val="continue"/>
            <w:shd w:val="clear" w:color="auto" w:fill="EAEAEA"/>
          </w:tcPr>
          <w:p>
            <w:pPr>
              <w:spacing w:after="0"/>
              <w:rPr>
                <w:sz w:val="6"/>
                <w:szCs w:val="6"/>
                <w:color w:val="auto"/>
              </w:rPr>
            </w:pPr>
          </w:p>
        </w:tc>
        <w:tc>
          <w:tcPr>
            <w:tcW w:w="1000" w:type="dxa"/>
            <w:vAlign w:val="bottom"/>
            <w:shd w:val="clear" w:color="auto" w:fill="EAEAEA"/>
          </w:tcPr>
          <w:p>
            <w:pPr>
              <w:spacing w:after="0"/>
              <w:rPr>
                <w:sz w:val="6"/>
                <w:szCs w:val="6"/>
                <w:color w:val="auto"/>
              </w:rPr>
            </w:pPr>
          </w:p>
        </w:tc>
        <w:tc>
          <w:tcPr>
            <w:tcW w:w="720" w:type="dxa"/>
            <w:vAlign w:val="bottom"/>
            <w:shd w:val="clear" w:color="auto" w:fill="EAEAEA"/>
          </w:tcPr>
          <w:p>
            <w:pPr>
              <w:spacing w:after="0"/>
              <w:rPr>
                <w:sz w:val="6"/>
                <w:szCs w:val="6"/>
                <w:color w:val="auto"/>
              </w:rPr>
            </w:pPr>
          </w:p>
        </w:tc>
        <w:tc>
          <w:tcPr>
            <w:tcW w:w="700" w:type="dxa"/>
            <w:vAlign w:val="bottom"/>
            <w:shd w:val="clear" w:color="auto" w:fill="EAEAEA"/>
          </w:tcPr>
          <w:p>
            <w:pPr>
              <w:spacing w:after="0"/>
              <w:rPr>
                <w:sz w:val="6"/>
                <w:szCs w:val="6"/>
                <w:color w:val="auto"/>
              </w:rPr>
            </w:pPr>
          </w:p>
        </w:tc>
        <w:tc>
          <w:tcPr>
            <w:tcW w:w="960" w:type="dxa"/>
            <w:vAlign w:val="bottom"/>
            <w:shd w:val="clear" w:color="auto" w:fill="EAEAEA"/>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00" w:type="dxa"/>
            <w:vAlign w:val="bottom"/>
          </w:tcPr>
          <w:p>
            <w:pPr>
              <w:spacing w:after="0"/>
              <w:rPr>
                <w:sz w:val="5"/>
                <w:szCs w:val="5"/>
                <w:color w:val="auto"/>
              </w:rPr>
            </w:pPr>
          </w:p>
        </w:tc>
        <w:tc>
          <w:tcPr>
            <w:tcW w:w="3420" w:type="dxa"/>
            <w:vAlign w:val="bottom"/>
            <w:shd w:val="clear" w:color="auto" w:fill="EAEAEA"/>
          </w:tcPr>
          <w:p>
            <w:pPr>
              <w:spacing w:after="0"/>
              <w:rPr>
                <w:sz w:val="5"/>
                <w:szCs w:val="5"/>
                <w:color w:val="auto"/>
              </w:rPr>
            </w:pPr>
          </w:p>
        </w:tc>
        <w:tc>
          <w:tcPr>
            <w:tcW w:w="1280" w:type="dxa"/>
            <w:vAlign w:val="bottom"/>
            <w:shd w:val="clear" w:color="auto" w:fill="EAEAEA"/>
          </w:tcPr>
          <w:p>
            <w:pPr>
              <w:spacing w:after="0"/>
              <w:rPr>
                <w:sz w:val="5"/>
                <w:szCs w:val="5"/>
                <w:color w:val="auto"/>
              </w:rPr>
            </w:pPr>
          </w:p>
        </w:tc>
        <w:tc>
          <w:tcPr>
            <w:tcW w:w="1080" w:type="dxa"/>
            <w:vAlign w:val="bottom"/>
            <w:shd w:val="clear" w:color="auto" w:fill="EAEAEA"/>
          </w:tcPr>
          <w:p>
            <w:pPr>
              <w:spacing w:after="0"/>
              <w:rPr>
                <w:sz w:val="5"/>
                <w:szCs w:val="5"/>
                <w:color w:val="auto"/>
              </w:rPr>
            </w:pPr>
          </w:p>
        </w:tc>
        <w:tc>
          <w:tcPr>
            <w:tcW w:w="1000" w:type="dxa"/>
            <w:vAlign w:val="bottom"/>
            <w:shd w:val="clear" w:color="auto" w:fill="EAEAEA"/>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960" w:type="dxa"/>
            <w:vAlign w:val="bottom"/>
            <w:shd w:val="clear" w:color="auto" w:fill="EAEAEA"/>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3420" w:type="dxa"/>
            <w:vAlign w:val="bottom"/>
          </w:tcPr>
          <w:p>
            <w:pPr>
              <w:ind w:left="60"/>
              <w:spacing w:after="0"/>
              <w:rPr>
                <w:sz w:val="20"/>
                <w:szCs w:val="20"/>
                <w:color w:val="auto"/>
              </w:rPr>
            </w:pPr>
            <w:r>
              <w:rPr>
                <w:rFonts w:ascii="Arial" w:cs="Arial" w:eastAsia="Arial" w:hAnsi="Arial"/>
                <w:sz w:val="14"/>
                <w:szCs w:val="14"/>
                <w:b w:val="1"/>
                <w:bCs w:val="1"/>
                <w:color w:val="auto"/>
              </w:rPr>
              <w:t>EPS (weighted 25%)</w:t>
            </w:r>
          </w:p>
        </w:tc>
        <w:tc>
          <w:tcPr>
            <w:tcW w:w="1280" w:type="dxa"/>
            <w:vAlign w:val="bottom"/>
          </w:tcPr>
          <w:p>
            <w:pPr>
              <w:jc w:val="right"/>
              <w:ind w:right="322"/>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3.79</w:t>
            </w:r>
          </w:p>
        </w:tc>
        <w:tc>
          <w:tcPr>
            <w:tcW w:w="1000" w:type="dxa"/>
            <w:vAlign w:val="bottom"/>
          </w:tcPr>
          <w:p>
            <w:pPr>
              <w:ind w:left="7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344"/>
              <w:spacing w:after="0"/>
              <w:rPr>
                <w:sz w:val="20"/>
                <w:szCs w:val="20"/>
                <w:color w:val="auto"/>
              </w:rPr>
            </w:pPr>
            <w:r>
              <w:rPr>
                <w:rFonts w:ascii="Arial" w:cs="Arial" w:eastAsia="Arial" w:hAnsi="Arial"/>
                <w:sz w:val="15"/>
                <w:szCs w:val="15"/>
                <w:color w:val="auto"/>
                <w:w w:val="95"/>
              </w:rPr>
              <w:t>5.10</w:t>
            </w:r>
          </w:p>
        </w:tc>
        <w:tc>
          <w:tcPr>
            <w:tcW w:w="700" w:type="dxa"/>
            <w:vAlign w:val="bottom"/>
          </w:tcPr>
          <w:p>
            <w:pPr>
              <w:ind w:left="260"/>
              <w:spacing w:after="0"/>
              <w:rPr>
                <w:sz w:val="20"/>
                <w:szCs w:val="20"/>
                <w:color w:val="auto"/>
              </w:rPr>
            </w:pPr>
            <w:r>
              <w:rPr>
                <w:rFonts w:ascii="Arial" w:cs="Arial" w:eastAsia="Arial" w:hAnsi="Arial"/>
                <w:sz w:val="15"/>
                <w:szCs w:val="15"/>
                <w:color w:val="auto"/>
              </w:rPr>
              <w:t>$</w:t>
            </w:r>
          </w:p>
        </w:tc>
        <w:tc>
          <w:tcPr>
            <w:tcW w:w="960" w:type="dxa"/>
            <w:vAlign w:val="bottom"/>
          </w:tcPr>
          <w:p>
            <w:pPr>
              <w:ind w:left="340"/>
              <w:spacing w:after="0"/>
              <w:rPr>
                <w:sz w:val="20"/>
                <w:szCs w:val="20"/>
                <w:color w:val="auto"/>
              </w:rPr>
            </w:pPr>
            <w:r>
              <w:rPr>
                <w:rFonts w:ascii="Arial" w:cs="Arial" w:eastAsia="Arial" w:hAnsi="Arial"/>
                <w:sz w:val="15"/>
                <w:szCs w:val="15"/>
                <w:color w:val="auto"/>
              </w:rPr>
              <w:t>6.22</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342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900" w:type="dxa"/>
            <w:vAlign w:val="bottom"/>
          </w:tcPr>
          <w:p>
            <w:pPr>
              <w:spacing w:after="0"/>
              <w:rPr>
                <w:sz w:val="19"/>
                <w:szCs w:val="19"/>
                <w:color w:val="auto"/>
              </w:rPr>
            </w:pPr>
          </w:p>
        </w:tc>
        <w:tc>
          <w:tcPr>
            <w:tcW w:w="3420" w:type="dxa"/>
            <w:vAlign w:val="bottom"/>
          </w:tcPr>
          <w:p>
            <w:pPr>
              <w:ind w:left="60"/>
              <w:spacing w:after="0"/>
              <w:rPr>
                <w:sz w:val="20"/>
                <w:szCs w:val="20"/>
                <w:color w:val="auto"/>
              </w:rPr>
            </w:pPr>
            <w:r>
              <w:rPr>
                <w:rFonts w:ascii="Arial" w:cs="Arial" w:eastAsia="Arial" w:hAnsi="Arial"/>
                <w:sz w:val="14"/>
                <w:szCs w:val="14"/>
                <w:b w:val="1"/>
                <w:bCs w:val="1"/>
                <w:color w:val="auto"/>
              </w:rPr>
              <w:t>ROIC (weighted 25%)</w:t>
            </w:r>
          </w:p>
        </w:tc>
        <w:tc>
          <w:tcPr>
            <w:tcW w:w="1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6.8%</w:t>
            </w:r>
          </w:p>
        </w:tc>
        <w:tc>
          <w:tcPr>
            <w:tcW w:w="1000" w:type="dxa"/>
            <w:vAlign w:val="bottom"/>
          </w:tcPr>
          <w:p>
            <w:pPr>
              <w:spacing w:after="0"/>
              <w:rPr>
                <w:sz w:val="19"/>
                <w:szCs w:val="19"/>
                <w:color w:val="auto"/>
              </w:rPr>
            </w:pPr>
          </w:p>
        </w:tc>
        <w:tc>
          <w:tcPr>
            <w:tcW w:w="720" w:type="dxa"/>
            <w:vAlign w:val="bottom"/>
          </w:tcPr>
          <w:p>
            <w:pPr>
              <w:jc w:val="right"/>
              <w:ind w:right="204"/>
              <w:spacing w:after="0"/>
              <w:rPr>
                <w:sz w:val="20"/>
                <w:szCs w:val="20"/>
                <w:color w:val="auto"/>
              </w:rPr>
            </w:pPr>
            <w:r>
              <w:rPr>
                <w:rFonts w:ascii="Arial" w:cs="Arial" w:eastAsia="Arial" w:hAnsi="Arial"/>
                <w:sz w:val="15"/>
                <w:szCs w:val="15"/>
                <w:color w:val="auto"/>
              </w:rPr>
              <w:t>9.1%</w:t>
            </w:r>
          </w:p>
        </w:tc>
        <w:tc>
          <w:tcPr>
            <w:tcW w:w="700" w:type="dxa"/>
            <w:vAlign w:val="bottom"/>
          </w:tcPr>
          <w:p>
            <w:pPr>
              <w:spacing w:after="0"/>
              <w:rPr>
                <w:sz w:val="19"/>
                <w:szCs w:val="19"/>
                <w:color w:val="auto"/>
              </w:rPr>
            </w:pPr>
          </w:p>
        </w:tc>
        <w:tc>
          <w:tcPr>
            <w:tcW w:w="960" w:type="dxa"/>
            <w:vAlign w:val="bottom"/>
          </w:tcPr>
          <w:p>
            <w:pPr>
              <w:ind w:left="340"/>
              <w:spacing w:after="0"/>
              <w:rPr>
                <w:sz w:val="20"/>
                <w:szCs w:val="20"/>
                <w:color w:val="auto"/>
              </w:rPr>
            </w:pPr>
            <w:r>
              <w:rPr>
                <w:rFonts w:ascii="Arial" w:cs="Arial" w:eastAsia="Arial" w:hAnsi="Arial"/>
                <w:sz w:val="15"/>
                <w:szCs w:val="15"/>
                <w:color w:val="auto"/>
              </w:rPr>
              <w:t>11.0%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342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900" w:type="dxa"/>
            <w:vAlign w:val="bottom"/>
          </w:tcPr>
          <w:p>
            <w:pPr>
              <w:spacing w:after="0"/>
              <w:rPr>
                <w:sz w:val="19"/>
                <w:szCs w:val="19"/>
                <w:color w:val="auto"/>
              </w:rPr>
            </w:pPr>
          </w:p>
        </w:tc>
        <w:tc>
          <w:tcPr>
            <w:tcW w:w="3420" w:type="dxa"/>
            <w:vAlign w:val="bottom"/>
          </w:tcPr>
          <w:p>
            <w:pPr>
              <w:ind w:left="60"/>
              <w:spacing w:after="0"/>
              <w:rPr>
                <w:sz w:val="20"/>
                <w:szCs w:val="20"/>
                <w:color w:val="auto"/>
              </w:rPr>
            </w:pPr>
            <w:r>
              <w:rPr>
                <w:rFonts w:ascii="Arial" w:cs="Arial" w:eastAsia="Arial" w:hAnsi="Arial"/>
                <w:sz w:val="14"/>
                <w:szCs w:val="14"/>
                <w:b w:val="1"/>
                <w:bCs w:val="1"/>
                <w:color w:val="auto"/>
              </w:rPr>
              <w:t>Revenue (in billions) (weighted 20%)</w:t>
            </w:r>
          </w:p>
        </w:tc>
        <w:tc>
          <w:tcPr>
            <w:tcW w:w="1280" w:type="dxa"/>
            <w:vAlign w:val="bottom"/>
          </w:tcPr>
          <w:p>
            <w:pPr>
              <w:jc w:val="right"/>
              <w:ind w:right="322"/>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18.3</w:t>
            </w:r>
          </w:p>
        </w:tc>
        <w:tc>
          <w:tcPr>
            <w:tcW w:w="1000" w:type="dxa"/>
            <w:vAlign w:val="bottom"/>
          </w:tcPr>
          <w:p>
            <w:pPr>
              <w:ind w:left="7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344"/>
              <w:spacing w:after="0"/>
              <w:rPr>
                <w:sz w:val="20"/>
                <w:szCs w:val="20"/>
                <w:color w:val="auto"/>
              </w:rPr>
            </w:pPr>
            <w:r>
              <w:rPr>
                <w:rFonts w:ascii="Arial" w:cs="Arial" w:eastAsia="Arial" w:hAnsi="Arial"/>
                <w:sz w:val="15"/>
                <w:szCs w:val="15"/>
                <w:color w:val="auto"/>
                <w:w w:val="95"/>
              </w:rPr>
              <w:t>19.2</w:t>
            </w:r>
          </w:p>
        </w:tc>
        <w:tc>
          <w:tcPr>
            <w:tcW w:w="700" w:type="dxa"/>
            <w:vAlign w:val="bottom"/>
          </w:tcPr>
          <w:p>
            <w:pPr>
              <w:ind w:left="260"/>
              <w:spacing w:after="0"/>
              <w:rPr>
                <w:sz w:val="20"/>
                <w:szCs w:val="20"/>
                <w:color w:val="auto"/>
              </w:rPr>
            </w:pPr>
            <w:r>
              <w:rPr>
                <w:rFonts w:ascii="Arial" w:cs="Arial" w:eastAsia="Arial" w:hAnsi="Arial"/>
                <w:sz w:val="15"/>
                <w:szCs w:val="15"/>
                <w:color w:val="auto"/>
              </w:rPr>
              <w:t>$</w:t>
            </w:r>
          </w:p>
        </w:tc>
        <w:tc>
          <w:tcPr>
            <w:tcW w:w="960" w:type="dxa"/>
            <w:vAlign w:val="bottom"/>
          </w:tcPr>
          <w:p>
            <w:pPr>
              <w:ind w:left="340"/>
              <w:spacing w:after="0"/>
              <w:rPr>
                <w:sz w:val="20"/>
                <w:szCs w:val="20"/>
                <w:color w:val="auto"/>
              </w:rPr>
            </w:pPr>
            <w:r>
              <w:rPr>
                <w:rFonts w:ascii="Arial" w:cs="Arial" w:eastAsia="Arial" w:hAnsi="Arial"/>
                <w:sz w:val="15"/>
                <w:szCs w:val="15"/>
                <w:color w:val="auto"/>
              </w:rPr>
              <w:t>19.9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342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2080" w:type="dxa"/>
            <w:vAlign w:val="bottom"/>
            <w:tcBorders>
              <w:bottom w:val="single" w:sz="8" w:color="5D89B4"/>
            </w:tcBorders>
            <w:gridSpan w:val="2"/>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900" w:type="dxa"/>
            <w:vAlign w:val="bottom"/>
            <w:tcBorders>
              <w:bottom w:val="single" w:sz="8" w:color="5D89B4"/>
            </w:tcBorders>
          </w:tcPr>
          <w:p>
            <w:pPr>
              <w:spacing w:after="0"/>
              <w:rPr>
                <w:sz w:val="14"/>
                <w:szCs w:val="14"/>
                <w:color w:val="auto"/>
              </w:rPr>
            </w:pPr>
          </w:p>
        </w:tc>
        <w:tc>
          <w:tcPr>
            <w:tcW w:w="3420" w:type="dxa"/>
            <w:vAlign w:val="bottom"/>
            <w:tcBorders>
              <w:bottom w:val="single" w:sz="8" w:color="5D89B4"/>
            </w:tcBorders>
          </w:tcPr>
          <w:p>
            <w:pPr>
              <w:spacing w:after="0"/>
              <w:rPr>
                <w:sz w:val="14"/>
                <w:szCs w:val="14"/>
                <w:color w:val="auto"/>
              </w:rPr>
            </w:pPr>
          </w:p>
        </w:tc>
        <w:tc>
          <w:tcPr>
            <w:tcW w:w="1280" w:type="dxa"/>
            <w:vAlign w:val="bottom"/>
            <w:tcBorders>
              <w:bottom w:val="single" w:sz="8" w:color="5D89B4"/>
            </w:tcBorders>
          </w:tcPr>
          <w:p>
            <w:pPr>
              <w:spacing w:after="0"/>
              <w:rPr>
                <w:sz w:val="14"/>
                <w:szCs w:val="14"/>
                <w:color w:val="auto"/>
              </w:rPr>
            </w:pPr>
          </w:p>
        </w:tc>
        <w:tc>
          <w:tcPr>
            <w:tcW w:w="2080" w:type="dxa"/>
            <w:vAlign w:val="bottom"/>
            <w:tcBorders>
              <w:bottom w:val="single" w:sz="8" w:color="5D89B4"/>
            </w:tcBorders>
            <w:gridSpan w:val="2"/>
          </w:tcPr>
          <w:p>
            <w:pPr>
              <w:spacing w:after="0"/>
              <w:rPr>
                <w:sz w:val="14"/>
                <w:szCs w:val="14"/>
                <w:color w:val="auto"/>
              </w:rPr>
            </w:pPr>
          </w:p>
        </w:tc>
        <w:tc>
          <w:tcPr>
            <w:tcW w:w="720" w:type="dxa"/>
            <w:vAlign w:val="bottom"/>
            <w:tcBorders>
              <w:bottom w:val="single" w:sz="8" w:color="5D89B4"/>
            </w:tcBorders>
          </w:tcPr>
          <w:p>
            <w:pPr>
              <w:spacing w:after="0"/>
              <w:rPr>
                <w:sz w:val="14"/>
                <w:szCs w:val="14"/>
                <w:color w:val="auto"/>
              </w:rPr>
            </w:pPr>
          </w:p>
        </w:tc>
        <w:tc>
          <w:tcPr>
            <w:tcW w:w="700" w:type="dxa"/>
            <w:vAlign w:val="bottom"/>
            <w:tcBorders>
              <w:bottom w:val="single" w:sz="8" w:color="5D89B4"/>
            </w:tcBorders>
          </w:tcPr>
          <w:p>
            <w:pPr>
              <w:spacing w:after="0"/>
              <w:rPr>
                <w:sz w:val="14"/>
                <w:szCs w:val="14"/>
                <w:color w:val="auto"/>
              </w:rPr>
            </w:pPr>
          </w:p>
        </w:tc>
        <w:tc>
          <w:tcPr>
            <w:tcW w:w="960" w:type="dxa"/>
            <w:vAlign w:val="bottom"/>
            <w:tcBorders>
              <w:bottom w:val="single" w:sz="8" w:color="5D89B4"/>
            </w:tcBorders>
          </w:tcPr>
          <w:p>
            <w:pPr>
              <w:spacing w:after="0"/>
              <w:rPr>
                <w:sz w:val="14"/>
                <w:szCs w:val="14"/>
                <w:color w:val="auto"/>
              </w:rPr>
            </w:pPr>
          </w:p>
        </w:tc>
        <w:tc>
          <w:tcPr>
            <w:tcW w:w="86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5D89B4"/>
              </w:rPr>
              <w:t>39</w:t>
            </w:r>
          </w:p>
        </w:tc>
        <w:tc>
          <w:tcPr>
            <w:tcW w:w="2080" w:type="dxa"/>
            <w:vAlign w:val="bottom"/>
            <w:gridSpan w:val="2"/>
          </w:tcPr>
          <w:p>
            <w:pPr>
              <w:ind w:left="420"/>
              <w:spacing w:after="0"/>
              <w:rPr>
                <w:sz w:val="20"/>
                <w:szCs w:val="20"/>
                <w:color w:val="auto"/>
              </w:rPr>
            </w:pPr>
            <w:r>
              <w:rPr>
                <w:rFonts w:ascii="Arial" w:cs="Arial" w:eastAsia="Arial" w:hAnsi="Arial"/>
                <w:sz w:val="16"/>
                <w:szCs w:val="16"/>
                <w:b w:val="1"/>
                <w:bCs w:val="1"/>
                <w:color w:val="BFBFBF"/>
                <w:w w:val="98"/>
              </w:rPr>
              <w:t>2022 Proxy Statement</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Annual Incentive Award Opportunities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total annual incentive award opportunities by NEO shown as a percentage of base salary:</w:t>
      </w:r>
    </w:p>
    <w:p>
      <w:pPr>
        <w:spacing w:after="0" w:line="232" w:lineRule="exact"/>
        <w:rPr>
          <w:sz w:val="20"/>
          <w:szCs w:val="20"/>
          <w:color w:val="auto"/>
        </w:rPr>
      </w:pPr>
    </w:p>
    <w:tbl>
      <w:tblPr>
        <w:tblLayout w:type="fixed"/>
        <w:tblInd w:w="900" w:type="dxa"/>
        <w:tblCellMar>
          <w:top w:w="0" w:type="dxa"/>
          <w:left w:w="0" w:type="dxa"/>
          <w:bottom w:w="0" w:type="dxa"/>
          <w:right w:w="0" w:type="dxa"/>
        </w:tblCellMar>
      </w:tblPr>
      <w:tr>
        <w:trPr>
          <w:trHeight w:val="214"/>
        </w:trPr>
        <w:tc>
          <w:tcPr>
            <w:tcW w:w="2540" w:type="dxa"/>
            <w:vAlign w:val="bottom"/>
            <w:shd w:val="clear" w:color="auto" w:fill="EAEAEA"/>
          </w:tcPr>
          <w:p>
            <w:pPr>
              <w:spacing w:after="0"/>
              <w:rPr>
                <w:sz w:val="18"/>
                <w:szCs w:val="18"/>
                <w:color w:val="auto"/>
              </w:rPr>
            </w:pPr>
          </w:p>
        </w:tc>
        <w:tc>
          <w:tcPr>
            <w:tcW w:w="2660" w:type="dxa"/>
            <w:vAlign w:val="bottom"/>
            <w:shd w:val="clear" w:color="auto" w:fill="EAEAEA"/>
          </w:tcPr>
          <w:p>
            <w:pPr>
              <w:jc w:val="right"/>
              <w:ind w:right="506"/>
              <w:spacing w:after="0"/>
              <w:rPr>
                <w:sz w:val="20"/>
                <w:szCs w:val="20"/>
                <w:color w:val="auto"/>
              </w:rPr>
            </w:pPr>
            <w:r>
              <w:rPr>
                <w:rFonts w:ascii="Arial" w:cs="Arial" w:eastAsia="Arial" w:hAnsi="Arial"/>
                <w:sz w:val="14"/>
                <w:szCs w:val="14"/>
                <w:b w:val="1"/>
                <w:bCs w:val="1"/>
                <w:color w:val="5D89B4"/>
              </w:rPr>
              <w:t>THRESHOLD AS</w:t>
            </w:r>
          </w:p>
        </w:tc>
        <w:tc>
          <w:tcPr>
            <w:tcW w:w="2060" w:type="dxa"/>
            <w:vAlign w:val="bottom"/>
            <w:shd w:val="clear" w:color="auto" w:fill="EAEAEA"/>
          </w:tcPr>
          <w:p>
            <w:pPr>
              <w:jc w:val="right"/>
              <w:ind w:right="426"/>
              <w:spacing w:after="0"/>
              <w:rPr>
                <w:sz w:val="20"/>
                <w:szCs w:val="20"/>
                <w:color w:val="auto"/>
              </w:rPr>
            </w:pPr>
            <w:r>
              <w:rPr>
                <w:rFonts w:ascii="Arial" w:cs="Arial" w:eastAsia="Arial" w:hAnsi="Arial"/>
                <w:sz w:val="14"/>
                <w:szCs w:val="14"/>
                <w:b w:val="1"/>
                <w:bCs w:val="1"/>
                <w:color w:val="5D89B4"/>
              </w:rPr>
              <w:t>TARGET AS</w:t>
            </w:r>
          </w:p>
        </w:tc>
        <w:tc>
          <w:tcPr>
            <w:tcW w:w="1900" w:type="dxa"/>
            <w:vAlign w:val="bottom"/>
            <w:shd w:val="clear" w:color="auto" w:fill="EAEAEA"/>
          </w:tcPr>
          <w:p>
            <w:pPr>
              <w:jc w:val="right"/>
              <w:ind w:right="186"/>
              <w:spacing w:after="0"/>
              <w:rPr>
                <w:sz w:val="20"/>
                <w:szCs w:val="20"/>
                <w:color w:val="auto"/>
              </w:rPr>
            </w:pPr>
            <w:r>
              <w:rPr>
                <w:rFonts w:ascii="Arial" w:cs="Arial" w:eastAsia="Arial" w:hAnsi="Arial"/>
                <w:sz w:val="14"/>
                <w:szCs w:val="14"/>
                <w:b w:val="1"/>
                <w:bCs w:val="1"/>
                <w:color w:val="5D89B4"/>
              </w:rPr>
              <w:t>OUTSTANDING AS</w:t>
            </w:r>
          </w:p>
        </w:tc>
      </w:tr>
      <w:tr>
        <w:trPr>
          <w:trHeight w:val="160"/>
        </w:trPr>
        <w:tc>
          <w:tcPr>
            <w:tcW w:w="2540" w:type="dxa"/>
            <w:vAlign w:val="bottom"/>
            <w:shd w:val="clear" w:color="auto" w:fill="EAEAEA"/>
          </w:tcPr>
          <w:p>
            <w:pPr>
              <w:spacing w:after="0"/>
              <w:rPr>
                <w:sz w:val="13"/>
                <w:szCs w:val="13"/>
                <w:color w:val="auto"/>
              </w:rPr>
            </w:pPr>
          </w:p>
        </w:tc>
        <w:tc>
          <w:tcPr>
            <w:tcW w:w="2660" w:type="dxa"/>
            <w:vAlign w:val="bottom"/>
            <w:shd w:val="clear" w:color="auto" w:fill="EAEAEA"/>
          </w:tcPr>
          <w:p>
            <w:pPr>
              <w:jc w:val="right"/>
              <w:ind w:right="506"/>
              <w:spacing w:after="0"/>
              <w:rPr>
                <w:sz w:val="20"/>
                <w:szCs w:val="20"/>
                <w:color w:val="auto"/>
              </w:rPr>
            </w:pPr>
            <w:r>
              <w:rPr>
                <w:rFonts w:ascii="Arial" w:cs="Arial" w:eastAsia="Arial" w:hAnsi="Arial"/>
                <w:sz w:val="14"/>
                <w:szCs w:val="14"/>
                <w:b w:val="1"/>
                <w:bCs w:val="1"/>
                <w:color w:val="5D89B4"/>
              </w:rPr>
              <w:t>A PERCENTAGE</w:t>
            </w:r>
          </w:p>
        </w:tc>
        <w:tc>
          <w:tcPr>
            <w:tcW w:w="2060" w:type="dxa"/>
            <w:vAlign w:val="bottom"/>
            <w:shd w:val="clear" w:color="auto" w:fill="EAEAEA"/>
          </w:tcPr>
          <w:p>
            <w:pPr>
              <w:jc w:val="right"/>
              <w:ind w:right="426"/>
              <w:spacing w:after="0"/>
              <w:rPr>
                <w:sz w:val="20"/>
                <w:szCs w:val="20"/>
                <w:color w:val="auto"/>
              </w:rPr>
            </w:pPr>
            <w:r>
              <w:rPr>
                <w:rFonts w:ascii="Arial" w:cs="Arial" w:eastAsia="Arial" w:hAnsi="Arial"/>
                <w:sz w:val="14"/>
                <w:szCs w:val="14"/>
                <w:b w:val="1"/>
                <w:bCs w:val="1"/>
                <w:color w:val="5D89B4"/>
              </w:rPr>
              <w:t>A PERCENTAGE</w:t>
            </w:r>
          </w:p>
        </w:tc>
        <w:tc>
          <w:tcPr>
            <w:tcW w:w="1900" w:type="dxa"/>
            <w:vAlign w:val="bottom"/>
            <w:shd w:val="clear" w:color="auto" w:fill="EAEAEA"/>
          </w:tcPr>
          <w:p>
            <w:pPr>
              <w:jc w:val="right"/>
              <w:ind w:right="186"/>
              <w:spacing w:after="0"/>
              <w:rPr>
                <w:sz w:val="20"/>
                <w:szCs w:val="20"/>
                <w:color w:val="auto"/>
              </w:rPr>
            </w:pPr>
            <w:r>
              <w:rPr>
                <w:rFonts w:ascii="Arial" w:cs="Arial" w:eastAsia="Arial" w:hAnsi="Arial"/>
                <w:sz w:val="14"/>
                <w:szCs w:val="14"/>
                <w:b w:val="1"/>
                <w:bCs w:val="1"/>
                <w:color w:val="5D89B4"/>
              </w:rPr>
              <w:t>A PERCENTAGE</w:t>
            </w:r>
          </w:p>
        </w:tc>
      </w:tr>
      <w:tr>
        <w:trPr>
          <w:trHeight w:val="221"/>
        </w:trPr>
        <w:tc>
          <w:tcPr>
            <w:tcW w:w="254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NEO</w:t>
            </w:r>
          </w:p>
        </w:tc>
        <w:tc>
          <w:tcPr>
            <w:tcW w:w="2660" w:type="dxa"/>
            <w:vAlign w:val="bottom"/>
            <w:tcBorders>
              <w:bottom w:val="single" w:sz="8" w:color="EAEAEA"/>
            </w:tcBorders>
            <w:shd w:val="clear" w:color="auto" w:fill="EAEAEA"/>
          </w:tcPr>
          <w:p>
            <w:pPr>
              <w:jc w:val="right"/>
              <w:ind w:right="506"/>
              <w:spacing w:after="0"/>
              <w:rPr>
                <w:sz w:val="20"/>
                <w:szCs w:val="20"/>
                <w:color w:val="auto"/>
              </w:rPr>
            </w:pPr>
            <w:r>
              <w:rPr>
                <w:rFonts w:ascii="Arial" w:cs="Arial" w:eastAsia="Arial" w:hAnsi="Arial"/>
                <w:sz w:val="14"/>
                <w:szCs w:val="14"/>
                <w:b w:val="1"/>
                <w:bCs w:val="1"/>
                <w:color w:val="5D89B4"/>
              </w:rPr>
              <w:t>OF SALARY</w:t>
            </w:r>
          </w:p>
        </w:tc>
        <w:tc>
          <w:tcPr>
            <w:tcW w:w="2060" w:type="dxa"/>
            <w:vAlign w:val="bottom"/>
            <w:tcBorders>
              <w:bottom w:val="single" w:sz="8" w:color="EAEAEA"/>
            </w:tcBorders>
            <w:shd w:val="clear" w:color="auto" w:fill="EAEAEA"/>
          </w:tcPr>
          <w:p>
            <w:pPr>
              <w:jc w:val="right"/>
              <w:ind w:right="426"/>
              <w:spacing w:after="0"/>
              <w:rPr>
                <w:sz w:val="20"/>
                <w:szCs w:val="20"/>
                <w:color w:val="auto"/>
              </w:rPr>
            </w:pPr>
            <w:r>
              <w:rPr>
                <w:rFonts w:ascii="Arial" w:cs="Arial" w:eastAsia="Arial" w:hAnsi="Arial"/>
                <w:sz w:val="14"/>
                <w:szCs w:val="14"/>
                <w:b w:val="1"/>
                <w:bCs w:val="1"/>
                <w:color w:val="5D89B4"/>
              </w:rPr>
              <w:t>OF SALARY</w:t>
            </w:r>
          </w:p>
        </w:tc>
        <w:tc>
          <w:tcPr>
            <w:tcW w:w="1900" w:type="dxa"/>
            <w:vAlign w:val="bottom"/>
            <w:tcBorders>
              <w:bottom w:val="single" w:sz="8" w:color="EAEAEA"/>
            </w:tcBorders>
            <w:shd w:val="clear" w:color="auto" w:fill="EAEAEA"/>
          </w:tcPr>
          <w:p>
            <w:pPr>
              <w:jc w:val="right"/>
              <w:ind w:right="186"/>
              <w:spacing w:after="0"/>
              <w:rPr>
                <w:sz w:val="20"/>
                <w:szCs w:val="20"/>
                <w:color w:val="auto"/>
              </w:rPr>
            </w:pPr>
            <w:r>
              <w:rPr>
                <w:rFonts w:ascii="Arial" w:cs="Arial" w:eastAsia="Arial" w:hAnsi="Arial"/>
                <w:sz w:val="14"/>
                <w:szCs w:val="14"/>
                <w:b w:val="1"/>
                <w:bCs w:val="1"/>
                <w:color w:val="5D89B4"/>
              </w:rPr>
              <w:t>OF SALARY</w:t>
            </w:r>
          </w:p>
        </w:tc>
      </w:tr>
      <w:tr>
        <w:trPr>
          <w:trHeight w:val="245"/>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Jonas Prising</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40.0%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160.0%</w:t>
            </w:r>
          </w:p>
        </w:tc>
        <w:tc>
          <w:tcPr>
            <w:tcW w:w="1900" w:type="dxa"/>
            <w:vAlign w:val="bottom"/>
          </w:tcPr>
          <w:p>
            <w:pPr>
              <w:jc w:val="right"/>
              <w:ind w:right="46"/>
              <w:spacing w:after="0"/>
              <w:rPr>
                <w:sz w:val="20"/>
                <w:szCs w:val="20"/>
                <w:color w:val="auto"/>
              </w:rPr>
            </w:pPr>
            <w:r>
              <w:rPr>
                <w:rFonts w:ascii="Arial" w:cs="Arial" w:eastAsia="Arial" w:hAnsi="Arial"/>
                <w:sz w:val="15"/>
                <w:szCs w:val="15"/>
                <w:color w:val="auto"/>
              </w:rPr>
              <w:t>320.0%</w:t>
            </w:r>
          </w:p>
        </w:tc>
      </w:tr>
      <w:tr>
        <w:trPr>
          <w:trHeight w:val="50"/>
        </w:trPr>
        <w:tc>
          <w:tcPr>
            <w:tcW w:w="254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John T. McGinnis</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27.5%</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110.0%</w:t>
            </w:r>
          </w:p>
        </w:tc>
        <w:tc>
          <w:tcPr>
            <w:tcW w:w="1900" w:type="dxa"/>
            <w:vAlign w:val="bottom"/>
          </w:tcPr>
          <w:p>
            <w:pPr>
              <w:jc w:val="right"/>
              <w:ind w:right="46"/>
              <w:spacing w:after="0"/>
              <w:rPr>
                <w:sz w:val="20"/>
                <w:szCs w:val="20"/>
                <w:color w:val="auto"/>
              </w:rPr>
            </w:pPr>
            <w:r>
              <w:rPr>
                <w:rFonts w:ascii="Arial" w:cs="Arial" w:eastAsia="Arial" w:hAnsi="Arial"/>
                <w:sz w:val="15"/>
                <w:szCs w:val="15"/>
                <w:color w:val="auto"/>
              </w:rPr>
              <w:t>220.0%</w:t>
            </w:r>
          </w:p>
        </w:tc>
      </w:tr>
      <w:tr>
        <w:trPr>
          <w:trHeight w:val="50"/>
        </w:trPr>
        <w:tc>
          <w:tcPr>
            <w:tcW w:w="254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Michelle S. Nettles</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25.0%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75.0%</w:t>
            </w:r>
          </w:p>
        </w:tc>
        <w:tc>
          <w:tcPr>
            <w:tcW w:w="1900" w:type="dxa"/>
            <w:vAlign w:val="bottom"/>
          </w:tcPr>
          <w:p>
            <w:pPr>
              <w:jc w:val="right"/>
              <w:ind w:right="46"/>
              <w:spacing w:after="0"/>
              <w:rPr>
                <w:sz w:val="20"/>
                <w:szCs w:val="20"/>
                <w:color w:val="auto"/>
              </w:rPr>
            </w:pPr>
            <w:r>
              <w:rPr>
                <w:rFonts w:ascii="Arial" w:cs="Arial" w:eastAsia="Arial" w:hAnsi="Arial"/>
                <w:sz w:val="15"/>
                <w:szCs w:val="15"/>
                <w:color w:val="auto"/>
              </w:rPr>
              <w:t>150.0%</w:t>
            </w:r>
          </w:p>
        </w:tc>
      </w:tr>
      <w:tr>
        <w:trPr>
          <w:trHeight w:val="50"/>
        </w:trPr>
        <w:tc>
          <w:tcPr>
            <w:tcW w:w="254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Richard Buchband</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25.0%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75.0%</w:t>
            </w:r>
          </w:p>
        </w:tc>
        <w:tc>
          <w:tcPr>
            <w:tcW w:w="1900" w:type="dxa"/>
            <w:vAlign w:val="bottom"/>
          </w:tcPr>
          <w:p>
            <w:pPr>
              <w:jc w:val="right"/>
              <w:ind w:right="46"/>
              <w:spacing w:after="0"/>
              <w:rPr>
                <w:sz w:val="20"/>
                <w:szCs w:val="20"/>
                <w:color w:val="auto"/>
              </w:rPr>
            </w:pPr>
            <w:r>
              <w:rPr>
                <w:rFonts w:ascii="Arial" w:cs="Arial" w:eastAsia="Arial" w:hAnsi="Arial"/>
                <w:sz w:val="15"/>
                <w:szCs w:val="15"/>
                <w:color w:val="auto"/>
              </w:rPr>
              <w:t>150.0%</w:t>
            </w:r>
          </w:p>
        </w:tc>
      </w:tr>
      <w:tr>
        <w:trPr>
          <w:trHeight w:val="50"/>
        </w:trPr>
        <w:tc>
          <w:tcPr>
            <w:tcW w:w="254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2021 Operating Objectives and Annual Incentive Award Payouts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Jonas Prising</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The operating objectives comprise 30% of the total annual incentive for Mr. Prising and were as follows for 2021:</w:t>
      </w:r>
    </w:p>
    <w:p>
      <w:pPr>
        <w:spacing w:after="0" w:line="68" w:lineRule="exact"/>
        <w:rPr>
          <w:sz w:val="20"/>
          <w:szCs w:val="20"/>
          <w:color w:val="auto"/>
        </w:rPr>
      </w:pPr>
    </w:p>
    <w:p>
      <w:pPr>
        <w:ind w:left="220" w:hanging="213"/>
        <w:spacing w:after="0"/>
        <w:tabs>
          <w:tab w:leader="none" w:pos="2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Execute strategic initiatives focused on digitization and transformation of the business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Diversify the business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Develop a robust and diverse talent pipeline, including deepening capabilities of employees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Test and execute new delivery models to drive innovation</w:t>
      </w:r>
    </w:p>
    <w:p>
      <w:pPr>
        <w:spacing w:after="0" w:line="135"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The Committee determined that Mr. Prising earned a cash incentive award for 2021 at the outstanding level for EPS, ROIC and Revenue. The Committee also approved an incentive award to Mr. Prising based on its determination of the level of performance towards achievement of his various operating objectives. Based on these accomplishments, the Committee determined to pay the 2021 award to Mr. Prising of $3,475,000. The following table illustrates Mr. Prising’s 2021 achievement of the performance targets in relation to the payment of his 2021 award:</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4"/>
        </w:trPr>
        <w:tc>
          <w:tcPr>
            <w:tcW w:w="3820" w:type="dxa"/>
            <w:vAlign w:val="bottom"/>
            <w:shd w:val="clear" w:color="auto" w:fill="EAEAEA"/>
          </w:tcPr>
          <w:p>
            <w:pPr>
              <w:spacing w:after="0"/>
              <w:rPr>
                <w:sz w:val="18"/>
                <w:szCs w:val="18"/>
                <w:color w:val="auto"/>
              </w:rPr>
            </w:pPr>
          </w:p>
        </w:tc>
        <w:tc>
          <w:tcPr>
            <w:tcW w:w="220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PERFORMANCE</w:t>
            </w:r>
          </w:p>
        </w:tc>
        <w:tc>
          <w:tcPr>
            <w:tcW w:w="2000" w:type="dxa"/>
            <w:vAlign w:val="bottom"/>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PERCENTAGE</w:t>
            </w:r>
          </w:p>
        </w:tc>
        <w:tc>
          <w:tcPr>
            <w:tcW w:w="380" w:type="dxa"/>
            <w:vAlign w:val="bottom"/>
            <w:shd w:val="clear" w:color="auto" w:fill="EAEAEA"/>
          </w:tcPr>
          <w:p>
            <w:pPr>
              <w:spacing w:after="0"/>
              <w:rPr>
                <w:sz w:val="18"/>
                <w:szCs w:val="18"/>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820" w:type="dxa"/>
            <w:vAlign w:val="bottom"/>
            <w:tcBorders>
              <w:bottom w:val="single" w:sz="8" w:color="EAEAEA"/>
            </w:tcBorders>
            <w:shd w:val="clear" w:color="auto" w:fill="EAEAEA"/>
          </w:tcPr>
          <w:p>
            <w:pPr>
              <w:spacing w:after="0"/>
              <w:rPr>
                <w:sz w:val="19"/>
                <w:szCs w:val="19"/>
                <w:color w:val="auto"/>
              </w:rPr>
            </w:pPr>
          </w:p>
        </w:tc>
        <w:tc>
          <w:tcPr>
            <w:tcW w:w="2200" w:type="dxa"/>
            <w:vAlign w:val="bottom"/>
            <w:tcBorders>
              <w:bottom w:val="single" w:sz="8" w:color="EAEAEA"/>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LEVEL</w:t>
            </w:r>
          </w:p>
        </w:tc>
        <w:tc>
          <w:tcPr>
            <w:tcW w:w="2000" w:type="dxa"/>
            <w:vAlign w:val="bottom"/>
            <w:tcBorders>
              <w:bottom w:val="single" w:sz="8" w:color="EAEAEA"/>
            </w:tcBorders>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OF 2021 SALARY</w:t>
            </w:r>
          </w:p>
        </w:tc>
        <w:tc>
          <w:tcPr>
            <w:tcW w:w="380" w:type="dxa"/>
            <w:vAlign w:val="bottom"/>
            <w:tcBorders>
              <w:bottom w:val="single" w:sz="8" w:color="EAEAEA"/>
            </w:tcBorders>
            <w:shd w:val="clear" w:color="auto" w:fill="EAEAEA"/>
          </w:tcPr>
          <w:p>
            <w:pPr>
              <w:spacing w:after="0"/>
              <w:rPr>
                <w:sz w:val="19"/>
                <w:szCs w:val="19"/>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200" w:type="dxa"/>
            <w:vAlign w:val="bottom"/>
          </w:tcPr>
          <w:p>
            <w:pPr>
              <w:jc w:val="right"/>
              <w:ind w:right="306"/>
              <w:spacing w:after="0"/>
              <w:rPr>
                <w:sz w:val="20"/>
                <w:szCs w:val="20"/>
                <w:color w:val="auto"/>
              </w:rPr>
            </w:pPr>
            <w:r>
              <w:rPr>
                <w:rFonts w:ascii="Arial" w:cs="Arial" w:eastAsia="Arial" w:hAnsi="Arial"/>
                <w:sz w:val="15"/>
                <w:szCs w:val="15"/>
                <w:color w:val="auto"/>
              </w:rPr>
              <w:t>At Outstanding</w:t>
            </w: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80.0%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1,000,000</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200" w:type="dxa"/>
            <w:vAlign w:val="bottom"/>
          </w:tcPr>
          <w:p>
            <w:pPr>
              <w:jc w:val="right"/>
              <w:ind w:right="306"/>
              <w:spacing w:after="0"/>
              <w:rPr>
                <w:sz w:val="20"/>
                <w:szCs w:val="20"/>
                <w:color w:val="auto"/>
              </w:rPr>
            </w:pPr>
            <w:r>
              <w:rPr>
                <w:rFonts w:ascii="Arial" w:cs="Arial" w:eastAsia="Arial" w:hAnsi="Arial"/>
                <w:sz w:val="15"/>
                <w:szCs w:val="15"/>
                <w:color w:val="auto"/>
              </w:rPr>
              <w:t>At Outstanding</w:t>
            </w: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80.0%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1,000,000</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200" w:type="dxa"/>
            <w:vAlign w:val="bottom"/>
          </w:tcPr>
          <w:p>
            <w:pPr>
              <w:jc w:val="right"/>
              <w:ind w:right="306"/>
              <w:spacing w:after="0"/>
              <w:rPr>
                <w:sz w:val="20"/>
                <w:szCs w:val="20"/>
                <w:color w:val="auto"/>
              </w:rPr>
            </w:pPr>
            <w:r>
              <w:rPr>
                <w:rFonts w:ascii="Arial" w:cs="Arial" w:eastAsia="Arial" w:hAnsi="Arial"/>
                <w:sz w:val="15"/>
                <w:szCs w:val="15"/>
                <w:color w:val="auto"/>
              </w:rPr>
              <w:t>At Outstanding</w:t>
            </w: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64.0%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800,000</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w:t>
            </w:r>
          </w:p>
        </w:tc>
        <w:tc>
          <w:tcPr>
            <w:tcW w:w="2200" w:type="dxa"/>
            <w:vAlign w:val="bottom"/>
          </w:tcPr>
          <w:p>
            <w:pPr>
              <w:jc w:val="right"/>
              <w:ind w:right="306"/>
              <w:spacing w:after="0"/>
              <w:rPr>
                <w:sz w:val="20"/>
                <w:szCs w:val="20"/>
                <w:color w:val="auto"/>
              </w:rPr>
            </w:pPr>
            <w:r>
              <w:rPr>
                <w:rFonts w:ascii="Arial" w:cs="Arial" w:eastAsia="Arial" w:hAnsi="Arial"/>
                <w:sz w:val="15"/>
                <w:szCs w:val="15"/>
                <w:color w:val="auto"/>
              </w:rPr>
              <w:t>Above Target</w:t>
            </w: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54.0%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675,000</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200" w:type="dxa"/>
            <w:vAlign w:val="bottom"/>
          </w:tcPr>
          <w:p>
            <w:pPr>
              <w:spacing w:after="0"/>
              <w:rPr>
                <w:sz w:val="19"/>
                <w:szCs w:val="19"/>
                <w:color w:val="auto"/>
              </w:rPr>
            </w:pP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278.0%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3,475,000</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bl>
    <w:p>
      <w:pPr>
        <w:spacing w:after="0" w:line="211" w:lineRule="exact"/>
        <w:rPr>
          <w:sz w:val="20"/>
          <w:szCs w:val="20"/>
          <w:color w:val="auto"/>
        </w:rPr>
      </w:pPr>
    </w:p>
    <w:p>
      <w:pPr>
        <w:ind w:right="560"/>
        <w:spacing w:after="0" w:line="237" w:lineRule="auto"/>
        <w:rPr>
          <w:sz w:val="20"/>
          <w:szCs w:val="20"/>
          <w:color w:val="auto"/>
        </w:rPr>
      </w:pPr>
      <w:r>
        <w:rPr>
          <w:rFonts w:ascii="Arial" w:cs="Arial" w:eastAsia="Arial" w:hAnsi="Arial"/>
          <w:sz w:val="15"/>
          <w:szCs w:val="15"/>
          <w:color w:val="auto"/>
        </w:rPr>
        <w:t>As previously stated, in adopting the financial targets for 2021, the Committee determined to exclude certain items from the calculation of EPS, ROIC and Revenue. See page 27 for a calculation of the 2021 financial metrics, including the impact of the certain items excluded.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John T. McGinnis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operating objectives comprise 30% of the total annual incentive for Mr. McGinnis and were as follows for 2021:</w:t>
      </w:r>
    </w:p>
    <w:p>
      <w:pPr>
        <w:spacing w:after="0" w:line="68" w:lineRule="exact"/>
        <w:rPr>
          <w:sz w:val="20"/>
          <w:szCs w:val="20"/>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Deepen leadership impact to meet or exceed strategic and operational goals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Advance the Company’s growth strategy in certain brands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Continue to progress the Company’s disposition strategy</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Continue to strengthen the Company’s cybersecurity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69297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40</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40"/>
          </w:cols>
          <w:pgMar w:left="480" w:top="1165" w:right="579" w:bottom="1440" w:gutter="0" w:footer="0" w:header="0"/>
        </w:sectPr>
      </w:pPr>
    </w:p>
    <w:bookmarkStart w:id="52" w:name="page53"/>
    <w:bookmarkEnd w:id="52"/>
    <w:p>
      <w:pPr>
        <w:ind w:left="73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77" w:lineRule="exact"/>
        <w:rPr>
          <w:sz w:val="20"/>
          <w:szCs w:val="20"/>
          <w:color w:val="auto"/>
        </w:rPr>
      </w:pPr>
    </w:p>
    <w:p>
      <w:pPr>
        <w:ind w:right="120"/>
        <w:spacing w:after="0" w:line="230" w:lineRule="auto"/>
        <w:rPr>
          <w:sz w:val="20"/>
          <w:szCs w:val="20"/>
          <w:color w:val="auto"/>
        </w:rPr>
      </w:pPr>
      <w:r>
        <w:rPr>
          <w:rFonts w:ascii="Arial" w:cs="Arial" w:eastAsia="Arial" w:hAnsi="Arial"/>
          <w:sz w:val="15"/>
          <w:szCs w:val="15"/>
          <w:color w:val="auto"/>
        </w:rPr>
        <w:t>The Committee determined that Mr. McGinnis earned a cash incentive award for 2021 at the outstanding level for EPS, ROIC and Revenue. The Committee also approved an incentive award to Mr. McGinnis based on its determination of the level of performance towards achievement of his various operating objectives. Based on these accomplishments, the Committee determined to pay the 2021 award to Mr. McGinnis of $1,458,029. The following table illustrates Mr. McGinnis’s 2021 achievement of the performance targets in relation to the payment of his 2021 award:</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4"/>
        </w:trPr>
        <w:tc>
          <w:tcPr>
            <w:tcW w:w="3820" w:type="dxa"/>
            <w:vAlign w:val="bottom"/>
            <w:shd w:val="clear" w:color="auto" w:fill="EAEAEA"/>
          </w:tcPr>
          <w:p>
            <w:pPr>
              <w:spacing w:after="0"/>
              <w:rPr>
                <w:sz w:val="18"/>
                <w:szCs w:val="18"/>
                <w:color w:val="auto"/>
              </w:rPr>
            </w:pPr>
          </w:p>
        </w:tc>
        <w:tc>
          <w:tcPr>
            <w:tcW w:w="220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PERFORMANCE</w:t>
            </w:r>
          </w:p>
        </w:tc>
        <w:tc>
          <w:tcPr>
            <w:tcW w:w="2000" w:type="dxa"/>
            <w:vAlign w:val="bottom"/>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PERCENTAGE</w:t>
            </w:r>
          </w:p>
        </w:tc>
        <w:tc>
          <w:tcPr>
            <w:tcW w:w="380" w:type="dxa"/>
            <w:vAlign w:val="bottom"/>
            <w:shd w:val="clear" w:color="auto" w:fill="EAEAEA"/>
          </w:tcPr>
          <w:p>
            <w:pPr>
              <w:spacing w:after="0"/>
              <w:rPr>
                <w:sz w:val="18"/>
                <w:szCs w:val="18"/>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820" w:type="dxa"/>
            <w:vAlign w:val="bottom"/>
            <w:tcBorders>
              <w:bottom w:val="single" w:sz="8" w:color="EAEAEA"/>
            </w:tcBorders>
            <w:shd w:val="clear" w:color="auto" w:fill="EAEAEA"/>
          </w:tcPr>
          <w:p>
            <w:pPr>
              <w:spacing w:after="0"/>
              <w:rPr>
                <w:sz w:val="19"/>
                <w:szCs w:val="19"/>
                <w:color w:val="auto"/>
              </w:rPr>
            </w:pPr>
          </w:p>
        </w:tc>
        <w:tc>
          <w:tcPr>
            <w:tcW w:w="2200" w:type="dxa"/>
            <w:vAlign w:val="bottom"/>
            <w:tcBorders>
              <w:bottom w:val="single" w:sz="8" w:color="EAEAEA"/>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LEVEL</w:t>
            </w:r>
          </w:p>
        </w:tc>
        <w:tc>
          <w:tcPr>
            <w:tcW w:w="2000" w:type="dxa"/>
            <w:vAlign w:val="bottom"/>
            <w:tcBorders>
              <w:bottom w:val="single" w:sz="8" w:color="EAEAEA"/>
            </w:tcBorders>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OF 2021 SALARY</w:t>
            </w:r>
          </w:p>
        </w:tc>
        <w:tc>
          <w:tcPr>
            <w:tcW w:w="380" w:type="dxa"/>
            <w:vAlign w:val="bottom"/>
            <w:tcBorders>
              <w:bottom w:val="single" w:sz="8" w:color="EAEAEA"/>
            </w:tcBorders>
            <w:shd w:val="clear" w:color="auto" w:fill="EAEAEA"/>
          </w:tcPr>
          <w:p>
            <w:pPr>
              <w:spacing w:after="0"/>
              <w:rPr>
                <w:sz w:val="19"/>
                <w:szCs w:val="19"/>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200" w:type="dxa"/>
            <w:vAlign w:val="bottom"/>
          </w:tcPr>
          <w:p>
            <w:pPr>
              <w:jc w:val="right"/>
              <w:ind w:right="306"/>
              <w:spacing w:after="0"/>
              <w:rPr>
                <w:sz w:val="20"/>
                <w:szCs w:val="20"/>
                <w:color w:val="auto"/>
              </w:rPr>
            </w:pPr>
            <w:r>
              <w:rPr>
                <w:rFonts w:ascii="Arial" w:cs="Arial" w:eastAsia="Arial" w:hAnsi="Arial"/>
                <w:sz w:val="15"/>
                <w:szCs w:val="15"/>
                <w:color w:val="auto"/>
              </w:rPr>
              <w:t>At Outstanding</w:t>
            </w: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55.0%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410,713</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200" w:type="dxa"/>
            <w:vAlign w:val="bottom"/>
          </w:tcPr>
          <w:p>
            <w:pPr>
              <w:jc w:val="right"/>
              <w:ind w:right="306"/>
              <w:spacing w:after="0"/>
              <w:rPr>
                <w:sz w:val="20"/>
                <w:szCs w:val="20"/>
                <w:color w:val="auto"/>
              </w:rPr>
            </w:pPr>
            <w:r>
              <w:rPr>
                <w:rFonts w:ascii="Arial" w:cs="Arial" w:eastAsia="Arial" w:hAnsi="Arial"/>
                <w:sz w:val="15"/>
                <w:szCs w:val="15"/>
                <w:color w:val="auto"/>
              </w:rPr>
              <w:t>At Outstanding</w:t>
            </w: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55.0%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410,713</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200" w:type="dxa"/>
            <w:vAlign w:val="bottom"/>
          </w:tcPr>
          <w:p>
            <w:pPr>
              <w:jc w:val="right"/>
              <w:ind w:right="306"/>
              <w:spacing w:after="0"/>
              <w:rPr>
                <w:sz w:val="20"/>
                <w:szCs w:val="20"/>
                <w:color w:val="auto"/>
              </w:rPr>
            </w:pPr>
            <w:r>
              <w:rPr>
                <w:rFonts w:ascii="Arial" w:cs="Arial" w:eastAsia="Arial" w:hAnsi="Arial"/>
                <w:sz w:val="15"/>
                <w:szCs w:val="15"/>
                <w:color w:val="auto"/>
              </w:rPr>
              <w:t>At Outstanding</w:t>
            </w: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44.0%</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328,570</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w:t>
            </w:r>
          </w:p>
        </w:tc>
        <w:tc>
          <w:tcPr>
            <w:tcW w:w="2200" w:type="dxa"/>
            <w:vAlign w:val="bottom"/>
          </w:tcPr>
          <w:p>
            <w:pPr>
              <w:jc w:val="right"/>
              <w:ind w:right="306"/>
              <w:spacing w:after="0"/>
              <w:rPr>
                <w:sz w:val="20"/>
                <w:szCs w:val="20"/>
                <w:color w:val="auto"/>
              </w:rPr>
            </w:pPr>
            <w:r>
              <w:rPr>
                <w:rFonts w:ascii="Arial" w:cs="Arial" w:eastAsia="Arial" w:hAnsi="Arial"/>
                <w:sz w:val="15"/>
                <w:szCs w:val="15"/>
                <w:color w:val="auto"/>
              </w:rPr>
              <w:t>Above Target</w:t>
            </w: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41.3%</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308,033</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200" w:type="dxa"/>
            <w:vAlign w:val="bottom"/>
          </w:tcPr>
          <w:p>
            <w:pPr>
              <w:spacing w:after="0"/>
              <w:rPr>
                <w:sz w:val="19"/>
                <w:szCs w:val="19"/>
                <w:color w:val="auto"/>
              </w:rPr>
            </w:pPr>
          </w:p>
        </w:tc>
        <w:tc>
          <w:tcPr>
            <w:tcW w:w="2000" w:type="dxa"/>
            <w:vAlign w:val="bottom"/>
          </w:tcPr>
          <w:p>
            <w:pPr>
              <w:jc w:val="right"/>
              <w:ind w:right="226"/>
              <w:spacing w:after="0"/>
              <w:rPr>
                <w:sz w:val="20"/>
                <w:szCs w:val="20"/>
                <w:color w:val="auto"/>
              </w:rPr>
            </w:pPr>
            <w:r>
              <w:rPr>
                <w:rFonts w:ascii="Arial" w:cs="Arial" w:eastAsia="Arial" w:hAnsi="Arial"/>
                <w:sz w:val="15"/>
                <w:szCs w:val="15"/>
                <w:color w:val="auto"/>
              </w:rPr>
              <w:t>195.3%</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1,458,029</w:t>
            </w:r>
          </w:p>
        </w:tc>
      </w:tr>
      <w:tr>
        <w:trPr>
          <w:trHeight w:val="50"/>
        </w:trPr>
        <w:tc>
          <w:tcPr>
            <w:tcW w:w="382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3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Michelle S. Nettles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operating objectives comprise 30% of the total annual incentive for Ms. Nettles and were as follows for 2021:</w:t>
      </w:r>
    </w:p>
    <w:p>
      <w:pPr>
        <w:spacing w:after="0" w:line="68" w:lineRule="exact"/>
        <w:rPr>
          <w:sz w:val="20"/>
          <w:szCs w:val="20"/>
          <w:color w:val="auto"/>
        </w:rPr>
      </w:pPr>
    </w:p>
    <w:p>
      <w:pPr>
        <w:ind w:left="220" w:hanging="213"/>
        <w:spacing w:after="0"/>
        <w:tabs>
          <w:tab w:leader="none" w:pos="2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Continue to strengthen the culture across the organization</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Progress the Company’s talent strategy, including deepening the talent pipeline and capabilities of employees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Progress collaboration efforts among countries within certain regions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Collaborate with CEO to continue to strengthen global leadership team</w:t>
      </w:r>
    </w:p>
    <w:p>
      <w:pPr>
        <w:spacing w:after="0" w:line="135"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The Committee determined that Ms. Nettles earned a cash incentive award for 2021 at the outstanding level for EPS, ROIC and Revenue. The Committee also approved an incentive award to Ms. Nettles based on its determination of the level of performance towards achievement of her various operating objectives. Based on these accomplishments, the Committee determined to pay the 2021 award to Ms. Nettles of $754,181. The following table illustrates Ms. Nettles’s 2021 achievement of the performance targets in relation to the payment of her 2021 award:</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4"/>
        </w:trPr>
        <w:tc>
          <w:tcPr>
            <w:tcW w:w="3740" w:type="dxa"/>
            <w:vAlign w:val="bottom"/>
            <w:shd w:val="clear" w:color="auto" w:fill="EAEAEA"/>
          </w:tcPr>
          <w:p>
            <w:pPr>
              <w:spacing w:after="0"/>
              <w:rPr>
                <w:sz w:val="18"/>
                <w:szCs w:val="18"/>
                <w:color w:val="auto"/>
              </w:rPr>
            </w:pPr>
          </w:p>
        </w:tc>
        <w:tc>
          <w:tcPr>
            <w:tcW w:w="234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PERFORMANCE</w:t>
            </w:r>
          </w:p>
        </w:tc>
        <w:tc>
          <w:tcPr>
            <w:tcW w:w="2000" w:type="dxa"/>
            <w:vAlign w:val="bottom"/>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PERCENTAGE</w:t>
            </w:r>
          </w:p>
        </w:tc>
        <w:tc>
          <w:tcPr>
            <w:tcW w:w="1080" w:type="dxa"/>
            <w:vAlign w:val="bottom"/>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740" w:type="dxa"/>
            <w:vAlign w:val="bottom"/>
            <w:tcBorders>
              <w:bottom w:val="single" w:sz="8" w:color="EAEAEA"/>
            </w:tcBorders>
            <w:shd w:val="clear" w:color="auto" w:fill="EAEAEA"/>
          </w:tcPr>
          <w:p>
            <w:pPr>
              <w:spacing w:after="0"/>
              <w:rPr>
                <w:sz w:val="19"/>
                <w:szCs w:val="19"/>
                <w:color w:val="auto"/>
              </w:rPr>
            </w:pPr>
          </w:p>
        </w:tc>
        <w:tc>
          <w:tcPr>
            <w:tcW w:w="234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LEVEL</w:t>
            </w:r>
          </w:p>
        </w:tc>
        <w:tc>
          <w:tcPr>
            <w:tcW w:w="2000" w:type="dxa"/>
            <w:vAlign w:val="bottom"/>
            <w:tcBorders>
              <w:bottom w:val="single" w:sz="8" w:color="EAEAEA"/>
            </w:tcBorders>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OF 2021 SALARY</w:t>
            </w:r>
          </w:p>
        </w:tc>
        <w:tc>
          <w:tcPr>
            <w:tcW w:w="1080" w:type="dxa"/>
            <w:vAlign w:val="bottom"/>
            <w:tcBorders>
              <w:bottom w:val="single" w:sz="8" w:color="EAEAEA"/>
            </w:tcBorders>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At Outstanding</w:t>
            </w:r>
          </w:p>
        </w:tc>
        <w:tc>
          <w:tcPr>
            <w:tcW w:w="2000" w:type="dxa"/>
            <w:vAlign w:val="bottom"/>
          </w:tcPr>
          <w:p>
            <w:pPr>
              <w:jc w:val="right"/>
              <w:ind w:right="206"/>
              <w:spacing w:after="0"/>
              <w:rPr>
                <w:sz w:val="20"/>
                <w:szCs w:val="20"/>
                <w:color w:val="auto"/>
              </w:rPr>
            </w:pPr>
            <w:r>
              <w:rPr>
                <w:rFonts w:ascii="Arial" w:cs="Arial" w:eastAsia="Arial" w:hAnsi="Arial"/>
                <w:sz w:val="15"/>
                <w:szCs w:val="15"/>
                <w:color w:val="auto"/>
              </w:rPr>
              <w:t>37.5%</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$212,438</w:t>
            </w:r>
          </w:p>
        </w:tc>
      </w:tr>
      <w:tr>
        <w:trPr>
          <w:trHeight w:val="50"/>
        </w:trPr>
        <w:tc>
          <w:tcPr>
            <w:tcW w:w="374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At Outstanding</w:t>
            </w:r>
          </w:p>
        </w:tc>
        <w:tc>
          <w:tcPr>
            <w:tcW w:w="2000" w:type="dxa"/>
            <w:vAlign w:val="bottom"/>
          </w:tcPr>
          <w:p>
            <w:pPr>
              <w:jc w:val="right"/>
              <w:ind w:right="206"/>
              <w:spacing w:after="0"/>
              <w:rPr>
                <w:sz w:val="20"/>
                <w:szCs w:val="20"/>
                <w:color w:val="auto"/>
              </w:rPr>
            </w:pPr>
            <w:r>
              <w:rPr>
                <w:rFonts w:ascii="Arial" w:cs="Arial" w:eastAsia="Arial" w:hAnsi="Arial"/>
                <w:sz w:val="15"/>
                <w:szCs w:val="15"/>
                <w:color w:val="auto"/>
              </w:rPr>
              <w:t>37.5%</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$212,438</w:t>
            </w:r>
          </w:p>
        </w:tc>
      </w:tr>
      <w:tr>
        <w:trPr>
          <w:trHeight w:val="50"/>
        </w:trPr>
        <w:tc>
          <w:tcPr>
            <w:tcW w:w="374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At Outstanding</w:t>
            </w:r>
          </w:p>
        </w:tc>
        <w:tc>
          <w:tcPr>
            <w:tcW w:w="2000" w:type="dxa"/>
            <w:vAlign w:val="bottom"/>
          </w:tcPr>
          <w:p>
            <w:pPr>
              <w:jc w:val="right"/>
              <w:ind w:right="206"/>
              <w:spacing w:after="0"/>
              <w:rPr>
                <w:sz w:val="20"/>
                <w:szCs w:val="20"/>
                <w:color w:val="auto"/>
              </w:rPr>
            </w:pPr>
            <w:r>
              <w:rPr>
                <w:rFonts w:ascii="Arial" w:cs="Arial" w:eastAsia="Arial" w:hAnsi="Arial"/>
                <w:sz w:val="15"/>
                <w:szCs w:val="15"/>
                <w:color w:val="auto"/>
              </w:rPr>
              <w:t>30.0%</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$169,950</w:t>
            </w:r>
          </w:p>
        </w:tc>
      </w:tr>
      <w:tr>
        <w:trPr>
          <w:trHeight w:val="50"/>
        </w:trPr>
        <w:tc>
          <w:tcPr>
            <w:tcW w:w="374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Above Target</w:t>
            </w:r>
          </w:p>
        </w:tc>
        <w:tc>
          <w:tcPr>
            <w:tcW w:w="2000" w:type="dxa"/>
            <w:vAlign w:val="bottom"/>
          </w:tcPr>
          <w:p>
            <w:pPr>
              <w:jc w:val="right"/>
              <w:ind w:right="206"/>
              <w:spacing w:after="0"/>
              <w:rPr>
                <w:sz w:val="20"/>
                <w:szCs w:val="20"/>
                <w:color w:val="auto"/>
              </w:rPr>
            </w:pPr>
            <w:r>
              <w:rPr>
                <w:rFonts w:ascii="Arial" w:cs="Arial" w:eastAsia="Arial" w:hAnsi="Arial"/>
                <w:sz w:val="15"/>
                <w:szCs w:val="15"/>
                <w:color w:val="auto"/>
              </w:rPr>
              <w:t>28.1%</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$159,355</w:t>
            </w:r>
          </w:p>
        </w:tc>
      </w:tr>
      <w:tr>
        <w:trPr>
          <w:trHeight w:val="50"/>
        </w:trPr>
        <w:tc>
          <w:tcPr>
            <w:tcW w:w="374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340" w:type="dxa"/>
            <w:vAlign w:val="bottom"/>
          </w:tcPr>
          <w:p>
            <w:pPr>
              <w:spacing w:after="0"/>
              <w:rPr>
                <w:sz w:val="19"/>
                <w:szCs w:val="19"/>
                <w:color w:val="auto"/>
              </w:rPr>
            </w:pPr>
          </w:p>
        </w:tc>
        <w:tc>
          <w:tcPr>
            <w:tcW w:w="2000" w:type="dxa"/>
            <w:vAlign w:val="bottom"/>
          </w:tcPr>
          <w:p>
            <w:pPr>
              <w:jc w:val="right"/>
              <w:ind w:right="206"/>
              <w:spacing w:after="0"/>
              <w:rPr>
                <w:sz w:val="20"/>
                <w:szCs w:val="20"/>
                <w:color w:val="auto"/>
              </w:rPr>
            </w:pPr>
            <w:r>
              <w:rPr>
                <w:rFonts w:ascii="Arial" w:cs="Arial" w:eastAsia="Arial" w:hAnsi="Arial"/>
                <w:sz w:val="15"/>
                <w:szCs w:val="15"/>
                <w:color w:val="auto"/>
              </w:rPr>
              <w:t>133.1%</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$754,181</w:t>
            </w:r>
          </w:p>
        </w:tc>
      </w:tr>
      <w:tr>
        <w:trPr>
          <w:trHeight w:val="50"/>
        </w:trPr>
        <w:tc>
          <w:tcPr>
            <w:tcW w:w="374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200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Richard Buchband</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operating objectives comprise 30% of the total annual incentive for Mr. Buchband and were as follows for 2021:</w:t>
      </w:r>
    </w:p>
    <w:p>
      <w:pPr>
        <w:spacing w:after="0" w:line="68" w:lineRule="exact"/>
        <w:rPr>
          <w:sz w:val="20"/>
          <w:szCs w:val="20"/>
          <w:color w:val="auto"/>
        </w:rPr>
      </w:pPr>
    </w:p>
    <w:p>
      <w:pPr>
        <w:ind w:left="220" w:hanging="213"/>
        <w:spacing w:after="0"/>
        <w:tabs>
          <w:tab w:leader="none" w:pos="2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Continue to provide strong leadership and strategic direction to global legal function</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Continue to deepen capabilities within the global legal function</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Serve as trusted advisor to the board of directors and executive team</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Continue to collaborate with business leaders on key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9297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41</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65"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The Committee determined that Mr. Buchband earned a cash incentive award for 2021 at the outstanding level for EPS, ROIC and Revenue. The Committee also approved an incentive award to Mr. Buchband based on its determination of the level of performance towards achievement of his various operating objectives. Based on these accomplishments, the Committee determined to pay the 2021 award to Mr. Buchband of $719,900. The following table illustrates Mr. Buchband’s 2021 achievement of the performance targets in relation to the payment of his 2021 award:</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4"/>
        </w:trPr>
        <w:tc>
          <w:tcPr>
            <w:tcW w:w="3960" w:type="dxa"/>
            <w:vAlign w:val="bottom"/>
            <w:shd w:val="clear" w:color="auto" w:fill="EAEAEA"/>
          </w:tcPr>
          <w:p>
            <w:pPr>
              <w:spacing w:after="0"/>
              <w:rPr>
                <w:sz w:val="18"/>
                <w:szCs w:val="18"/>
                <w:color w:val="auto"/>
              </w:rPr>
            </w:pPr>
          </w:p>
        </w:tc>
        <w:tc>
          <w:tcPr>
            <w:tcW w:w="2220" w:type="dxa"/>
            <w:vAlign w:val="bottom"/>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PERFORMANCE</w:t>
            </w:r>
          </w:p>
        </w:tc>
        <w:tc>
          <w:tcPr>
            <w:tcW w:w="1980" w:type="dxa"/>
            <w:vAlign w:val="bottom"/>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PERCENTAGE</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960" w:type="dxa"/>
            <w:vAlign w:val="bottom"/>
            <w:tcBorders>
              <w:bottom w:val="single" w:sz="8" w:color="EAEAEA"/>
            </w:tcBorders>
            <w:shd w:val="clear" w:color="auto" w:fill="EAEAEA"/>
          </w:tcPr>
          <w:p>
            <w:pPr>
              <w:spacing w:after="0"/>
              <w:rPr>
                <w:sz w:val="19"/>
                <w:szCs w:val="19"/>
                <w:color w:val="auto"/>
              </w:rPr>
            </w:pPr>
          </w:p>
        </w:tc>
        <w:tc>
          <w:tcPr>
            <w:tcW w:w="2220" w:type="dxa"/>
            <w:vAlign w:val="bottom"/>
            <w:tcBorders>
              <w:bottom w:val="single" w:sz="8" w:color="EAEAEA"/>
            </w:tcBorders>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LEVEL</w:t>
            </w:r>
          </w:p>
        </w:tc>
        <w:tc>
          <w:tcPr>
            <w:tcW w:w="1980" w:type="dxa"/>
            <w:vAlign w:val="bottom"/>
            <w:tcBorders>
              <w:bottom w:val="single" w:sz="8" w:color="EAEAEA"/>
            </w:tcBorders>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OF 2021 SALARY</w:t>
            </w:r>
          </w:p>
        </w:tc>
        <w:tc>
          <w:tcPr>
            <w:tcW w:w="10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220" w:type="dxa"/>
            <w:vAlign w:val="bottom"/>
          </w:tcPr>
          <w:p>
            <w:pPr>
              <w:jc w:val="right"/>
              <w:ind w:right="326"/>
              <w:spacing w:after="0"/>
              <w:rPr>
                <w:sz w:val="20"/>
                <w:szCs w:val="20"/>
                <w:color w:val="auto"/>
              </w:rPr>
            </w:pPr>
            <w:r>
              <w:rPr>
                <w:rFonts w:ascii="Arial" w:cs="Arial" w:eastAsia="Arial" w:hAnsi="Arial"/>
                <w:sz w:val="15"/>
                <w:szCs w:val="15"/>
                <w:color w:val="auto"/>
              </w:rPr>
              <w:t>At Outstanding</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37.5%</w:t>
            </w:r>
          </w:p>
        </w:tc>
        <w:tc>
          <w:tcPr>
            <w:tcW w:w="1000" w:type="dxa"/>
            <w:vAlign w:val="bottom"/>
          </w:tcPr>
          <w:p>
            <w:pPr>
              <w:jc w:val="right"/>
              <w:spacing w:after="0"/>
              <w:rPr>
                <w:sz w:val="20"/>
                <w:szCs w:val="20"/>
                <w:color w:val="auto"/>
              </w:rPr>
            </w:pPr>
            <w:r>
              <w:rPr>
                <w:rFonts w:ascii="Arial" w:cs="Arial" w:eastAsia="Arial" w:hAnsi="Arial"/>
                <w:sz w:val="15"/>
                <w:szCs w:val="15"/>
                <w:color w:val="auto"/>
              </w:rPr>
              <w:t>$202,781</w:t>
            </w:r>
          </w:p>
        </w:tc>
      </w:tr>
      <w:tr>
        <w:trPr>
          <w:trHeight w:val="50"/>
        </w:trPr>
        <w:tc>
          <w:tcPr>
            <w:tcW w:w="3960" w:type="dxa"/>
            <w:vAlign w:val="bottom"/>
            <w:tcBorders>
              <w:bottom w:val="single" w:sz="8" w:color="5D89B4"/>
            </w:tcBorders>
          </w:tcPr>
          <w:p>
            <w:pPr>
              <w:spacing w:after="0"/>
              <w:rPr>
                <w:sz w:val="4"/>
                <w:szCs w:val="4"/>
                <w:color w:val="auto"/>
              </w:rPr>
            </w:pPr>
          </w:p>
        </w:tc>
        <w:tc>
          <w:tcPr>
            <w:tcW w:w="222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r>
      <w:tr>
        <w:trPr>
          <w:trHeight w:val="225"/>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220" w:type="dxa"/>
            <w:vAlign w:val="bottom"/>
          </w:tcPr>
          <w:p>
            <w:pPr>
              <w:jc w:val="right"/>
              <w:ind w:right="326"/>
              <w:spacing w:after="0"/>
              <w:rPr>
                <w:sz w:val="20"/>
                <w:szCs w:val="20"/>
                <w:color w:val="auto"/>
              </w:rPr>
            </w:pPr>
            <w:r>
              <w:rPr>
                <w:rFonts w:ascii="Arial" w:cs="Arial" w:eastAsia="Arial" w:hAnsi="Arial"/>
                <w:sz w:val="15"/>
                <w:szCs w:val="15"/>
                <w:color w:val="auto"/>
              </w:rPr>
              <w:t>At Outstanding</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37.5%</w:t>
            </w:r>
          </w:p>
        </w:tc>
        <w:tc>
          <w:tcPr>
            <w:tcW w:w="1000" w:type="dxa"/>
            <w:vAlign w:val="bottom"/>
          </w:tcPr>
          <w:p>
            <w:pPr>
              <w:jc w:val="right"/>
              <w:spacing w:after="0"/>
              <w:rPr>
                <w:sz w:val="20"/>
                <w:szCs w:val="20"/>
                <w:color w:val="auto"/>
              </w:rPr>
            </w:pPr>
            <w:r>
              <w:rPr>
                <w:rFonts w:ascii="Arial" w:cs="Arial" w:eastAsia="Arial" w:hAnsi="Arial"/>
                <w:sz w:val="15"/>
                <w:szCs w:val="15"/>
                <w:color w:val="auto"/>
              </w:rPr>
              <w:t>$202,781</w:t>
            </w:r>
          </w:p>
        </w:tc>
      </w:tr>
      <w:tr>
        <w:trPr>
          <w:trHeight w:val="50"/>
        </w:trPr>
        <w:tc>
          <w:tcPr>
            <w:tcW w:w="3960" w:type="dxa"/>
            <w:vAlign w:val="bottom"/>
            <w:tcBorders>
              <w:bottom w:val="single" w:sz="8" w:color="5D89B4"/>
            </w:tcBorders>
          </w:tcPr>
          <w:p>
            <w:pPr>
              <w:spacing w:after="0"/>
              <w:rPr>
                <w:sz w:val="4"/>
                <w:szCs w:val="4"/>
                <w:color w:val="auto"/>
              </w:rPr>
            </w:pPr>
          </w:p>
        </w:tc>
        <w:tc>
          <w:tcPr>
            <w:tcW w:w="222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r>
      <w:tr>
        <w:trPr>
          <w:trHeight w:val="225"/>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220" w:type="dxa"/>
            <w:vAlign w:val="bottom"/>
          </w:tcPr>
          <w:p>
            <w:pPr>
              <w:jc w:val="right"/>
              <w:ind w:right="326"/>
              <w:spacing w:after="0"/>
              <w:rPr>
                <w:sz w:val="20"/>
                <w:szCs w:val="20"/>
                <w:color w:val="auto"/>
              </w:rPr>
            </w:pPr>
            <w:r>
              <w:rPr>
                <w:rFonts w:ascii="Arial" w:cs="Arial" w:eastAsia="Arial" w:hAnsi="Arial"/>
                <w:sz w:val="15"/>
                <w:szCs w:val="15"/>
                <w:color w:val="auto"/>
              </w:rPr>
              <w:t>At Outstanding</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30.0%</w:t>
            </w:r>
          </w:p>
        </w:tc>
        <w:tc>
          <w:tcPr>
            <w:tcW w:w="1000" w:type="dxa"/>
            <w:vAlign w:val="bottom"/>
          </w:tcPr>
          <w:p>
            <w:pPr>
              <w:jc w:val="right"/>
              <w:spacing w:after="0"/>
              <w:rPr>
                <w:sz w:val="20"/>
                <w:szCs w:val="20"/>
                <w:color w:val="auto"/>
              </w:rPr>
            </w:pPr>
            <w:r>
              <w:rPr>
                <w:rFonts w:ascii="Arial" w:cs="Arial" w:eastAsia="Arial" w:hAnsi="Arial"/>
                <w:sz w:val="15"/>
                <w:szCs w:val="15"/>
                <w:color w:val="auto"/>
              </w:rPr>
              <w:t>$162,225</w:t>
            </w:r>
          </w:p>
        </w:tc>
      </w:tr>
      <w:tr>
        <w:trPr>
          <w:trHeight w:val="50"/>
        </w:trPr>
        <w:tc>
          <w:tcPr>
            <w:tcW w:w="3960" w:type="dxa"/>
            <w:vAlign w:val="bottom"/>
            <w:tcBorders>
              <w:bottom w:val="single" w:sz="8" w:color="5D89B4"/>
            </w:tcBorders>
          </w:tcPr>
          <w:p>
            <w:pPr>
              <w:spacing w:after="0"/>
              <w:rPr>
                <w:sz w:val="4"/>
                <w:szCs w:val="4"/>
                <w:color w:val="auto"/>
              </w:rPr>
            </w:pPr>
          </w:p>
        </w:tc>
        <w:tc>
          <w:tcPr>
            <w:tcW w:w="222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r>
      <w:tr>
        <w:trPr>
          <w:trHeight w:val="225"/>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Operating Objectives</w:t>
            </w:r>
          </w:p>
        </w:tc>
        <w:tc>
          <w:tcPr>
            <w:tcW w:w="2220" w:type="dxa"/>
            <w:vAlign w:val="bottom"/>
          </w:tcPr>
          <w:p>
            <w:pPr>
              <w:jc w:val="right"/>
              <w:ind w:right="326"/>
              <w:spacing w:after="0"/>
              <w:rPr>
                <w:sz w:val="20"/>
                <w:szCs w:val="20"/>
                <w:color w:val="auto"/>
              </w:rPr>
            </w:pPr>
            <w:r>
              <w:rPr>
                <w:rFonts w:ascii="Arial" w:cs="Arial" w:eastAsia="Arial" w:hAnsi="Arial"/>
                <w:sz w:val="15"/>
                <w:szCs w:val="15"/>
                <w:color w:val="auto"/>
              </w:rPr>
              <w:t>Above Target</w:t>
            </w: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28.1%</w:t>
            </w:r>
          </w:p>
        </w:tc>
        <w:tc>
          <w:tcPr>
            <w:tcW w:w="1000" w:type="dxa"/>
            <w:vAlign w:val="bottom"/>
          </w:tcPr>
          <w:p>
            <w:pPr>
              <w:jc w:val="right"/>
              <w:spacing w:after="0"/>
              <w:rPr>
                <w:sz w:val="20"/>
                <w:szCs w:val="20"/>
                <w:color w:val="auto"/>
              </w:rPr>
            </w:pPr>
            <w:r>
              <w:rPr>
                <w:rFonts w:ascii="Arial" w:cs="Arial" w:eastAsia="Arial" w:hAnsi="Arial"/>
                <w:sz w:val="15"/>
                <w:szCs w:val="15"/>
                <w:color w:val="auto"/>
              </w:rPr>
              <w:t>$152,113</w:t>
            </w:r>
          </w:p>
        </w:tc>
      </w:tr>
      <w:tr>
        <w:trPr>
          <w:trHeight w:val="50"/>
        </w:trPr>
        <w:tc>
          <w:tcPr>
            <w:tcW w:w="3960" w:type="dxa"/>
            <w:vAlign w:val="bottom"/>
            <w:tcBorders>
              <w:bottom w:val="single" w:sz="8" w:color="5D89B4"/>
            </w:tcBorders>
          </w:tcPr>
          <w:p>
            <w:pPr>
              <w:spacing w:after="0"/>
              <w:rPr>
                <w:sz w:val="4"/>
                <w:szCs w:val="4"/>
                <w:color w:val="auto"/>
              </w:rPr>
            </w:pPr>
          </w:p>
        </w:tc>
        <w:tc>
          <w:tcPr>
            <w:tcW w:w="222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r>
      <w:tr>
        <w:trPr>
          <w:trHeight w:val="225"/>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220" w:type="dxa"/>
            <w:vAlign w:val="bottom"/>
          </w:tcPr>
          <w:p>
            <w:pPr>
              <w:spacing w:after="0"/>
              <w:rPr>
                <w:sz w:val="19"/>
                <w:szCs w:val="19"/>
                <w:color w:val="auto"/>
              </w:rPr>
            </w:pPr>
          </w:p>
        </w:tc>
        <w:tc>
          <w:tcPr>
            <w:tcW w:w="1980" w:type="dxa"/>
            <w:vAlign w:val="bottom"/>
          </w:tcPr>
          <w:p>
            <w:pPr>
              <w:jc w:val="right"/>
              <w:ind w:right="226"/>
              <w:spacing w:after="0"/>
              <w:rPr>
                <w:sz w:val="20"/>
                <w:szCs w:val="20"/>
                <w:color w:val="auto"/>
              </w:rPr>
            </w:pPr>
            <w:r>
              <w:rPr>
                <w:rFonts w:ascii="Arial" w:cs="Arial" w:eastAsia="Arial" w:hAnsi="Arial"/>
                <w:sz w:val="15"/>
                <w:szCs w:val="15"/>
                <w:color w:val="auto"/>
              </w:rPr>
              <w:t>133.1%</w:t>
            </w:r>
          </w:p>
        </w:tc>
        <w:tc>
          <w:tcPr>
            <w:tcW w:w="1000" w:type="dxa"/>
            <w:vAlign w:val="bottom"/>
          </w:tcPr>
          <w:p>
            <w:pPr>
              <w:jc w:val="right"/>
              <w:spacing w:after="0"/>
              <w:rPr>
                <w:sz w:val="20"/>
                <w:szCs w:val="20"/>
                <w:color w:val="auto"/>
              </w:rPr>
            </w:pPr>
            <w:r>
              <w:rPr>
                <w:rFonts w:ascii="Arial" w:cs="Arial" w:eastAsia="Arial" w:hAnsi="Arial"/>
                <w:sz w:val="15"/>
                <w:szCs w:val="15"/>
                <w:color w:val="auto"/>
              </w:rPr>
              <w:t>$719,900</w:t>
            </w:r>
          </w:p>
        </w:tc>
      </w:tr>
      <w:tr>
        <w:trPr>
          <w:trHeight w:val="50"/>
        </w:trPr>
        <w:tc>
          <w:tcPr>
            <w:tcW w:w="3960" w:type="dxa"/>
            <w:vAlign w:val="bottom"/>
            <w:tcBorders>
              <w:bottom w:val="single" w:sz="8" w:color="5D89B4"/>
            </w:tcBorders>
          </w:tcPr>
          <w:p>
            <w:pPr>
              <w:spacing w:after="0"/>
              <w:rPr>
                <w:sz w:val="4"/>
                <w:szCs w:val="4"/>
                <w:color w:val="auto"/>
              </w:rPr>
            </w:pPr>
          </w:p>
        </w:tc>
        <w:tc>
          <w:tcPr>
            <w:tcW w:w="2220" w:type="dxa"/>
            <w:vAlign w:val="bottom"/>
            <w:tcBorders>
              <w:bottom w:val="single" w:sz="8" w:color="5D89B4"/>
            </w:tcBorders>
          </w:tcPr>
          <w:p>
            <w:pPr>
              <w:spacing w:after="0"/>
              <w:rPr>
                <w:sz w:val="4"/>
                <w:szCs w:val="4"/>
                <w:color w:val="auto"/>
              </w:rPr>
            </w:pPr>
          </w:p>
        </w:tc>
        <w:tc>
          <w:tcPr>
            <w:tcW w:w="198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Components of the 2021 Executive Compensation Program — Long-Term Incentives</w:t>
      </w:r>
    </w:p>
    <w:p>
      <w:pPr>
        <w:spacing w:after="0" w:line="179" w:lineRule="exact"/>
        <w:rPr>
          <w:sz w:val="20"/>
          <w:szCs w:val="20"/>
          <w:color w:val="auto"/>
        </w:rPr>
      </w:pPr>
    </w:p>
    <w:p>
      <w:pPr>
        <w:ind w:right="220"/>
        <w:spacing w:after="0" w:line="229" w:lineRule="auto"/>
        <w:rPr>
          <w:sz w:val="20"/>
          <w:szCs w:val="20"/>
          <w:color w:val="auto"/>
        </w:rPr>
      </w:pPr>
      <w:r>
        <w:rPr>
          <w:rFonts w:ascii="Arial" w:cs="Arial" w:eastAsia="Arial" w:hAnsi="Arial"/>
          <w:sz w:val="15"/>
          <w:szCs w:val="15"/>
          <w:color w:val="auto"/>
        </w:rPr>
        <w:t>Each year the Committee determines the appropriate mix of PSUs, stock options and RSUs that should comprise the long-term incentives for the NEOs. This flexibility allows the Committee to tailor its program to create the incentive structure that it believes will best align executive performance and the needs of the Company. The Committee determined for 2021 that the annual grant of incentive awards to the NEOs should be made up of 60% PSUs, 20% stock options and 20% RSUs. The Committee has discontinued the use of stock options for its annual long-term incentive awards for 2022. Additionally, as reflected below, the Committee made one-time special grants of PSUs in 2021.</w:t>
      </w:r>
    </w:p>
    <w:p>
      <w:pPr>
        <w:spacing w:after="0" w:line="127"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The Committee generally determines and approves equity awards to the NEOs and the related vesting schedules, at its regularly scheduled meeting in February each year, and as required under the Committee’s charter, subject to ratification by the board of directors in the case of Mr. Prising and Mr. McGinnis. The equity awards and related vesting schedules for Messrs. McGinnis and Buchband and Ms. Nettles are generally based on recommendations by Mr. Prising. The Committee may make grants to NEOs at other times during the year, as it deems appropriate. The exercise price for any options granted is the closing price on the date of grant.</w:t>
      </w:r>
    </w:p>
    <w:p>
      <w:pPr>
        <w:spacing w:after="0" w:line="113" w:lineRule="exact"/>
        <w:rPr>
          <w:sz w:val="20"/>
          <w:szCs w:val="20"/>
          <w:color w:val="auto"/>
        </w:rPr>
      </w:pPr>
    </w:p>
    <w:p>
      <w:pPr>
        <w:ind w:right="400"/>
        <w:spacing w:after="0" w:line="237" w:lineRule="auto"/>
        <w:rPr>
          <w:sz w:val="20"/>
          <w:szCs w:val="20"/>
          <w:color w:val="auto"/>
        </w:rPr>
      </w:pPr>
      <w:r>
        <w:rPr>
          <w:rFonts w:ascii="Arial" w:cs="Arial" w:eastAsia="Arial" w:hAnsi="Arial"/>
          <w:sz w:val="15"/>
          <w:szCs w:val="15"/>
          <w:color w:val="auto"/>
        </w:rPr>
        <w:t>The PSUs, stock options and RSUs awarded in 2021 have the characteristics below. The specific long-term incentive grants for each officer are shown in the Grants of Plan Based Awards table on page 51.</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Performance Share Units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Regular Grant of PSUs in 2021</w:t>
      </w:r>
    </w:p>
    <w:p>
      <w:pPr>
        <w:spacing w:after="0" w:line="98" w:lineRule="exact"/>
        <w:rPr>
          <w:sz w:val="20"/>
          <w:szCs w:val="20"/>
          <w:color w:val="auto"/>
        </w:rPr>
      </w:pPr>
    </w:p>
    <w:p>
      <w:pPr>
        <w:ind w:right="180"/>
        <w:spacing w:after="0" w:line="228" w:lineRule="auto"/>
        <w:rPr>
          <w:sz w:val="20"/>
          <w:szCs w:val="20"/>
          <w:color w:val="auto"/>
        </w:rPr>
      </w:pPr>
      <w:r>
        <w:rPr>
          <w:rFonts w:ascii="Arial" w:cs="Arial" w:eastAsia="Arial" w:hAnsi="Arial"/>
          <w:sz w:val="15"/>
          <w:szCs w:val="15"/>
          <w:color w:val="auto"/>
        </w:rPr>
        <w:t>For the award of annual PSUs made in February 2021, the Committee departed from its customary use of a 3-year performance period given the difficulty of projecting a three-year OPMP target in light of uncertain economic circumstances. Instead, for the PSUs granted in 2021, vesting is based on achievement of a pre-established goal for annual OPMP, over a one-year period ending December 31, 2021. However, these are still three-year grants insofar as vesting does not occur until the completion of a three-year holding period following the date of grant, and the discretionary application of the KPI modifier described below will be evaluated by the Committee using all three years of the PSU period. For the 2022 annual grant, the Committee returned to a three-year performance period for OPMP.</w:t>
      </w:r>
    </w:p>
    <w:p>
      <w:pPr>
        <w:spacing w:after="0" w:line="194"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The Committee has included a KPI modifier that can increase or decrease the final PSU payout (which will be determined based on the OPMP for the performance period and the performance gate described below) by up to 30%, but not more than the outstanding award or less than the threshold award. Under this feature, the Committee established strategic growth objectives and will evaluate how well management has performed against those pre-established strategic growth objectives during the three-year period of the PSUs. The number of shares earned will vest and be settled in common stock in February 2024, after the Committee determines the achievement of the performance goals and assesses the achievement of the strategic growth objectives. The specific strategic growth objectives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42</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165" w:right="51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Why the Company Uses Annual Operating Profit Margin and How it Sets Goals</w:t>
      </w:r>
    </w:p>
    <w:p>
      <w:pPr>
        <w:spacing w:after="0" w:line="125" w:lineRule="exact"/>
        <w:rPr>
          <w:sz w:val="20"/>
          <w:szCs w:val="20"/>
          <w:color w:val="auto"/>
        </w:rPr>
      </w:pPr>
    </w:p>
    <w:p>
      <w:pPr>
        <w:ind w:right="460"/>
        <w:spacing w:after="0" w:line="237" w:lineRule="auto"/>
        <w:rPr>
          <w:sz w:val="20"/>
          <w:szCs w:val="20"/>
          <w:color w:val="auto"/>
        </w:rPr>
      </w:pPr>
      <w:r>
        <w:rPr>
          <w:rFonts w:ascii="Arial" w:cs="Arial" w:eastAsia="Arial" w:hAnsi="Arial"/>
          <w:sz w:val="15"/>
          <w:szCs w:val="15"/>
          <w:color w:val="auto"/>
        </w:rPr>
        <w:t>The following table shows the goals established by the Committee in February 2021 for the one-year performance period for these PSUs and the associated payout percentage:</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274"/>
        </w:trPr>
        <w:tc>
          <w:tcPr>
            <w:tcW w:w="3780" w:type="dxa"/>
            <w:vAlign w:val="bottom"/>
            <w:tcBorders>
              <w:bottom w:val="single" w:sz="8" w:color="EAEAEA"/>
            </w:tcBorders>
            <w:shd w:val="clear" w:color="auto" w:fill="EAEAEA"/>
          </w:tcPr>
          <w:p>
            <w:pPr>
              <w:spacing w:after="0"/>
              <w:rPr>
                <w:sz w:val="23"/>
                <w:szCs w:val="23"/>
                <w:color w:val="auto"/>
              </w:rPr>
            </w:pPr>
          </w:p>
        </w:tc>
        <w:tc>
          <w:tcPr>
            <w:tcW w:w="2340" w:type="dxa"/>
            <w:vAlign w:val="bottom"/>
            <w:tcBorders>
              <w:bottom w:val="single" w:sz="8" w:color="EAEAEA"/>
            </w:tcBorders>
            <w:shd w:val="clear" w:color="auto" w:fill="EAEAEA"/>
          </w:tcPr>
          <w:p>
            <w:pPr>
              <w:jc w:val="right"/>
              <w:ind w:right="466"/>
              <w:spacing w:after="0"/>
              <w:rPr>
                <w:sz w:val="20"/>
                <w:szCs w:val="20"/>
                <w:color w:val="auto"/>
              </w:rPr>
            </w:pPr>
            <w:r>
              <w:rPr>
                <w:rFonts w:ascii="Arial" w:cs="Arial" w:eastAsia="Arial" w:hAnsi="Arial"/>
                <w:sz w:val="14"/>
                <w:szCs w:val="14"/>
                <w:b w:val="1"/>
                <w:bCs w:val="1"/>
                <w:color w:val="5D89B4"/>
              </w:rPr>
              <w:t>THRESHOLD</w:t>
            </w:r>
          </w:p>
        </w:tc>
        <w:tc>
          <w:tcPr>
            <w:tcW w:w="1440" w:type="dxa"/>
            <w:vAlign w:val="bottom"/>
            <w:tcBorders>
              <w:bottom w:val="single" w:sz="8" w:color="EAEAEA"/>
            </w:tcBorders>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TARGET</w:t>
            </w:r>
          </w:p>
        </w:tc>
        <w:tc>
          <w:tcPr>
            <w:tcW w:w="1600" w:type="dxa"/>
            <w:vAlign w:val="bottom"/>
            <w:tcBorders>
              <w:bottom w:val="single" w:sz="8" w:color="EAEAEA"/>
            </w:tcBorders>
            <w:shd w:val="clear" w:color="auto" w:fill="EAEAEA"/>
          </w:tcPr>
          <w:p>
            <w:pPr>
              <w:jc w:val="right"/>
              <w:ind w:right="186"/>
              <w:spacing w:after="0"/>
              <w:rPr>
                <w:sz w:val="20"/>
                <w:szCs w:val="20"/>
                <w:color w:val="auto"/>
              </w:rPr>
            </w:pPr>
            <w:r>
              <w:rPr>
                <w:rFonts w:ascii="Arial" w:cs="Arial" w:eastAsia="Arial" w:hAnsi="Arial"/>
                <w:sz w:val="14"/>
                <w:szCs w:val="14"/>
                <w:b w:val="1"/>
                <w:bCs w:val="1"/>
                <w:color w:val="5D89B4"/>
              </w:rPr>
              <w:t>OUTSTANDING</w:t>
            </w:r>
          </w:p>
        </w:tc>
      </w:tr>
      <w:tr>
        <w:trPr>
          <w:trHeight w:val="24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OPMP 2021</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1.00%</w:t>
            </w:r>
          </w:p>
        </w:tc>
        <w:tc>
          <w:tcPr>
            <w:tcW w:w="1440" w:type="dxa"/>
            <w:vAlign w:val="bottom"/>
          </w:tcPr>
          <w:p>
            <w:pPr>
              <w:jc w:val="right"/>
              <w:ind w:right="246"/>
              <w:spacing w:after="0"/>
              <w:rPr>
                <w:sz w:val="20"/>
                <w:szCs w:val="20"/>
                <w:color w:val="auto"/>
              </w:rPr>
            </w:pPr>
            <w:r>
              <w:rPr>
                <w:rFonts w:ascii="Arial" w:cs="Arial" w:eastAsia="Arial" w:hAnsi="Arial"/>
                <w:sz w:val="15"/>
                <w:szCs w:val="15"/>
                <w:color w:val="auto"/>
              </w:rPr>
              <w:t>2.40%</w:t>
            </w:r>
          </w:p>
        </w:tc>
        <w:tc>
          <w:tcPr>
            <w:tcW w:w="1600" w:type="dxa"/>
            <w:vAlign w:val="bottom"/>
          </w:tcPr>
          <w:p>
            <w:pPr>
              <w:jc w:val="right"/>
              <w:ind w:right="66"/>
              <w:spacing w:after="0"/>
              <w:rPr>
                <w:sz w:val="20"/>
                <w:szCs w:val="20"/>
                <w:color w:val="auto"/>
              </w:rPr>
            </w:pPr>
            <w:r>
              <w:rPr>
                <w:rFonts w:ascii="Arial" w:cs="Arial" w:eastAsia="Arial" w:hAnsi="Arial"/>
                <w:sz w:val="15"/>
                <w:szCs w:val="15"/>
                <w:color w:val="auto"/>
              </w:rPr>
              <w:t>2.80%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Payout Percentage</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0.0%</w:t>
            </w:r>
          </w:p>
        </w:tc>
        <w:tc>
          <w:tcPr>
            <w:tcW w:w="1440" w:type="dxa"/>
            <w:vAlign w:val="bottom"/>
          </w:tcPr>
          <w:p>
            <w:pPr>
              <w:jc w:val="right"/>
              <w:ind w:right="246"/>
              <w:spacing w:after="0"/>
              <w:rPr>
                <w:sz w:val="20"/>
                <w:szCs w:val="20"/>
                <w:color w:val="auto"/>
              </w:rPr>
            </w:pPr>
            <w:r>
              <w:rPr>
                <w:rFonts w:ascii="Arial" w:cs="Arial" w:eastAsia="Arial" w:hAnsi="Arial"/>
                <w:sz w:val="15"/>
                <w:szCs w:val="15"/>
                <w:color w:val="auto"/>
              </w:rPr>
              <w:t>100.0%</w:t>
            </w:r>
          </w:p>
        </w:tc>
        <w:tc>
          <w:tcPr>
            <w:tcW w:w="1600" w:type="dxa"/>
            <w:vAlign w:val="bottom"/>
          </w:tcPr>
          <w:p>
            <w:pPr>
              <w:jc w:val="right"/>
              <w:ind w:right="66"/>
              <w:spacing w:after="0"/>
              <w:rPr>
                <w:sz w:val="20"/>
                <w:szCs w:val="20"/>
                <w:color w:val="auto"/>
              </w:rPr>
            </w:pPr>
            <w:r>
              <w:rPr>
                <w:rFonts w:ascii="Arial" w:cs="Arial" w:eastAsia="Arial" w:hAnsi="Arial"/>
                <w:sz w:val="15"/>
                <w:szCs w:val="15"/>
                <w:color w:val="auto"/>
              </w:rPr>
              <w:t>200.0%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bl>
    <w:p>
      <w:pPr>
        <w:spacing w:after="0" w:line="144" w:lineRule="exact"/>
        <w:rPr>
          <w:sz w:val="20"/>
          <w:szCs w:val="20"/>
          <w:color w:val="auto"/>
        </w:rPr>
      </w:pPr>
    </w:p>
    <w:p>
      <w:pPr>
        <w:ind w:right="460"/>
        <w:spacing w:after="0" w:line="237" w:lineRule="auto"/>
        <w:rPr>
          <w:sz w:val="20"/>
          <w:szCs w:val="20"/>
          <w:color w:val="auto"/>
        </w:rPr>
      </w:pPr>
      <w:r>
        <w:rPr>
          <w:rFonts w:ascii="Arial" w:cs="Arial" w:eastAsia="Arial" w:hAnsi="Arial"/>
          <w:sz w:val="15"/>
          <w:szCs w:val="15"/>
          <w:color w:val="auto"/>
        </w:rPr>
        <w:t>Actual results for OPMP for the one-year performance period of 2021 was 2.97% and the operating profit gate (see below) was also met. However, this PSU payout is still subject to the KPI modifier that will be assessed by the Committee at the end of the three-year vesting period.</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When determining the financial goals for the 2021 grant, the Committee determined that for the 2021 financial year, certain items would be excluded from the</w:t>
      </w:r>
    </w:p>
    <w:p>
      <w:pPr>
        <w:spacing w:after="0"/>
        <w:rPr>
          <w:sz w:val="20"/>
          <w:szCs w:val="20"/>
          <w:color w:val="auto"/>
        </w:rPr>
      </w:pPr>
      <w:r>
        <w:rPr>
          <w:rFonts w:ascii="Arial" w:cs="Arial" w:eastAsia="Arial" w:hAnsi="Arial"/>
          <w:sz w:val="15"/>
          <w:szCs w:val="15"/>
          <w:color w:val="auto"/>
        </w:rPr>
        <w:t>OPMP calculation, as described in the following calculation:</w:t>
      </w:r>
    </w:p>
    <w:p>
      <w:pPr>
        <w:spacing w:after="0" w:line="90" w:lineRule="exact"/>
        <w:rPr>
          <w:sz w:val="20"/>
          <w:szCs w:val="20"/>
          <w:color w:val="auto"/>
        </w:rPr>
      </w:pPr>
    </w:p>
    <w:p>
      <w:pPr>
        <w:ind w:left="220" w:right="60" w:hanging="213"/>
        <w:spacing w:after="0" w:line="234" w:lineRule="auto"/>
        <w:tabs>
          <w:tab w:leader="none" w:pos="220" w:val="left"/>
        </w:tabs>
        <w:numPr>
          <w:ilvl w:val="0"/>
          <w:numId w:val="84"/>
        </w:numPr>
        <w:rPr>
          <w:rFonts w:ascii="Arial" w:cs="Arial" w:eastAsia="Arial" w:hAnsi="Arial"/>
          <w:sz w:val="15"/>
          <w:szCs w:val="15"/>
          <w:color w:val="auto"/>
        </w:rPr>
      </w:pPr>
      <w:r>
        <w:rPr>
          <w:rFonts w:ascii="Arial" w:cs="Arial" w:eastAsia="Arial" w:hAnsi="Arial"/>
          <w:sz w:val="15"/>
          <w:szCs w:val="15"/>
          <w:b w:val="1"/>
          <w:bCs w:val="1"/>
          <w:color w:val="auto"/>
        </w:rPr>
        <w:t xml:space="preserve">OPMP </w:t>
      </w:r>
      <w:r>
        <w:rPr>
          <w:rFonts w:ascii="Arial" w:cs="Arial" w:eastAsia="Arial" w:hAnsi="Arial"/>
          <w:sz w:val="15"/>
          <w:szCs w:val="15"/>
          <w:color w:val="auto"/>
        </w:rPr>
        <w:t>— annual operating profit divided by revenue from services, with adjustments to be made (a) to reverse the impact of a change in accounting method</w:t>
      </w:r>
      <w:r>
        <w:rPr>
          <w:rFonts w:ascii="Arial" w:cs="Arial" w:eastAsia="Arial" w:hAnsi="Arial"/>
          <w:sz w:val="15"/>
          <w:szCs w:val="15"/>
          <w:b w:val="1"/>
          <w:bCs w:val="1"/>
          <w:color w:val="auto"/>
        </w:rPr>
        <w:t xml:space="preserve"> </w:t>
      </w:r>
      <w:r>
        <w:rPr>
          <w:rFonts w:ascii="Arial" w:cs="Arial" w:eastAsia="Arial" w:hAnsi="Arial"/>
          <w:sz w:val="15"/>
          <w:szCs w:val="15"/>
          <w:color w:val="auto"/>
        </w:rPr>
        <w:t>during the performance period, or (b) for any of the following items that exceed $10 million in any year: goodwill impairment, nonrecurring restructuring gains or charges, accounting adjustments related to acquisitions or dispositions where the Company previously held an ownership interest, litigation charges/settlement and non-recurring accrual adjustments pertaining to periods outside of the period of measurement. In addition, the Committee may determine to adjust operating profit margin to reflect the impact of significant regulatory developments or material acquisitions made by the Company.</w:t>
      </w:r>
    </w:p>
    <w:p>
      <w:pPr>
        <w:spacing w:after="0" w:line="113" w:lineRule="exact"/>
        <w:rPr>
          <w:sz w:val="20"/>
          <w:szCs w:val="20"/>
          <w:color w:val="auto"/>
        </w:rPr>
      </w:pPr>
    </w:p>
    <w:p>
      <w:pPr>
        <w:jc w:val="both"/>
        <w:ind w:right="80"/>
        <w:spacing w:after="0" w:line="232" w:lineRule="auto"/>
        <w:rPr>
          <w:sz w:val="20"/>
          <w:szCs w:val="20"/>
          <w:color w:val="auto"/>
        </w:rPr>
      </w:pPr>
      <w:r>
        <w:rPr>
          <w:rFonts w:ascii="Arial" w:cs="Arial" w:eastAsia="Arial" w:hAnsi="Arial"/>
          <w:sz w:val="15"/>
          <w:szCs w:val="15"/>
          <w:color w:val="auto"/>
        </w:rPr>
        <w:t>Our business is historically cyclical and is impacted by numerous macroeconomic conditions. The Committee sets each year’s target levels at the beginning of the year, based on both macroeconomic factors and the Company’s business outlook for the coming year, and does so independently of where the target levels have been set for the prior year. Given the cyclical nature of our business, this may result in targets being set lower than for the prior year, as occurred in 2021.</w:t>
      </w:r>
    </w:p>
    <w:p>
      <w:pPr>
        <w:spacing w:after="0" w:line="128" w:lineRule="exact"/>
        <w:rPr>
          <w:sz w:val="20"/>
          <w:szCs w:val="20"/>
          <w:color w:val="auto"/>
        </w:rPr>
      </w:pPr>
    </w:p>
    <w:p>
      <w:pPr>
        <w:ind w:right="180"/>
        <w:spacing w:after="0" w:line="232" w:lineRule="auto"/>
        <w:rPr>
          <w:sz w:val="20"/>
          <w:szCs w:val="20"/>
          <w:color w:val="auto"/>
        </w:rPr>
      </w:pPr>
      <w:r>
        <w:rPr>
          <w:rFonts w:ascii="Arial" w:cs="Arial" w:eastAsia="Arial" w:hAnsi="Arial"/>
          <w:sz w:val="15"/>
          <w:szCs w:val="15"/>
          <w:color w:val="auto"/>
        </w:rPr>
        <w:t>An operating profit “gate” was also established for the PSUs to ensure operating profit margins are achieved without significantly decreasing revenues. This gate was set at $361.0 million, meaning participants cannot receive more than 100% of the target level payout unless average operating profit for the performance period exceeds $361.0 million. The gate was exceeded for the one-year performance period of 2021.</w:t>
      </w:r>
    </w:p>
    <w:p>
      <w:pPr>
        <w:spacing w:after="0" w:line="128"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As mentioned above, the Committee included a KPI modifier to the final PSU payout that can increase or decrease the final PSU payout by up to 30%. At the end of the 3-year PSU vesting period, the Committee will assess the achievement of the strategic growth objectives and may increase or decrease the PSU payout percent (that was determined based on the OPMP for the performance period and the gate) by an amount up to 30% based on strategic growth objectives over the 3-year life of the award. The KPI modifier cannot decrease the payout below the threshold level nor increase the payout above the outstanding level. The following are the strategic growth objectives set by the Committee for the 2021 grants:</w:t>
      </w:r>
    </w:p>
    <w:p>
      <w:pPr>
        <w:spacing w:after="0" w:line="127" w:lineRule="exact"/>
        <w:rPr>
          <w:sz w:val="20"/>
          <w:szCs w:val="20"/>
          <w:color w:val="auto"/>
        </w:rPr>
      </w:pPr>
    </w:p>
    <w:p>
      <w:pPr>
        <w:ind w:left="220" w:hanging="213"/>
        <w:spacing w:after="0"/>
        <w:tabs>
          <w:tab w:leader="none" w:pos="2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Implement, test and execute various innovative initiatives to improve business growth and improve efficiency;</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Complete technology and transformation transition, strengthen digital brand and cyber security posture;</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Strengthen global governance model, evolve our culture and people and capabilities; and</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Diversify the business by increasing our footprint in certain countries and markets as well as shifting business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9297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43</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Special Grant of PSUs in 2021</w:t>
      </w:r>
    </w:p>
    <w:p>
      <w:pPr>
        <w:spacing w:after="0" w:line="165"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In addition to the regular grant of RSUs above, the Committee made a one-time special grant of PSUs to the NEOs in February 2021. This was designed to incentivize the NEOs to drive Company performance for the critical periods of 2021 and 2022. The payout is keyed to performance over the years 2021 and 2022, the remaining two years in the 2020-2022 PSU cycle that was set immediately before the onset of the pandemic in early 2020. The following table shows the goals established by the Committee in February 2021 for the 2021 Special Grant and the associated payout percentage:</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74"/>
        </w:trPr>
        <w:tc>
          <w:tcPr>
            <w:tcW w:w="3620" w:type="dxa"/>
            <w:vAlign w:val="bottom"/>
            <w:tcBorders>
              <w:bottom w:val="single" w:sz="8" w:color="EAEAEA"/>
            </w:tcBorders>
            <w:shd w:val="clear" w:color="auto" w:fill="EAEAEA"/>
          </w:tcPr>
          <w:p>
            <w:pPr>
              <w:spacing w:after="0"/>
              <w:rPr>
                <w:sz w:val="23"/>
                <w:szCs w:val="23"/>
                <w:color w:val="auto"/>
              </w:rPr>
            </w:pPr>
          </w:p>
        </w:tc>
        <w:tc>
          <w:tcPr>
            <w:tcW w:w="2280" w:type="dxa"/>
            <w:vAlign w:val="bottom"/>
            <w:tcBorders>
              <w:bottom w:val="single" w:sz="8" w:color="EAEAEA"/>
            </w:tcBorders>
            <w:shd w:val="clear" w:color="auto" w:fill="EAEAEA"/>
          </w:tcPr>
          <w:p>
            <w:pPr>
              <w:jc w:val="right"/>
              <w:ind w:right="466"/>
              <w:spacing w:after="0"/>
              <w:rPr>
                <w:sz w:val="20"/>
                <w:szCs w:val="20"/>
                <w:color w:val="auto"/>
              </w:rPr>
            </w:pPr>
            <w:r>
              <w:rPr>
                <w:rFonts w:ascii="Arial" w:cs="Arial" w:eastAsia="Arial" w:hAnsi="Arial"/>
                <w:sz w:val="14"/>
                <w:szCs w:val="14"/>
                <w:b w:val="1"/>
                <w:bCs w:val="1"/>
                <w:color w:val="5D89B4"/>
              </w:rPr>
              <w:t>THRESHOLD</w:t>
            </w:r>
          </w:p>
        </w:tc>
        <w:tc>
          <w:tcPr>
            <w:tcW w:w="1720" w:type="dxa"/>
            <w:vAlign w:val="bottom"/>
            <w:tcBorders>
              <w:bottom w:val="single" w:sz="8" w:color="EAEAEA"/>
            </w:tcBorders>
            <w:shd w:val="clear" w:color="auto" w:fill="EAEAEA"/>
          </w:tcPr>
          <w:p>
            <w:pPr>
              <w:jc w:val="right"/>
              <w:ind w:right="386"/>
              <w:spacing w:after="0"/>
              <w:rPr>
                <w:sz w:val="20"/>
                <w:szCs w:val="20"/>
                <w:color w:val="auto"/>
              </w:rPr>
            </w:pPr>
            <w:r>
              <w:rPr>
                <w:rFonts w:ascii="Arial" w:cs="Arial" w:eastAsia="Arial" w:hAnsi="Arial"/>
                <w:sz w:val="14"/>
                <w:szCs w:val="14"/>
                <w:b w:val="1"/>
                <w:bCs w:val="1"/>
                <w:color w:val="5D89B4"/>
              </w:rPr>
              <w:t>TARGET(1)</w:t>
            </w:r>
          </w:p>
        </w:tc>
        <w:tc>
          <w:tcPr>
            <w:tcW w:w="154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OUTSTANDING</w:t>
            </w:r>
          </w:p>
        </w:tc>
      </w:tr>
      <w:tr>
        <w:trPr>
          <w:trHeight w:val="245"/>
        </w:trPr>
        <w:tc>
          <w:tcPr>
            <w:tcW w:w="3620" w:type="dxa"/>
            <w:vAlign w:val="bottom"/>
          </w:tcPr>
          <w:p>
            <w:pPr>
              <w:ind w:left="60"/>
              <w:spacing w:after="0"/>
              <w:rPr>
                <w:sz w:val="20"/>
                <w:szCs w:val="20"/>
                <w:color w:val="auto"/>
              </w:rPr>
            </w:pPr>
            <w:r>
              <w:rPr>
                <w:rFonts w:ascii="Arial" w:cs="Arial" w:eastAsia="Arial" w:hAnsi="Arial"/>
                <w:sz w:val="14"/>
                <w:szCs w:val="14"/>
                <w:b w:val="1"/>
                <w:bCs w:val="1"/>
                <w:color w:val="auto"/>
              </w:rPr>
              <w:t>Average OPMP 2021-2022</w:t>
            </w:r>
          </w:p>
        </w:tc>
        <w:tc>
          <w:tcPr>
            <w:tcW w:w="2280" w:type="dxa"/>
            <w:vAlign w:val="bottom"/>
          </w:tcPr>
          <w:p>
            <w:pPr>
              <w:jc w:val="right"/>
              <w:ind w:right="326"/>
              <w:spacing w:after="0"/>
              <w:rPr>
                <w:sz w:val="20"/>
                <w:szCs w:val="20"/>
                <w:color w:val="auto"/>
              </w:rPr>
            </w:pPr>
            <w:r>
              <w:rPr>
                <w:rFonts w:ascii="Arial" w:cs="Arial" w:eastAsia="Arial" w:hAnsi="Arial"/>
                <w:sz w:val="15"/>
                <w:szCs w:val="15"/>
                <w:color w:val="auto"/>
              </w:rPr>
              <w:t>1.00%</w:t>
            </w:r>
          </w:p>
        </w:tc>
        <w:tc>
          <w:tcPr>
            <w:tcW w:w="1720" w:type="dxa"/>
            <w:vAlign w:val="bottom"/>
          </w:tcPr>
          <w:p>
            <w:pPr>
              <w:jc w:val="right"/>
              <w:ind w:right="246"/>
              <w:spacing w:after="0"/>
              <w:rPr>
                <w:sz w:val="20"/>
                <w:szCs w:val="20"/>
                <w:color w:val="auto"/>
              </w:rPr>
            </w:pPr>
            <w:r>
              <w:rPr>
                <w:rFonts w:ascii="Arial" w:cs="Arial" w:eastAsia="Arial" w:hAnsi="Arial"/>
                <w:sz w:val="15"/>
                <w:szCs w:val="15"/>
                <w:color w:val="auto"/>
              </w:rPr>
              <w:t>2.50% - 2.80%</w:t>
            </w:r>
          </w:p>
        </w:tc>
        <w:tc>
          <w:tcPr>
            <w:tcW w:w="1540" w:type="dxa"/>
            <w:vAlign w:val="bottom"/>
          </w:tcPr>
          <w:p>
            <w:pPr>
              <w:jc w:val="right"/>
              <w:spacing w:after="0"/>
              <w:rPr>
                <w:sz w:val="20"/>
                <w:szCs w:val="20"/>
                <w:color w:val="auto"/>
              </w:rPr>
            </w:pPr>
            <w:r>
              <w:rPr>
                <w:rFonts w:ascii="Arial" w:cs="Arial" w:eastAsia="Arial" w:hAnsi="Arial"/>
                <w:sz w:val="15"/>
                <w:szCs w:val="15"/>
                <w:color w:val="auto"/>
              </w:rPr>
              <w:t>3.00%</w:t>
            </w:r>
          </w:p>
        </w:tc>
      </w:tr>
      <w:tr>
        <w:trPr>
          <w:trHeight w:val="50"/>
        </w:trPr>
        <w:tc>
          <w:tcPr>
            <w:tcW w:w="36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172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r>
      <w:tr>
        <w:trPr>
          <w:trHeight w:val="225"/>
        </w:trPr>
        <w:tc>
          <w:tcPr>
            <w:tcW w:w="3620" w:type="dxa"/>
            <w:vAlign w:val="bottom"/>
          </w:tcPr>
          <w:p>
            <w:pPr>
              <w:ind w:left="60"/>
              <w:spacing w:after="0"/>
              <w:rPr>
                <w:sz w:val="20"/>
                <w:szCs w:val="20"/>
                <w:color w:val="auto"/>
              </w:rPr>
            </w:pPr>
            <w:r>
              <w:rPr>
                <w:rFonts w:ascii="Arial" w:cs="Arial" w:eastAsia="Arial" w:hAnsi="Arial"/>
                <w:sz w:val="14"/>
                <w:szCs w:val="14"/>
                <w:b w:val="1"/>
                <w:bCs w:val="1"/>
                <w:color w:val="auto"/>
              </w:rPr>
              <w:t>Payout Percentage</w:t>
            </w:r>
          </w:p>
        </w:tc>
        <w:tc>
          <w:tcPr>
            <w:tcW w:w="2280" w:type="dxa"/>
            <w:vAlign w:val="bottom"/>
          </w:tcPr>
          <w:p>
            <w:pPr>
              <w:jc w:val="right"/>
              <w:ind w:right="326"/>
              <w:spacing w:after="0"/>
              <w:rPr>
                <w:sz w:val="20"/>
                <w:szCs w:val="20"/>
                <w:color w:val="auto"/>
              </w:rPr>
            </w:pPr>
            <w:r>
              <w:rPr>
                <w:rFonts w:ascii="Arial" w:cs="Arial" w:eastAsia="Arial" w:hAnsi="Arial"/>
                <w:sz w:val="15"/>
                <w:szCs w:val="15"/>
                <w:color w:val="auto"/>
              </w:rPr>
              <w:t>0.0%</w:t>
            </w:r>
          </w:p>
        </w:tc>
        <w:tc>
          <w:tcPr>
            <w:tcW w:w="1720" w:type="dxa"/>
            <w:vAlign w:val="bottom"/>
          </w:tcPr>
          <w:p>
            <w:pPr>
              <w:jc w:val="right"/>
              <w:ind w:right="246"/>
              <w:spacing w:after="0"/>
              <w:rPr>
                <w:sz w:val="20"/>
                <w:szCs w:val="20"/>
                <w:color w:val="auto"/>
              </w:rPr>
            </w:pPr>
            <w:r>
              <w:rPr>
                <w:rFonts w:ascii="Arial" w:cs="Arial" w:eastAsia="Arial" w:hAnsi="Arial"/>
                <w:sz w:val="15"/>
                <w:szCs w:val="15"/>
                <w:color w:val="auto"/>
              </w:rPr>
              <w:t>100.0%</w:t>
            </w:r>
          </w:p>
        </w:tc>
        <w:tc>
          <w:tcPr>
            <w:tcW w:w="1540" w:type="dxa"/>
            <w:vAlign w:val="bottom"/>
          </w:tcPr>
          <w:p>
            <w:pPr>
              <w:jc w:val="right"/>
              <w:spacing w:after="0"/>
              <w:rPr>
                <w:sz w:val="20"/>
                <w:szCs w:val="20"/>
                <w:color w:val="auto"/>
              </w:rPr>
            </w:pPr>
            <w:r>
              <w:rPr>
                <w:rFonts w:ascii="Arial" w:cs="Arial" w:eastAsia="Arial" w:hAnsi="Arial"/>
                <w:sz w:val="15"/>
                <w:szCs w:val="15"/>
                <w:color w:val="auto"/>
              </w:rPr>
              <w:t>200.0%</w:t>
            </w:r>
          </w:p>
        </w:tc>
      </w:tr>
      <w:tr>
        <w:trPr>
          <w:trHeight w:val="50"/>
        </w:trPr>
        <w:tc>
          <w:tcPr>
            <w:tcW w:w="36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172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1300" w:right="980" w:hanging="316"/>
        <w:spacing w:after="0" w:line="254" w:lineRule="auto"/>
        <w:tabs>
          <w:tab w:leader="none" w:pos="13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For the 2021 Special Grant, an OPMP range was established for target level performance as the Committee determined setting a precise goal over a two-year period was challenging given uncertainty in the economic environment at the time of grant.</w:t>
      </w:r>
    </w:p>
    <w:p>
      <w:pPr>
        <w:spacing w:after="0" w:line="119"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To determine the average OPMP at the end of the two-year period, the actual performance results for each year will be averaged to determine the two-year average performance results. The final award will be determined by using the 2-year payout scale relative to 2-year average performance. For clarity, an OPMP within the range of 2.50-2.80% will be considered to be “at target” performance. For results between 1.00 % and 2.50% the payout percentage will be calculated by interpolation, and the same method will be used for results between 2.80% and 3.00%.</w:t>
      </w:r>
    </w:p>
    <w:p>
      <w:pPr>
        <w:spacing w:after="0" w:line="114" w:lineRule="exact"/>
        <w:rPr>
          <w:sz w:val="20"/>
          <w:szCs w:val="20"/>
          <w:color w:val="auto"/>
        </w:rPr>
      </w:pPr>
    </w:p>
    <w:p>
      <w:pPr>
        <w:ind w:right="180"/>
        <w:spacing w:after="0" w:line="232" w:lineRule="auto"/>
        <w:rPr>
          <w:sz w:val="20"/>
          <w:szCs w:val="20"/>
          <w:color w:val="auto"/>
        </w:rPr>
      </w:pPr>
      <w:r>
        <w:rPr>
          <w:rFonts w:ascii="Arial" w:cs="Arial" w:eastAsia="Arial" w:hAnsi="Arial"/>
          <w:sz w:val="15"/>
          <w:szCs w:val="15"/>
          <w:color w:val="auto"/>
        </w:rPr>
        <w:t>An operating profit “gate” was also established for the PSUs to ensure operating profit margins are achieved without significantly decreasing revenues. This gate was set at $450.0 million, meaning participants cannot receive more than 100% of the target level payout unless average operating profit for the performance period exceeds $450.0 million.</w:t>
      </w:r>
    </w:p>
    <w:p>
      <w:pPr>
        <w:spacing w:after="0" w:line="128" w:lineRule="exact"/>
        <w:rPr>
          <w:sz w:val="20"/>
          <w:szCs w:val="20"/>
          <w:color w:val="auto"/>
        </w:rPr>
      </w:pPr>
    </w:p>
    <w:p>
      <w:pPr>
        <w:ind w:right="80"/>
        <w:spacing w:after="0" w:line="229" w:lineRule="auto"/>
        <w:rPr>
          <w:sz w:val="20"/>
          <w:szCs w:val="20"/>
          <w:color w:val="auto"/>
        </w:rPr>
      </w:pPr>
      <w:r>
        <w:rPr>
          <w:rFonts w:ascii="Arial" w:cs="Arial" w:eastAsia="Arial" w:hAnsi="Arial"/>
          <w:sz w:val="15"/>
          <w:szCs w:val="15"/>
          <w:color w:val="auto"/>
        </w:rPr>
        <w:t>As mentioned above, the Committee included a KPI modifier to the final PSU payout that can increase or decrease the final PSU payout by up to 30%. At the end of the 2-year performance period, the Committee will assess the achievement of the strategic growth objectives and may increase or decrease the PSU payout percent (that was determined based on the OPMP for the 2-year performance period and the gate) by an amount up to 30%. The KPI modifier will not decrease the payout below the threshold level nor increase the payout above the outstanding level. The strategic growth objectives for the 2021 Special Grant are the same as those set by the Committee for the regular annual PSU grant.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Impact of COVID-19 on Performance Share Units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Pandemic Had Significant Adverse Impact on PSU Awards Made in 2018, 2019 and 2020</w:t>
      </w:r>
    </w:p>
    <w:p>
      <w:pPr>
        <w:spacing w:after="0" w:line="161" w:lineRule="exact"/>
        <w:rPr>
          <w:sz w:val="20"/>
          <w:szCs w:val="20"/>
          <w:color w:val="auto"/>
        </w:rPr>
      </w:pPr>
    </w:p>
    <w:p>
      <w:pPr>
        <w:ind w:right="260"/>
        <w:spacing w:after="0" w:line="232" w:lineRule="auto"/>
        <w:rPr>
          <w:sz w:val="20"/>
          <w:szCs w:val="20"/>
          <w:color w:val="auto"/>
        </w:rPr>
      </w:pPr>
      <w:r>
        <w:rPr>
          <w:rFonts w:ascii="Arial" w:cs="Arial" w:eastAsia="Arial" w:hAnsi="Arial"/>
          <w:sz w:val="15"/>
          <w:szCs w:val="15"/>
          <w:color w:val="auto"/>
        </w:rPr>
        <w:t>In February 2018, the Committee set ambitious performance goals for the 2018-2020 PSU performance period, which were based on projections made at that time. Even without the pandemic, they would have required improved performance over the three-year period compared to prior periods, in order to achieve the target OPMP level of 4.10%.</w:t>
      </w:r>
    </w:p>
    <w:p>
      <w:pPr>
        <w:spacing w:after="0" w:line="88"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Instead, notwithstanding management’s significant efforts during 2020, the economic crisis brought about by the pandemic impaired the Company’s results for 2020. The pandemic-era OPMP in 2020 caused the PSUs awarded in 2018 to drop from an expected payout around target level to a payout at threshold level. The decline in OPMP in 2020 had an equally negative impact on the 2019-2021 PSU awards and is expected to have a similar effect on the 2020-2022 awards, which remain outstanding.</w:t>
      </w:r>
    </w:p>
    <w:p>
      <w:pPr>
        <w:spacing w:after="0" w:line="88"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The shares for the 2019-2021 performance cycle vested and were settled in common stock in February 2022, after the Committee determined the achievement of the performance goals. The number of shares earned for each of the NEOs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5040" w:type="dxa"/>
            <w:vAlign w:val="bottom"/>
            <w:shd w:val="clear" w:color="auto" w:fill="EAEAEA"/>
          </w:tcPr>
          <w:p>
            <w:pPr>
              <w:spacing w:after="0"/>
              <w:rPr>
                <w:sz w:val="18"/>
                <w:szCs w:val="18"/>
                <w:color w:val="auto"/>
              </w:rPr>
            </w:pPr>
          </w:p>
        </w:tc>
        <w:tc>
          <w:tcPr>
            <w:tcW w:w="242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PSUs GRANTED</w:t>
            </w:r>
          </w:p>
        </w:tc>
        <w:tc>
          <w:tcPr>
            <w:tcW w:w="1700" w:type="dxa"/>
            <w:vAlign w:val="bottom"/>
            <w:shd w:val="clear" w:color="auto" w:fill="EAEAEA"/>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504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NEO</w:t>
            </w:r>
          </w:p>
        </w:tc>
        <w:tc>
          <w:tcPr>
            <w:tcW w:w="2420" w:type="dxa"/>
            <w:vAlign w:val="bottom"/>
            <w:tcBorders>
              <w:bottom w:val="single" w:sz="8" w:color="EAEAEA"/>
            </w:tcBorders>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AT TARGET(#)</w:t>
            </w:r>
          </w:p>
        </w:tc>
        <w:tc>
          <w:tcPr>
            <w:tcW w:w="17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PSUs EARNED(#)</w:t>
            </w:r>
          </w:p>
        </w:tc>
        <w:tc>
          <w:tcPr>
            <w:tcW w:w="860" w:type="dxa"/>
            <w:vAlign w:val="bottom"/>
          </w:tcPr>
          <w:p>
            <w:pPr>
              <w:spacing w:after="0"/>
              <w:rPr>
                <w:sz w:val="20"/>
                <w:szCs w:val="20"/>
                <w:color w:val="auto"/>
              </w:rPr>
            </w:pPr>
          </w:p>
        </w:tc>
      </w:tr>
      <w:tr>
        <w:trPr>
          <w:trHeight w:val="245"/>
        </w:trPr>
        <w:tc>
          <w:tcPr>
            <w:tcW w:w="900" w:type="dxa"/>
            <w:vAlign w:val="bottom"/>
          </w:tcPr>
          <w:p>
            <w:pPr>
              <w:spacing w:after="0"/>
              <w:rPr>
                <w:sz w:val="21"/>
                <w:szCs w:val="21"/>
                <w:color w:val="auto"/>
              </w:rPr>
            </w:pPr>
          </w:p>
        </w:tc>
        <w:tc>
          <w:tcPr>
            <w:tcW w:w="5040" w:type="dxa"/>
            <w:vAlign w:val="bottom"/>
          </w:tcPr>
          <w:p>
            <w:pPr>
              <w:ind w:left="60"/>
              <w:spacing w:after="0"/>
              <w:rPr>
                <w:sz w:val="20"/>
                <w:szCs w:val="20"/>
                <w:color w:val="auto"/>
              </w:rPr>
            </w:pPr>
            <w:r>
              <w:rPr>
                <w:rFonts w:ascii="Arial" w:cs="Arial" w:eastAsia="Arial" w:hAnsi="Arial"/>
                <w:sz w:val="14"/>
                <w:szCs w:val="14"/>
                <w:b w:val="1"/>
                <w:bCs w:val="1"/>
                <w:color w:val="auto"/>
              </w:rPr>
              <w:t>Jonas Prising</w:t>
            </w:r>
          </w:p>
        </w:tc>
        <w:tc>
          <w:tcPr>
            <w:tcW w:w="2420" w:type="dxa"/>
            <w:vAlign w:val="bottom"/>
          </w:tcPr>
          <w:p>
            <w:pPr>
              <w:jc w:val="right"/>
              <w:ind w:right="385"/>
              <w:spacing w:after="0"/>
              <w:rPr>
                <w:sz w:val="20"/>
                <w:szCs w:val="20"/>
                <w:color w:val="auto"/>
              </w:rPr>
            </w:pPr>
            <w:r>
              <w:rPr>
                <w:rFonts w:ascii="Arial" w:cs="Arial" w:eastAsia="Arial" w:hAnsi="Arial"/>
                <w:sz w:val="15"/>
                <w:szCs w:val="15"/>
                <w:color w:val="auto"/>
              </w:rPr>
              <w:t>65,735</w:t>
            </w:r>
          </w:p>
        </w:tc>
        <w:tc>
          <w:tcPr>
            <w:tcW w:w="1700" w:type="dxa"/>
            <w:vAlign w:val="bottom"/>
          </w:tcPr>
          <w:p>
            <w:pPr>
              <w:jc w:val="right"/>
              <w:spacing w:after="0"/>
              <w:rPr>
                <w:sz w:val="20"/>
                <w:szCs w:val="20"/>
                <w:color w:val="auto"/>
              </w:rPr>
            </w:pPr>
            <w:r>
              <w:rPr>
                <w:rFonts w:ascii="Arial" w:cs="Arial" w:eastAsia="Arial" w:hAnsi="Arial"/>
                <w:sz w:val="15"/>
                <w:szCs w:val="15"/>
                <w:color w:val="auto"/>
              </w:rPr>
              <w:t>41,414</w:t>
            </w:r>
          </w:p>
        </w:tc>
        <w:tc>
          <w:tcPr>
            <w:tcW w:w="860" w:type="dxa"/>
            <w:vAlign w:val="bottom"/>
          </w:tcPr>
          <w:p>
            <w:pPr>
              <w:spacing w:after="0"/>
              <w:rPr>
                <w:sz w:val="21"/>
                <w:szCs w:val="21"/>
                <w:color w:val="auto"/>
              </w:rPr>
            </w:pPr>
          </w:p>
        </w:tc>
      </w:tr>
      <w:tr>
        <w:trPr>
          <w:trHeight w:val="50"/>
        </w:trPr>
        <w:tc>
          <w:tcPr>
            <w:tcW w:w="900" w:type="dxa"/>
            <w:vAlign w:val="bottom"/>
          </w:tcPr>
          <w:p>
            <w:pPr>
              <w:spacing w:after="0"/>
              <w:rPr>
                <w:sz w:val="4"/>
                <w:szCs w:val="4"/>
                <w:color w:val="auto"/>
              </w:rPr>
            </w:pPr>
          </w:p>
        </w:tc>
        <w:tc>
          <w:tcPr>
            <w:tcW w:w="504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170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5040" w:type="dxa"/>
            <w:vAlign w:val="bottom"/>
          </w:tcPr>
          <w:p>
            <w:pPr>
              <w:ind w:left="60"/>
              <w:spacing w:after="0"/>
              <w:rPr>
                <w:sz w:val="20"/>
                <w:szCs w:val="20"/>
                <w:color w:val="auto"/>
              </w:rPr>
            </w:pPr>
            <w:r>
              <w:rPr>
                <w:rFonts w:ascii="Arial" w:cs="Arial" w:eastAsia="Arial" w:hAnsi="Arial"/>
                <w:sz w:val="14"/>
                <w:szCs w:val="14"/>
                <w:b w:val="1"/>
                <w:bCs w:val="1"/>
                <w:color w:val="auto"/>
              </w:rPr>
              <w:t>John T. McGinnis</w:t>
            </w:r>
          </w:p>
        </w:tc>
        <w:tc>
          <w:tcPr>
            <w:tcW w:w="2420" w:type="dxa"/>
            <w:vAlign w:val="bottom"/>
          </w:tcPr>
          <w:p>
            <w:pPr>
              <w:jc w:val="right"/>
              <w:ind w:right="385"/>
              <w:spacing w:after="0"/>
              <w:rPr>
                <w:sz w:val="20"/>
                <w:szCs w:val="20"/>
                <w:color w:val="auto"/>
              </w:rPr>
            </w:pPr>
            <w:r>
              <w:rPr>
                <w:rFonts w:ascii="Arial" w:cs="Arial" w:eastAsia="Arial" w:hAnsi="Arial"/>
                <w:sz w:val="15"/>
                <w:szCs w:val="15"/>
                <w:color w:val="auto"/>
              </w:rPr>
              <w:t>18,122</w:t>
            </w:r>
          </w:p>
        </w:tc>
        <w:tc>
          <w:tcPr>
            <w:tcW w:w="1700" w:type="dxa"/>
            <w:vAlign w:val="bottom"/>
          </w:tcPr>
          <w:p>
            <w:pPr>
              <w:jc w:val="right"/>
              <w:spacing w:after="0"/>
              <w:rPr>
                <w:sz w:val="20"/>
                <w:szCs w:val="20"/>
                <w:color w:val="auto"/>
              </w:rPr>
            </w:pPr>
            <w:r>
              <w:rPr>
                <w:rFonts w:ascii="Arial" w:cs="Arial" w:eastAsia="Arial" w:hAnsi="Arial"/>
                <w:sz w:val="15"/>
                <w:szCs w:val="15"/>
                <w:color w:val="auto"/>
              </w:rPr>
              <w:t>11,417</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504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170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5040" w:type="dxa"/>
            <w:vAlign w:val="bottom"/>
          </w:tcPr>
          <w:p>
            <w:pPr>
              <w:ind w:left="60"/>
              <w:spacing w:after="0"/>
              <w:rPr>
                <w:sz w:val="20"/>
                <w:szCs w:val="20"/>
                <w:color w:val="auto"/>
              </w:rPr>
            </w:pPr>
            <w:r>
              <w:rPr>
                <w:rFonts w:ascii="Arial" w:cs="Arial" w:eastAsia="Arial" w:hAnsi="Arial"/>
                <w:sz w:val="14"/>
                <w:szCs w:val="14"/>
                <w:b w:val="1"/>
                <w:bCs w:val="1"/>
                <w:color w:val="auto"/>
              </w:rPr>
              <w:t>Michelle S. Nettles</w:t>
            </w:r>
          </w:p>
        </w:tc>
        <w:tc>
          <w:tcPr>
            <w:tcW w:w="2420" w:type="dxa"/>
            <w:vAlign w:val="bottom"/>
          </w:tcPr>
          <w:p>
            <w:pPr>
              <w:jc w:val="right"/>
              <w:ind w:right="385"/>
              <w:spacing w:after="0"/>
              <w:rPr>
                <w:sz w:val="20"/>
                <w:szCs w:val="20"/>
                <w:color w:val="auto"/>
              </w:rPr>
            </w:pPr>
            <w:r>
              <w:rPr>
                <w:rFonts w:ascii="Arial" w:cs="Arial" w:eastAsia="Arial" w:hAnsi="Arial"/>
                <w:sz w:val="15"/>
                <w:szCs w:val="15"/>
                <w:color w:val="auto"/>
              </w:rPr>
              <w:t>7,157</w:t>
            </w:r>
          </w:p>
        </w:tc>
        <w:tc>
          <w:tcPr>
            <w:tcW w:w="1700" w:type="dxa"/>
            <w:vAlign w:val="bottom"/>
          </w:tcPr>
          <w:p>
            <w:pPr>
              <w:jc w:val="right"/>
              <w:spacing w:after="0"/>
              <w:rPr>
                <w:sz w:val="20"/>
                <w:szCs w:val="20"/>
                <w:color w:val="auto"/>
              </w:rPr>
            </w:pPr>
            <w:r>
              <w:rPr>
                <w:rFonts w:ascii="Arial" w:cs="Arial" w:eastAsia="Arial" w:hAnsi="Arial"/>
                <w:sz w:val="15"/>
                <w:szCs w:val="15"/>
                <w:color w:val="auto"/>
              </w:rPr>
              <w:t>4,509</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504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170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225"/>
        </w:trPr>
        <w:tc>
          <w:tcPr>
            <w:tcW w:w="900" w:type="dxa"/>
            <w:vAlign w:val="bottom"/>
          </w:tcPr>
          <w:p>
            <w:pPr>
              <w:spacing w:after="0"/>
              <w:rPr>
                <w:sz w:val="19"/>
                <w:szCs w:val="19"/>
                <w:color w:val="auto"/>
              </w:rPr>
            </w:pPr>
          </w:p>
        </w:tc>
        <w:tc>
          <w:tcPr>
            <w:tcW w:w="5040" w:type="dxa"/>
            <w:vAlign w:val="bottom"/>
          </w:tcPr>
          <w:p>
            <w:pPr>
              <w:ind w:left="60"/>
              <w:spacing w:after="0"/>
              <w:rPr>
                <w:sz w:val="20"/>
                <w:szCs w:val="20"/>
                <w:color w:val="auto"/>
              </w:rPr>
            </w:pPr>
            <w:r>
              <w:rPr>
                <w:rFonts w:ascii="Arial" w:cs="Arial" w:eastAsia="Arial" w:hAnsi="Arial"/>
                <w:sz w:val="14"/>
                <w:szCs w:val="14"/>
                <w:b w:val="1"/>
                <w:bCs w:val="1"/>
                <w:color w:val="auto"/>
              </w:rPr>
              <w:t>Richard Buchband</w:t>
            </w:r>
          </w:p>
        </w:tc>
        <w:tc>
          <w:tcPr>
            <w:tcW w:w="2420" w:type="dxa"/>
            <w:vAlign w:val="bottom"/>
          </w:tcPr>
          <w:p>
            <w:pPr>
              <w:jc w:val="right"/>
              <w:ind w:right="385"/>
              <w:spacing w:after="0"/>
              <w:rPr>
                <w:sz w:val="20"/>
                <w:szCs w:val="20"/>
                <w:color w:val="auto"/>
              </w:rPr>
            </w:pPr>
            <w:r>
              <w:rPr>
                <w:rFonts w:ascii="Arial" w:cs="Arial" w:eastAsia="Arial" w:hAnsi="Arial"/>
                <w:sz w:val="15"/>
                <w:szCs w:val="15"/>
                <w:color w:val="auto"/>
              </w:rPr>
              <w:t>5,686</w:t>
            </w:r>
          </w:p>
        </w:tc>
        <w:tc>
          <w:tcPr>
            <w:tcW w:w="1700" w:type="dxa"/>
            <w:vAlign w:val="bottom"/>
          </w:tcPr>
          <w:p>
            <w:pPr>
              <w:jc w:val="right"/>
              <w:spacing w:after="0"/>
              <w:rPr>
                <w:sz w:val="20"/>
                <w:szCs w:val="20"/>
                <w:color w:val="auto"/>
              </w:rPr>
            </w:pPr>
            <w:r>
              <w:rPr>
                <w:rFonts w:ascii="Arial" w:cs="Arial" w:eastAsia="Arial" w:hAnsi="Arial"/>
                <w:sz w:val="15"/>
                <w:szCs w:val="15"/>
                <w:color w:val="auto"/>
              </w:rPr>
              <w:t>3,582</w:t>
            </w:r>
          </w:p>
        </w:tc>
        <w:tc>
          <w:tcPr>
            <w:tcW w:w="860" w:type="dxa"/>
            <w:vAlign w:val="bottom"/>
          </w:tcPr>
          <w:p>
            <w:pPr>
              <w:spacing w:after="0"/>
              <w:rPr>
                <w:sz w:val="19"/>
                <w:szCs w:val="19"/>
                <w:color w:val="auto"/>
              </w:rPr>
            </w:pPr>
          </w:p>
        </w:tc>
      </w:tr>
      <w:tr>
        <w:trPr>
          <w:trHeight w:val="50"/>
        </w:trPr>
        <w:tc>
          <w:tcPr>
            <w:tcW w:w="900" w:type="dxa"/>
            <w:vAlign w:val="bottom"/>
          </w:tcPr>
          <w:p>
            <w:pPr>
              <w:spacing w:after="0"/>
              <w:rPr>
                <w:sz w:val="4"/>
                <w:szCs w:val="4"/>
                <w:color w:val="auto"/>
              </w:rPr>
            </w:pPr>
          </w:p>
        </w:tc>
        <w:tc>
          <w:tcPr>
            <w:tcW w:w="5040" w:type="dxa"/>
            <w:vAlign w:val="bottom"/>
            <w:tcBorders>
              <w:bottom w:val="single" w:sz="8" w:color="5D89B4"/>
            </w:tcBorders>
          </w:tcPr>
          <w:p>
            <w:pPr>
              <w:spacing w:after="0"/>
              <w:rPr>
                <w:sz w:val="4"/>
                <w:szCs w:val="4"/>
                <w:color w:val="auto"/>
              </w:rPr>
            </w:pPr>
          </w:p>
        </w:tc>
        <w:tc>
          <w:tcPr>
            <w:tcW w:w="2420" w:type="dxa"/>
            <w:vAlign w:val="bottom"/>
            <w:tcBorders>
              <w:bottom w:val="single" w:sz="8" w:color="5D89B4"/>
            </w:tcBorders>
          </w:tcPr>
          <w:p>
            <w:pPr>
              <w:spacing w:after="0"/>
              <w:rPr>
                <w:sz w:val="4"/>
                <w:szCs w:val="4"/>
                <w:color w:val="auto"/>
              </w:rPr>
            </w:pPr>
          </w:p>
        </w:tc>
        <w:tc>
          <w:tcPr>
            <w:tcW w:w="1700" w:type="dxa"/>
            <w:vAlign w:val="bottom"/>
            <w:tcBorders>
              <w:bottom w:val="single" w:sz="8" w:color="5D89B4"/>
            </w:tcBorders>
          </w:tcPr>
          <w:p>
            <w:pPr>
              <w:spacing w:after="0"/>
              <w:rPr>
                <w:sz w:val="4"/>
                <w:szCs w:val="4"/>
                <w:color w:val="auto"/>
              </w:rPr>
            </w:pPr>
          </w:p>
        </w:tc>
        <w:tc>
          <w:tcPr>
            <w:tcW w:w="860" w:type="dxa"/>
            <w:vAlign w:val="bottom"/>
          </w:tcPr>
          <w:p>
            <w:pPr>
              <w:spacing w:after="0"/>
              <w:rPr>
                <w:sz w:val="4"/>
                <w:szCs w:val="4"/>
                <w:color w:val="auto"/>
              </w:rPr>
            </w:pPr>
          </w:p>
        </w:tc>
      </w:tr>
      <w:tr>
        <w:trPr>
          <w:trHeight w:val="154"/>
        </w:trPr>
        <w:tc>
          <w:tcPr>
            <w:tcW w:w="900" w:type="dxa"/>
            <w:vAlign w:val="bottom"/>
            <w:tcBorders>
              <w:bottom w:val="single" w:sz="8" w:color="5D89B4"/>
            </w:tcBorders>
          </w:tcPr>
          <w:p>
            <w:pPr>
              <w:spacing w:after="0"/>
              <w:rPr>
                <w:sz w:val="13"/>
                <w:szCs w:val="13"/>
                <w:color w:val="auto"/>
              </w:rPr>
            </w:pPr>
          </w:p>
        </w:tc>
        <w:tc>
          <w:tcPr>
            <w:tcW w:w="5040" w:type="dxa"/>
            <w:vAlign w:val="bottom"/>
            <w:tcBorders>
              <w:bottom w:val="single" w:sz="8" w:color="5D89B4"/>
            </w:tcBorders>
          </w:tcPr>
          <w:p>
            <w:pPr>
              <w:spacing w:after="0"/>
              <w:rPr>
                <w:sz w:val="13"/>
                <w:szCs w:val="13"/>
                <w:color w:val="auto"/>
              </w:rPr>
            </w:pPr>
          </w:p>
        </w:tc>
        <w:tc>
          <w:tcPr>
            <w:tcW w:w="2420" w:type="dxa"/>
            <w:vAlign w:val="bottom"/>
            <w:tcBorders>
              <w:bottom w:val="single" w:sz="8" w:color="5D89B4"/>
            </w:tcBorders>
          </w:tcPr>
          <w:p>
            <w:pPr>
              <w:spacing w:after="0"/>
              <w:rPr>
                <w:sz w:val="13"/>
                <w:szCs w:val="13"/>
                <w:color w:val="auto"/>
              </w:rPr>
            </w:pPr>
          </w:p>
        </w:tc>
        <w:tc>
          <w:tcPr>
            <w:tcW w:w="1700" w:type="dxa"/>
            <w:vAlign w:val="bottom"/>
            <w:tcBorders>
              <w:bottom w:val="single" w:sz="8" w:color="5D89B4"/>
            </w:tcBorders>
          </w:tcPr>
          <w:p>
            <w:pPr>
              <w:spacing w:after="0"/>
              <w:rPr>
                <w:sz w:val="13"/>
                <w:szCs w:val="13"/>
                <w:color w:val="auto"/>
              </w:rPr>
            </w:pPr>
          </w:p>
        </w:tc>
        <w:tc>
          <w:tcPr>
            <w:tcW w:w="860" w:type="dxa"/>
            <w:vAlign w:val="bottom"/>
            <w:tcBorders>
              <w:bottom w:val="single" w:sz="8" w:color="5D89B4"/>
            </w:tcBorders>
          </w:tcPr>
          <w:p>
            <w:pPr>
              <w:spacing w:after="0"/>
              <w:rPr>
                <w:sz w:val="13"/>
                <w:szCs w:val="13"/>
                <w:color w:val="auto"/>
              </w:rPr>
            </w:pPr>
          </w:p>
        </w:tc>
      </w:tr>
      <w:tr>
        <w:trPr>
          <w:trHeight w:val="386"/>
        </w:trPr>
        <w:tc>
          <w:tcPr>
            <w:tcW w:w="900" w:type="dxa"/>
            <w:vAlign w:val="bottom"/>
          </w:tcPr>
          <w:p>
            <w:pPr>
              <w:spacing w:after="0"/>
              <w:rPr>
                <w:sz w:val="24"/>
                <w:szCs w:val="24"/>
                <w:color w:val="auto"/>
              </w:rPr>
            </w:pPr>
          </w:p>
        </w:tc>
        <w:tc>
          <w:tcPr>
            <w:tcW w:w="5040" w:type="dxa"/>
            <w:vAlign w:val="bottom"/>
          </w:tcPr>
          <w:p>
            <w:pPr>
              <w:ind w:left="4460"/>
              <w:spacing w:after="0"/>
              <w:rPr>
                <w:sz w:val="20"/>
                <w:szCs w:val="20"/>
                <w:color w:val="auto"/>
              </w:rPr>
            </w:pPr>
            <w:r>
              <w:rPr>
                <w:rFonts w:ascii="Arial" w:cs="Arial" w:eastAsia="Arial" w:hAnsi="Arial"/>
                <w:sz w:val="20"/>
                <w:szCs w:val="20"/>
                <w:b w:val="1"/>
                <w:bCs w:val="1"/>
                <w:color w:val="5D89B4"/>
              </w:rPr>
              <w:t>44</w:t>
            </w:r>
          </w:p>
        </w:tc>
        <w:tc>
          <w:tcPr>
            <w:tcW w:w="2420" w:type="dxa"/>
            <w:vAlign w:val="bottom"/>
          </w:tcPr>
          <w:p>
            <w:pPr>
              <w:jc w:val="right"/>
              <w:ind w:right="605"/>
              <w:spacing w:after="0"/>
              <w:rPr>
                <w:sz w:val="20"/>
                <w:szCs w:val="20"/>
                <w:color w:val="auto"/>
              </w:rPr>
            </w:pPr>
            <w:r>
              <w:rPr>
                <w:rFonts w:ascii="Arial" w:cs="Arial" w:eastAsia="Arial" w:hAnsi="Arial"/>
                <w:sz w:val="16"/>
                <w:szCs w:val="16"/>
                <w:b w:val="1"/>
                <w:bCs w:val="1"/>
                <w:color w:val="BFBFBF"/>
              </w:rPr>
              <w:t>2022 Proxy Statement</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Introduction of a Special Grant and Utilization of a One-Year Performance Period</w:t>
      </w:r>
    </w:p>
    <w:p>
      <w:pPr>
        <w:spacing w:after="0" w:line="121" w:lineRule="exact"/>
        <w:rPr>
          <w:sz w:val="20"/>
          <w:szCs w:val="20"/>
          <w:color w:val="auto"/>
        </w:rPr>
      </w:pPr>
    </w:p>
    <w:p>
      <w:pPr>
        <w:ind w:right="100"/>
        <w:spacing w:after="0" w:line="228" w:lineRule="auto"/>
        <w:rPr>
          <w:sz w:val="20"/>
          <w:szCs w:val="20"/>
          <w:color w:val="auto"/>
        </w:rPr>
      </w:pPr>
      <w:r>
        <w:rPr>
          <w:rFonts w:ascii="Arial" w:cs="Arial" w:eastAsia="Arial" w:hAnsi="Arial"/>
          <w:sz w:val="15"/>
          <w:szCs w:val="15"/>
          <w:color w:val="auto"/>
        </w:rPr>
        <w:t>As discussed above, the pandemic disrupted the Committee’s normal target-setting process, making the OPMP targets set in February 2020 for the 2020-2022 PSU cycle obsolete weeks after their adoption. In response, the Committee has focused on incentivizing all PSU participants, including the executive team, to drive Company performance for the critical periods of 2021 and 2022. In light of this, the Committee awarded the 2021 Special Grant in February 2021 with more realistic two-year average OPMP goals. These were sized at approximately two-thirds of the 2020 grant value, reflecting the two years remaining in the performance cycle. These grants also include the KPI modifier feature that can increase or decrease the final payout by up to 30% based on an evaluation of pre-established objectives over the performance period.</w:t>
      </w:r>
    </w:p>
    <w:p>
      <w:pPr>
        <w:spacing w:after="0" w:line="127" w:lineRule="exact"/>
        <w:rPr>
          <w:sz w:val="20"/>
          <w:szCs w:val="20"/>
          <w:color w:val="auto"/>
        </w:rPr>
      </w:pPr>
    </w:p>
    <w:p>
      <w:pPr>
        <w:jc w:val="both"/>
        <w:ind w:right="400"/>
        <w:spacing w:after="0" w:line="232" w:lineRule="auto"/>
        <w:rPr>
          <w:sz w:val="20"/>
          <w:szCs w:val="20"/>
          <w:color w:val="auto"/>
        </w:rPr>
      </w:pPr>
      <w:r>
        <w:rPr>
          <w:rFonts w:ascii="Arial" w:cs="Arial" w:eastAsia="Arial" w:hAnsi="Arial"/>
          <w:sz w:val="15"/>
          <w:szCs w:val="15"/>
          <w:color w:val="auto"/>
        </w:rPr>
        <w:t>Similarly, the Committee continues to believe that three-year vesting periods are an important retention feature for its PSU program. However, because of the difficulty in projecting a multi-year OPMP target in February 2021, our regular 2021-2023 PSU grants measure one-year (2021) OPMP performance. The KPI modifier feature will continue to measure progress against objectives over a full three years, and the grants will not vest until the end of the three-year period.</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Restricted Stock Units</w:t>
      </w:r>
    </w:p>
    <w:p>
      <w:pPr>
        <w:spacing w:after="0" w:line="77"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The Committee uses RSUs to align the interests of the NEOs with long-term shareholder value and add balance to the compensation program as they provide both upside potential and downside risk. In addition, RSUs provide a retention incentive to the NEOs as they are only payable in stock if the NEO remains with the Company through the vesting date. The RSUs have a three-year cliff vest.</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Stock Options</w:t>
      </w:r>
    </w:p>
    <w:p>
      <w:pPr>
        <w:spacing w:after="0" w:line="90"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In 2021, the Committee granted stock options to align the interests of the NEOs with long-term shareholder value. Consistent with past years, these vest ratably over a four-year period. The Committee has determined to discontinue the use of stock options for 2022, and instead focus on PSUs and RSUs as the stock-based elements of executive compensation.</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Career Shares, Retirement and Deferred Compensation Plans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Career Shares</w:t>
      </w:r>
    </w:p>
    <w:p>
      <w:pPr>
        <w:spacing w:after="0" w:line="77" w:lineRule="exact"/>
        <w:rPr>
          <w:sz w:val="20"/>
          <w:szCs w:val="20"/>
          <w:color w:val="auto"/>
        </w:rPr>
      </w:pPr>
    </w:p>
    <w:p>
      <w:pPr>
        <w:ind w:right="420"/>
        <w:spacing w:after="0" w:line="237" w:lineRule="auto"/>
        <w:rPr>
          <w:sz w:val="20"/>
          <w:szCs w:val="20"/>
          <w:color w:val="auto"/>
        </w:rPr>
      </w:pPr>
      <w:r>
        <w:rPr>
          <w:rFonts w:ascii="Arial" w:cs="Arial" w:eastAsia="Arial" w:hAnsi="Arial"/>
          <w:sz w:val="15"/>
          <w:szCs w:val="15"/>
          <w:color w:val="auto"/>
        </w:rPr>
        <w:t>The Committee selectively grants RSUs in order to provide a retention incentive. These career shares vest completely on a single date several years into the future. The Committee considers each year whether to make any such grants. None of the NEOs received a career share grant in 2021.</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Retirement and Deferred Compensation Plans</w:t>
      </w:r>
    </w:p>
    <w:p>
      <w:pPr>
        <w:spacing w:after="0" w:line="117" w:lineRule="exact"/>
        <w:rPr>
          <w:sz w:val="20"/>
          <w:szCs w:val="20"/>
          <w:color w:val="auto"/>
        </w:rPr>
      </w:pPr>
    </w:p>
    <w:p>
      <w:pPr>
        <w:ind w:right="80"/>
        <w:spacing w:after="0" w:line="227" w:lineRule="auto"/>
        <w:rPr>
          <w:sz w:val="20"/>
          <w:szCs w:val="20"/>
          <w:color w:val="auto"/>
        </w:rPr>
      </w:pPr>
      <w:r>
        <w:rPr>
          <w:rFonts w:ascii="Arial" w:cs="Arial" w:eastAsia="Arial" w:hAnsi="Arial"/>
          <w:sz w:val="15"/>
          <w:szCs w:val="15"/>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in their first year of employment or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enhanced matching contribution. However, the nonqualified savings plan is a poor substitute because of the inflexibility as to the timing of the payouts and taxability of the retirement benefits relative to a qualified plan. Furthermore, the plan benefits are unsecured and subject to risk of forfeiture in bankruptcy. The Committee maintains this program in an effort to provide NEOs with reasonably competitive benefits to those in the competitive market.</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Other Benefits</w:t>
      </w:r>
    </w:p>
    <w:p>
      <w:pPr>
        <w:spacing w:after="0" w:line="139"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The NEOs are provided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194" w:lineRule="exact"/>
        <w:rPr>
          <w:sz w:val="20"/>
          <w:szCs w:val="20"/>
          <w:color w:val="auto"/>
        </w:rPr>
      </w:pPr>
    </w:p>
    <w:p>
      <w:pPr>
        <w:ind w:right="260"/>
        <w:spacing w:after="0" w:line="232" w:lineRule="auto"/>
        <w:rPr>
          <w:sz w:val="20"/>
          <w:szCs w:val="20"/>
          <w:color w:val="auto"/>
        </w:rPr>
      </w:pPr>
      <w:r>
        <w:rPr>
          <w:rFonts w:ascii="Arial" w:cs="Arial" w:eastAsia="Arial" w:hAnsi="Arial"/>
          <w:sz w:val="15"/>
          <w:szCs w:val="15"/>
          <w:color w:val="auto"/>
        </w:rPr>
        <w:t>ManpowerGroup also reimburses NEOs for financial planning and tax preparation services as well as annual executive physicals. In addition, for some of our NEOs, the company pays dues at a club in Milwaukee that is used for business entertainment. Any personal use of the club would be covered by the executive; however, none of the NEOs used this club for personal use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45</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65" w:lineRule="exact"/>
        <w:rPr>
          <w:sz w:val="20"/>
          <w:szCs w:val="20"/>
          <w:color w:val="auto"/>
        </w:rPr>
      </w:pPr>
    </w:p>
    <w:p>
      <w:pPr>
        <w:ind w:right="40"/>
        <w:spacing w:after="0" w:line="232" w:lineRule="auto"/>
        <w:rPr>
          <w:sz w:val="20"/>
          <w:szCs w:val="20"/>
          <w:color w:val="auto"/>
        </w:rPr>
      </w:pPr>
      <w:r>
        <w:rPr>
          <w:rFonts w:ascii="Arial" w:cs="Arial" w:eastAsia="Arial" w:hAnsi="Arial"/>
          <w:sz w:val="15"/>
          <w:szCs w:val="15"/>
          <w:color w:val="auto"/>
        </w:rPr>
        <w:t>ManpowerGroup historically maintained a broad-based auto program covering approximately 300 management employees in the U.S., including the U.S. based NEOs. Under this program, ManpowerGroup paid 75% of the cost of a leased car for participating NEOs. Mr. Prising ceased participating in the program in 2016, and the program itself is being phased out since 2020. As current leases expire, they have been replaced with an auto allowance, including for participating NEOs.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Severance Agreements</w:t>
      </w:r>
    </w:p>
    <w:p>
      <w:pPr>
        <w:spacing w:after="0" w:line="90"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ManpowerGroup has entered into severance agreements (which include change of control benefits) with each of the NEOs. These severance agreements are more fully described on pages 58-60.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agreements do not provide for any tax gross up payments and require a double trigger in order for our NEOs to receive benefits following a change in control.</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Governance Features of Our Executive Compensation Programs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We Have Stock Ownership Guidelines for Executive Officers</w:t>
      </w:r>
    </w:p>
    <w:p>
      <w:pPr>
        <w:spacing w:after="0" w:line="77" w:lineRule="exact"/>
        <w:rPr>
          <w:sz w:val="20"/>
          <w:szCs w:val="20"/>
          <w:color w:val="auto"/>
        </w:rPr>
      </w:pPr>
    </w:p>
    <w:p>
      <w:pPr>
        <w:ind w:right="80"/>
        <w:spacing w:after="0" w:line="226" w:lineRule="auto"/>
        <w:rPr>
          <w:sz w:val="20"/>
          <w:szCs w:val="20"/>
          <w:color w:val="auto"/>
        </w:rPr>
      </w:pPr>
      <w:r>
        <w:rPr>
          <w:rFonts w:ascii="Arial" w:cs="Arial" w:eastAsia="Arial" w:hAnsi="Arial"/>
          <w:sz w:val="15"/>
          <w:szCs w:val="15"/>
          <w:color w:val="auto"/>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RSUs, and unvested PSUs calculated at the threshold level. The Committee does not consider any stock options or PSUs above the threshold level held by the NEOs. It should be noted that starting with the grants of regular PSUs made in 2021, the Committee has reset the threshold level from 50% to 0%. Under the guidelines, therefore, any unvested PSUs with a 0% threshold feature are not taken into account for determining an executive’s ownership of shares. Additionally, to enforce our stock ownership policies, we limit the ability of executive officers to sell equity until they are in compliance with the guidelines. An executive who has not yet met, or who falls below, the stock ownership guidelines, is required to hold 50% of the shares received from the exercise of stock options or the vesting of RSUs or PSUs until the ownership guidelines have been satisfied. The following table shows the status as of December 31, 2021, of each of the NEOs.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80" w:type="dxa"/>
            <w:vAlign w:val="bottom"/>
            <w:shd w:val="clear" w:color="auto" w:fill="EAEAEA"/>
          </w:tcPr>
          <w:p>
            <w:pPr>
              <w:spacing w:after="0"/>
              <w:rPr>
                <w:sz w:val="15"/>
                <w:szCs w:val="15"/>
                <w:color w:val="auto"/>
              </w:rPr>
            </w:pPr>
          </w:p>
        </w:tc>
        <w:tc>
          <w:tcPr>
            <w:tcW w:w="1480" w:type="dxa"/>
            <w:vAlign w:val="bottom"/>
            <w:shd w:val="clear" w:color="auto" w:fill="EAEAEA"/>
          </w:tcPr>
          <w:p>
            <w:pPr>
              <w:jc w:val="center"/>
              <w:ind w:left="190"/>
              <w:spacing w:after="0"/>
              <w:rPr>
                <w:sz w:val="20"/>
                <w:szCs w:val="20"/>
                <w:color w:val="auto"/>
              </w:rPr>
            </w:pPr>
            <w:r>
              <w:rPr>
                <w:rFonts w:ascii="Arial" w:cs="Arial" w:eastAsia="Arial" w:hAnsi="Arial"/>
                <w:sz w:val="12"/>
                <w:szCs w:val="12"/>
                <w:b w:val="1"/>
                <w:bCs w:val="1"/>
                <w:color w:val="5D89B4"/>
              </w:rPr>
              <w:t>TARGET AS</w:t>
            </w:r>
          </w:p>
        </w:tc>
        <w:tc>
          <w:tcPr>
            <w:tcW w:w="1260" w:type="dxa"/>
            <w:vAlign w:val="bottom"/>
            <w:shd w:val="clear" w:color="auto" w:fill="EAEAEA"/>
          </w:tcPr>
          <w:p>
            <w:pPr>
              <w:spacing w:after="0"/>
              <w:rPr>
                <w:sz w:val="15"/>
                <w:szCs w:val="15"/>
                <w:color w:val="auto"/>
              </w:rPr>
            </w:pPr>
          </w:p>
        </w:tc>
        <w:tc>
          <w:tcPr>
            <w:tcW w:w="2020" w:type="dxa"/>
            <w:vAlign w:val="bottom"/>
            <w:shd w:val="clear" w:color="auto" w:fill="EAEAEA"/>
          </w:tcPr>
          <w:p>
            <w:pPr>
              <w:spacing w:after="0"/>
              <w:rPr>
                <w:sz w:val="15"/>
                <w:szCs w:val="15"/>
                <w:color w:val="auto"/>
              </w:rPr>
            </w:pPr>
          </w:p>
        </w:tc>
        <w:tc>
          <w:tcPr>
            <w:tcW w:w="1960" w:type="dxa"/>
            <w:vAlign w:val="bottom"/>
            <w:shd w:val="clear" w:color="auto" w:fill="EAEAEA"/>
          </w:tcPr>
          <w:p>
            <w:pPr>
              <w:jc w:val="right"/>
              <w:ind w:right="210"/>
              <w:spacing w:after="0"/>
              <w:rPr>
                <w:sz w:val="20"/>
                <w:szCs w:val="20"/>
                <w:color w:val="auto"/>
              </w:rPr>
            </w:pPr>
            <w:r>
              <w:rPr>
                <w:rFonts w:ascii="Arial" w:cs="Arial" w:eastAsia="Arial" w:hAnsi="Arial"/>
                <w:sz w:val="12"/>
                <w:szCs w:val="12"/>
                <w:b w:val="1"/>
                <w:bCs w:val="1"/>
                <w:color w:val="5D89B4"/>
              </w:rPr>
              <w:t>NUMBER OF</w:t>
            </w:r>
          </w:p>
        </w:tc>
        <w:tc>
          <w:tcPr>
            <w:tcW w:w="1520" w:type="dxa"/>
            <w:vAlign w:val="bottom"/>
            <w:shd w:val="clear" w:color="auto" w:fill="EAEAEA"/>
          </w:tcPr>
          <w:p>
            <w:pPr>
              <w:spacing w:after="0"/>
              <w:rPr>
                <w:sz w:val="15"/>
                <w:szCs w:val="15"/>
                <w:color w:val="auto"/>
              </w:rPr>
            </w:pPr>
          </w:p>
        </w:tc>
      </w:tr>
      <w:tr>
        <w:trPr>
          <w:trHeight w:val="134"/>
        </w:trPr>
        <w:tc>
          <w:tcPr>
            <w:tcW w:w="2680" w:type="dxa"/>
            <w:vAlign w:val="bottom"/>
            <w:shd w:val="clear" w:color="auto" w:fill="EAEAEA"/>
          </w:tcPr>
          <w:p>
            <w:pPr>
              <w:spacing w:after="0"/>
              <w:rPr>
                <w:sz w:val="11"/>
                <w:szCs w:val="11"/>
                <w:color w:val="auto"/>
              </w:rPr>
            </w:pPr>
          </w:p>
        </w:tc>
        <w:tc>
          <w:tcPr>
            <w:tcW w:w="1480" w:type="dxa"/>
            <w:vAlign w:val="bottom"/>
            <w:shd w:val="clear" w:color="auto" w:fill="EAEAEA"/>
          </w:tcPr>
          <w:p>
            <w:pPr>
              <w:jc w:val="center"/>
              <w:ind w:left="190"/>
              <w:spacing w:after="0" w:line="134" w:lineRule="exact"/>
              <w:rPr>
                <w:sz w:val="20"/>
                <w:szCs w:val="20"/>
                <w:color w:val="auto"/>
              </w:rPr>
            </w:pPr>
            <w:r>
              <w:rPr>
                <w:rFonts w:ascii="Arial" w:cs="Arial" w:eastAsia="Arial" w:hAnsi="Arial"/>
                <w:sz w:val="12"/>
                <w:szCs w:val="12"/>
                <w:b w:val="1"/>
                <w:bCs w:val="1"/>
                <w:color w:val="5D89B4"/>
              </w:rPr>
              <w:t>A MULTIPLE</w:t>
            </w:r>
          </w:p>
        </w:tc>
        <w:tc>
          <w:tcPr>
            <w:tcW w:w="1260" w:type="dxa"/>
            <w:vAlign w:val="bottom"/>
            <w:shd w:val="clear" w:color="auto" w:fill="EAEAEA"/>
          </w:tcPr>
          <w:p>
            <w:pPr>
              <w:jc w:val="right"/>
              <w:ind w:right="209"/>
              <w:spacing w:after="0" w:line="134" w:lineRule="exact"/>
              <w:rPr>
                <w:sz w:val="20"/>
                <w:szCs w:val="20"/>
                <w:color w:val="auto"/>
              </w:rPr>
            </w:pPr>
            <w:r>
              <w:rPr>
                <w:rFonts w:ascii="Arial" w:cs="Arial" w:eastAsia="Arial" w:hAnsi="Arial"/>
                <w:sz w:val="12"/>
                <w:szCs w:val="12"/>
                <w:b w:val="1"/>
                <w:bCs w:val="1"/>
                <w:color w:val="5D89B4"/>
              </w:rPr>
              <w:t>TARGET</w:t>
            </w:r>
          </w:p>
        </w:tc>
        <w:tc>
          <w:tcPr>
            <w:tcW w:w="2020" w:type="dxa"/>
            <w:vAlign w:val="bottom"/>
            <w:shd w:val="clear" w:color="auto" w:fill="EAEAEA"/>
          </w:tcPr>
          <w:p>
            <w:pPr>
              <w:jc w:val="right"/>
              <w:ind w:right="209"/>
              <w:spacing w:after="0" w:line="134" w:lineRule="exact"/>
              <w:rPr>
                <w:sz w:val="20"/>
                <w:szCs w:val="20"/>
                <w:color w:val="auto"/>
              </w:rPr>
            </w:pPr>
            <w:r>
              <w:rPr>
                <w:rFonts w:ascii="Arial" w:cs="Arial" w:eastAsia="Arial" w:hAnsi="Arial"/>
                <w:sz w:val="12"/>
                <w:szCs w:val="12"/>
                <w:b w:val="1"/>
                <w:bCs w:val="1"/>
                <w:color w:val="5D89B4"/>
              </w:rPr>
              <w:t>TARGET</w:t>
            </w:r>
          </w:p>
        </w:tc>
        <w:tc>
          <w:tcPr>
            <w:tcW w:w="1960" w:type="dxa"/>
            <w:vAlign w:val="bottom"/>
            <w:shd w:val="clear" w:color="auto" w:fill="EAEAEA"/>
          </w:tcPr>
          <w:p>
            <w:pPr>
              <w:jc w:val="right"/>
              <w:ind w:right="210"/>
              <w:spacing w:after="0" w:line="134" w:lineRule="exact"/>
              <w:rPr>
                <w:sz w:val="20"/>
                <w:szCs w:val="20"/>
                <w:color w:val="auto"/>
              </w:rPr>
            </w:pPr>
            <w:r>
              <w:rPr>
                <w:rFonts w:ascii="Arial" w:cs="Arial" w:eastAsia="Arial" w:hAnsi="Arial"/>
                <w:sz w:val="12"/>
                <w:szCs w:val="12"/>
                <w:b w:val="1"/>
                <w:bCs w:val="1"/>
                <w:color w:val="5D89B4"/>
              </w:rPr>
              <w:t>SHARES HELD AS OF</w:t>
            </w:r>
          </w:p>
        </w:tc>
        <w:tc>
          <w:tcPr>
            <w:tcW w:w="1520" w:type="dxa"/>
            <w:vAlign w:val="bottom"/>
            <w:shd w:val="clear" w:color="auto" w:fill="EAEAEA"/>
          </w:tcPr>
          <w:p>
            <w:pPr>
              <w:jc w:val="center"/>
              <w:ind w:left="218"/>
              <w:spacing w:after="0" w:line="134" w:lineRule="exact"/>
              <w:rPr>
                <w:sz w:val="20"/>
                <w:szCs w:val="20"/>
                <w:color w:val="auto"/>
              </w:rPr>
            </w:pPr>
            <w:r>
              <w:rPr>
                <w:rFonts w:ascii="Arial" w:cs="Arial" w:eastAsia="Arial" w:hAnsi="Arial"/>
                <w:sz w:val="12"/>
                <w:szCs w:val="12"/>
                <w:b w:val="1"/>
                <w:bCs w:val="1"/>
                <w:color w:val="5D89B4"/>
                <w:w w:val="99"/>
              </w:rPr>
              <w:t>STATUS AS OF</w:t>
            </w:r>
          </w:p>
        </w:tc>
      </w:tr>
      <w:tr>
        <w:trPr>
          <w:trHeight w:val="201"/>
        </w:trPr>
        <w:tc>
          <w:tcPr>
            <w:tcW w:w="26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NEO</w:t>
            </w:r>
          </w:p>
        </w:tc>
        <w:tc>
          <w:tcPr>
            <w:tcW w:w="1480" w:type="dxa"/>
            <w:vAlign w:val="bottom"/>
            <w:tcBorders>
              <w:bottom w:val="single" w:sz="8" w:color="EAEAEA"/>
            </w:tcBorders>
            <w:shd w:val="clear" w:color="auto" w:fill="EAEAEA"/>
          </w:tcPr>
          <w:p>
            <w:pPr>
              <w:jc w:val="center"/>
              <w:ind w:left="170"/>
              <w:spacing w:after="0"/>
              <w:rPr>
                <w:sz w:val="20"/>
                <w:szCs w:val="20"/>
                <w:color w:val="auto"/>
              </w:rPr>
            </w:pPr>
            <w:r>
              <w:rPr>
                <w:rFonts w:ascii="Arial" w:cs="Arial" w:eastAsia="Arial" w:hAnsi="Arial"/>
                <w:sz w:val="12"/>
                <w:szCs w:val="12"/>
                <w:b w:val="1"/>
                <w:bCs w:val="1"/>
                <w:color w:val="5D89B4"/>
              </w:rPr>
              <w:t>OF SALARY</w:t>
            </w:r>
          </w:p>
        </w:tc>
        <w:tc>
          <w:tcPr>
            <w:tcW w:w="1260" w:type="dxa"/>
            <w:vAlign w:val="bottom"/>
            <w:tcBorders>
              <w:bottom w:val="single" w:sz="8" w:color="EAEAEA"/>
            </w:tcBorders>
            <w:shd w:val="clear" w:color="auto" w:fill="EAEAEA"/>
          </w:tcPr>
          <w:p>
            <w:pPr>
              <w:jc w:val="right"/>
              <w:ind w:right="209"/>
              <w:spacing w:after="0"/>
              <w:rPr>
                <w:sz w:val="20"/>
                <w:szCs w:val="20"/>
                <w:color w:val="auto"/>
              </w:rPr>
            </w:pPr>
            <w:r>
              <w:rPr>
                <w:rFonts w:ascii="Arial" w:cs="Arial" w:eastAsia="Arial" w:hAnsi="Arial"/>
                <w:sz w:val="12"/>
                <w:szCs w:val="12"/>
                <w:b w:val="1"/>
                <w:bCs w:val="1"/>
                <w:color w:val="5D89B4"/>
              </w:rPr>
              <w:t>VALUE($)(1)</w:t>
            </w:r>
          </w:p>
        </w:tc>
        <w:tc>
          <w:tcPr>
            <w:tcW w:w="2020" w:type="dxa"/>
            <w:vAlign w:val="bottom"/>
            <w:tcBorders>
              <w:bottom w:val="single" w:sz="8" w:color="EAEAEA"/>
            </w:tcBorders>
            <w:shd w:val="clear" w:color="auto" w:fill="EAEAEA"/>
          </w:tcPr>
          <w:p>
            <w:pPr>
              <w:jc w:val="right"/>
              <w:ind w:right="209"/>
              <w:spacing w:after="0"/>
              <w:rPr>
                <w:sz w:val="20"/>
                <w:szCs w:val="20"/>
                <w:color w:val="auto"/>
              </w:rPr>
            </w:pPr>
            <w:r>
              <w:rPr>
                <w:rFonts w:ascii="Arial" w:cs="Arial" w:eastAsia="Arial" w:hAnsi="Arial"/>
                <w:sz w:val="12"/>
                <w:szCs w:val="12"/>
                <w:b w:val="1"/>
                <w:bCs w:val="1"/>
                <w:color w:val="5D89B4"/>
              </w:rPr>
              <w:t>NUMBER OF SHARES(#)</w:t>
            </w:r>
          </w:p>
        </w:tc>
        <w:tc>
          <w:tcPr>
            <w:tcW w:w="1960" w:type="dxa"/>
            <w:vAlign w:val="bottom"/>
            <w:tcBorders>
              <w:bottom w:val="single" w:sz="8" w:color="EAEAEA"/>
            </w:tcBorders>
            <w:shd w:val="clear" w:color="auto" w:fill="EAEAEA"/>
          </w:tcPr>
          <w:p>
            <w:pPr>
              <w:jc w:val="right"/>
              <w:ind w:right="210"/>
              <w:spacing w:after="0"/>
              <w:rPr>
                <w:sz w:val="20"/>
                <w:szCs w:val="20"/>
                <w:color w:val="auto"/>
              </w:rPr>
            </w:pPr>
            <w:r>
              <w:rPr>
                <w:rFonts w:ascii="Arial" w:cs="Arial" w:eastAsia="Arial" w:hAnsi="Arial"/>
                <w:sz w:val="12"/>
                <w:szCs w:val="12"/>
                <w:b w:val="1"/>
                <w:bCs w:val="1"/>
                <w:color w:val="5D89B4"/>
              </w:rPr>
              <w:t>DECEMBER 31, 2021(#)</w:t>
            </w:r>
          </w:p>
        </w:tc>
        <w:tc>
          <w:tcPr>
            <w:tcW w:w="1520" w:type="dxa"/>
            <w:vAlign w:val="bottom"/>
            <w:tcBorders>
              <w:bottom w:val="single" w:sz="8" w:color="EAEAEA"/>
            </w:tcBorders>
            <w:shd w:val="clear" w:color="auto" w:fill="EAEAEA"/>
          </w:tcPr>
          <w:p>
            <w:pPr>
              <w:jc w:val="center"/>
              <w:ind w:left="218"/>
              <w:spacing w:after="0"/>
              <w:rPr>
                <w:sz w:val="20"/>
                <w:szCs w:val="20"/>
                <w:color w:val="auto"/>
              </w:rPr>
            </w:pPr>
            <w:r>
              <w:rPr>
                <w:rFonts w:ascii="Arial" w:cs="Arial" w:eastAsia="Arial" w:hAnsi="Arial"/>
                <w:sz w:val="12"/>
                <w:szCs w:val="12"/>
                <w:b w:val="1"/>
                <w:bCs w:val="1"/>
                <w:color w:val="5D89B4"/>
              </w:rPr>
              <w:t>DECEMBER 31, 2021</w:t>
            </w:r>
          </w:p>
        </w:tc>
      </w:tr>
      <w:tr>
        <w:trPr>
          <w:trHeight w:val="245"/>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480" w:type="dxa"/>
            <w:vAlign w:val="bottom"/>
          </w:tcPr>
          <w:p>
            <w:pPr>
              <w:jc w:val="center"/>
              <w:ind w:left="170"/>
              <w:spacing w:after="0"/>
              <w:rPr>
                <w:sz w:val="20"/>
                <w:szCs w:val="20"/>
                <w:color w:val="auto"/>
              </w:rPr>
            </w:pPr>
            <w:r>
              <w:rPr>
                <w:rFonts w:ascii="Arial" w:cs="Arial" w:eastAsia="Arial" w:hAnsi="Arial"/>
                <w:sz w:val="15"/>
                <w:szCs w:val="15"/>
                <w:color w:val="auto"/>
                <w:w w:val="95"/>
              </w:rPr>
              <w:t>6</w:t>
            </w:r>
          </w:p>
        </w:tc>
        <w:tc>
          <w:tcPr>
            <w:tcW w:w="1260" w:type="dxa"/>
            <w:vAlign w:val="bottom"/>
          </w:tcPr>
          <w:p>
            <w:pPr>
              <w:jc w:val="right"/>
              <w:ind w:right="209"/>
              <w:spacing w:after="0"/>
              <w:rPr>
                <w:sz w:val="20"/>
                <w:szCs w:val="20"/>
                <w:color w:val="auto"/>
              </w:rPr>
            </w:pPr>
            <w:r>
              <w:rPr>
                <w:rFonts w:ascii="Arial" w:cs="Arial" w:eastAsia="Arial" w:hAnsi="Arial"/>
                <w:sz w:val="15"/>
                <w:szCs w:val="15"/>
                <w:color w:val="auto"/>
              </w:rPr>
              <w:t>6,600,000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94,011</w:t>
            </w:r>
          </w:p>
        </w:tc>
        <w:tc>
          <w:tcPr>
            <w:tcW w:w="1960" w:type="dxa"/>
            <w:vAlign w:val="bottom"/>
          </w:tcPr>
          <w:p>
            <w:pPr>
              <w:jc w:val="right"/>
              <w:ind w:right="210"/>
              <w:spacing w:after="0"/>
              <w:rPr>
                <w:sz w:val="20"/>
                <w:szCs w:val="20"/>
                <w:color w:val="auto"/>
              </w:rPr>
            </w:pPr>
            <w:r>
              <w:rPr>
                <w:rFonts w:ascii="Arial" w:cs="Arial" w:eastAsia="Arial" w:hAnsi="Arial"/>
                <w:sz w:val="15"/>
                <w:szCs w:val="15"/>
                <w:color w:val="auto"/>
              </w:rPr>
              <w:t>397,374</w:t>
            </w:r>
          </w:p>
        </w:tc>
        <w:tc>
          <w:tcPr>
            <w:tcW w:w="1520" w:type="dxa"/>
            <w:vAlign w:val="bottom"/>
          </w:tcPr>
          <w:p>
            <w:pPr>
              <w:spacing w:after="0"/>
              <w:rPr>
                <w:sz w:val="21"/>
                <w:szCs w:val="21"/>
                <w:color w:val="auto"/>
              </w:rPr>
            </w:pPr>
          </w:p>
        </w:tc>
      </w:tr>
      <w:tr>
        <w:trPr>
          <w:trHeight w:val="50"/>
        </w:trPr>
        <w:tc>
          <w:tcPr>
            <w:tcW w:w="268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John T. McGinnis(2)</w:t>
            </w:r>
          </w:p>
        </w:tc>
        <w:tc>
          <w:tcPr>
            <w:tcW w:w="1480" w:type="dxa"/>
            <w:vAlign w:val="bottom"/>
          </w:tcPr>
          <w:p>
            <w:pPr>
              <w:jc w:val="center"/>
              <w:ind w:left="170"/>
              <w:spacing w:after="0"/>
              <w:rPr>
                <w:sz w:val="20"/>
                <w:szCs w:val="20"/>
                <w:color w:val="auto"/>
              </w:rPr>
            </w:pPr>
            <w:r>
              <w:rPr>
                <w:rFonts w:ascii="Arial" w:cs="Arial" w:eastAsia="Arial" w:hAnsi="Arial"/>
                <w:sz w:val="15"/>
                <w:szCs w:val="15"/>
                <w:color w:val="auto"/>
                <w:w w:val="95"/>
              </w:rPr>
              <w:t>4</w:t>
            </w:r>
          </w:p>
        </w:tc>
        <w:tc>
          <w:tcPr>
            <w:tcW w:w="1260" w:type="dxa"/>
            <w:vAlign w:val="bottom"/>
          </w:tcPr>
          <w:p>
            <w:pPr>
              <w:jc w:val="right"/>
              <w:ind w:right="209"/>
              <w:spacing w:after="0"/>
              <w:rPr>
                <w:sz w:val="20"/>
                <w:szCs w:val="20"/>
                <w:color w:val="auto"/>
              </w:rPr>
            </w:pPr>
            <w:r>
              <w:rPr>
                <w:rFonts w:ascii="Arial" w:cs="Arial" w:eastAsia="Arial" w:hAnsi="Arial"/>
                <w:sz w:val="15"/>
                <w:szCs w:val="15"/>
                <w:color w:val="auto"/>
              </w:rPr>
              <w:t>2,400,000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32,994</w:t>
            </w:r>
          </w:p>
        </w:tc>
        <w:tc>
          <w:tcPr>
            <w:tcW w:w="1960" w:type="dxa"/>
            <w:vAlign w:val="bottom"/>
          </w:tcPr>
          <w:p>
            <w:pPr>
              <w:jc w:val="right"/>
              <w:ind w:right="210"/>
              <w:spacing w:after="0"/>
              <w:rPr>
                <w:sz w:val="20"/>
                <w:szCs w:val="20"/>
                <w:color w:val="auto"/>
              </w:rPr>
            </w:pPr>
            <w:r>
              <w:rPr>
                <w:rFonts w:ascii="Arial" w:cs="Arial" w:eastAsia="Arial" w:hAnsi="Arial"/>
                <w:sz w:val="15"/>
                <w:szCs w:val="15"/>
                <w:color w:val="auto"/>
              </w:rPr>
              <w:t>51,127</w:t>
            </w:r>
          </w:p>
        </w:tc>
        <w:tc>
          <w:tcPr>
            <w:tcW w:w="1520" w:type="dxa"/>
            <w:vAlign w:val="bottom"/>
          </w:tcPr>
          <w:p>
            <w:pPr>
              <w:spacing w:after="0"/>
              <w:rPr>
                <w:sz w:val="19"/>
                <w:szCs w:val="19"/>
                <w:color w:val="auto"/>
              </w:rPr>
            </w:pPr>
          </w:p>
        </w:tc>
      </w:tr>
      <w:tr>
        <w:trPr>
          <w:trHeight w:val="50"/>
        </w:trPr>
        <w:tc>
          <w:tcPr>
            <w:tcW w:w="268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Michelle S. Nettles(2)</w:t>
            </w:r>
          </w:p>
        </w:tc>
        <w:tc>
          <w:tcPr>
            <w:tcW w:w="1480" w:type="dxa"/>
            <w:vAlign w:val="bottom"/>
          </w:tcPr>
          <w:p>
            <w:pPr>
              <w:jc w:val="center"/>
              <w:ind w:left="170"/>
              <w:spacing w:after="0"/>
              <w:rPr>
                <w:sz w:val="20"/>
                <w:szCs w:val="20"/>
                <w:color w:val="auto"/>
              </w:rPr>
            </w:pPr>
            <w:r>
              <w:rPr>
                <w:rFonts w:ascii="Arial" w:cs="Arial" w:eastAsia="Arial" w:hAnsi="Arial"/>
                <w:sz w:val="15"/>
                <w:szCs w:val="15"/>
                <w:color w:val="auto"/>
                <w:w w:val="95"/>
              </w:rPr>
              <w:t>3</w:t>
            </w:r>
          </w:p>
        </w:tc>
        <w:tc>
          <w:tcPr>
            <w:tcW w:w="1260" w:type="dxa"/>
            <w:vAlign w:val="bottom"/>
          </w:tcPr>
          <w:p>
            <w:pPr>
              <w:jc w:val="right"/>
              <w:ind w:right="209"/>
              <w:spacing w:after="0"/>
              <w:rPr>
                <w:sz w:val="20"/>
                <w:szCs w:val="20"/>
                <w:color w:val="auto"/>
              </w:rPr>
            </w:pPr>
            <w:r>
              <w:rPr>
                <w:rFonts w:ascii="Arial" w:cs="Arial" w:eastAsia="Arial" w:hAnsi="Arial"/>
                <w:sz w:val="15"/>
                <w:szCs w:val="15"/>
                <w:color w:val="auto"/>
              </w:rPr>
              <w:t>1,650,000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22,968</w:t>
            </w:r>
          </w:p>
        </w:tc>
        <w:tc>
          <w:tcPr>
            <w:tcW w:w="1960" w:type="dxa"/>
            <w:vAlign w:val="bottom"/>
          </w:tcPr>
          <w:p>
            <w:pPr>
              <w:jc w:val="right"/>
              <w:ind w:right="210"/>
              <w:spacing w:after="0"/>
              <w:rPr>
                <w:sz w:val="20"/>
                <w:szCs w:val="20"/>
                <w:color w:val="auto"/>
              </w:rPr>
            </w:pPr>
            <w:r>
              <w:rPr>
                <w:rFonts w:ascii="Arial" w:cs="Arial" w:eastAsia="Arial" w:hAnsi="Arial"/>
                <w:sz w:val="15"/>
                <w:szCs w:val="15"/>
                <w:color w:val="auto"/>
              </w:rPr>
              <w:t>24,604</w:t>
            </w:r>
          </w:p>
        </w:tc>
        <w:tc>
          <w:tcPr>
            <w:tcW w:w="1520" w:type="dxa"/>
            <w:vAlign w:val="bottom"/>
          </w:tcPr>
          <w:p>
            <w:pPr>
              <w:spacing w:after="0"/>
              <w:rPr>
                <w:sz w:val="19"/>
                <w:szCs w:val="19"/>
                <w:color w:val="auto"/>
              </w:rPr>
            </w:pPr>
          </w:p>
        </w:tc>
      </w:tr>
      <w:tr>
        <w:trPr>
          <w:trHeight w:val="50"/>
        </w:trPr>
        <w:tc>
          <w:tcPr>
            <w:tcW w:w="268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480" w:type="dxa"/>
            <w:vAlign w:val="bottom"/>
          </w:tcPr>
          <w:p>
            <w:pPr>
              <w:jc w:val="center"/>
              <w:ind w:left="170"/>
              <w:spacing w:after="0"/>
              <w:rPr>
                <w:sz w:val="20"/>
                <w:szCs w:val="20"/>
                <w:color w:val="auto"/>
              </w:rPr>
            </w:pPr>
            <w:r>
              <w:rPr>
                <w:rFonts w:ascii="Arial" w:cs="Arial" w:eastAsia="Arial" w:hAnsi="Arial"/>
                <w:sz w:val="15"/>
                <w:szCs w:val="15"/>
                <w:color w:val="auto"/>
                <w:w w:val="95"/>
              </w:rPr>
              <w:t>2</w:t>
            </w:r>
          </w:p>
        </w:tc>
        <w:tc>
          <w:tcPr>
            <w:tcW w:w="1260" w:type="dxa"/>
            <w:vAlign w:val="bottom"/>
          </w:tcPr>
          <w:p>
            <w:pPr>
              <w:jc w:val="right"/>
              <w:ind w:right="209"/>
              <w:spacing w:after="0"/>
              <w:rPr>
                <w:sz w:val="20"/>
                <w:szCs w:val="20"/>
                <w:color w:val="auto"/>
              </w:rPr>
            </w:pPr>
            <w:r>
              <w:rPr>
                <w:rFonts w:ascii="Arial" w:cs="Arial" w:eastAsia="Arial" w:hAnsi="Arial"/>
                <w:sz w:val="15"/>
                <w:szCs w:val="15"/>
                <w:color w:val="auto"/>
              </w:rPr>
              <w:t>910,000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12,962</w:t>
            </w:r>
          </w:p>
        </w:tc>
        <w:tc>
          <w:tcPr>
            <w:tcW w:w="1960" w:type="dxa"/>
            <w:vAlign w:val="bottom"/>
          </w:tcPr>
          <w:p>
            <w:pPr>
              <w:jc w:val="right"/>
              <w:ind w:right="210"/>
              <w:spacing w:after="0"/>
              <w:rPr>
                <w:sz w:val="20"/>
                <w:szCs w:val="20"/>
                <w:color w:val="auto"/>
              </w:rPr>
            </w:pPr>
            <w:r>
              <w:rPr>
                <w:rFonts w:ascii="Arial" w:cs="Arial" w:eastAsia="Arial" w:hAnsi="Arial"/>
                <w:sz w:val="15"/>
                <w:szCs w:val="15"/>
                <w:color w:val="auto"/>
              </w:rPr>
              <w:t>16,224</w:t>
            </w:r>
          </w:p>
        </w:tc>
        <w:tc>
          <w:tcPr>
            <w:tcW w:w="1520" w:type="dxa"/>
            <w:vAlign w:val="bottom"/>
          </w:tcPr>
          <w:p>
            <w:pPr>
              <w:spacing w:after="0"/>
              <w:rPr>
                <w:sz w:val="19"/>
                <w:szCs w:val="19"/>
                <w:color w:val="auto"/>
              </w:rPr>
            </w:pPr>
          </w:p>
        </w:tc>
      </w:tr>
      <w:tr>
        <w:trPr>
          <w:trHeight w:val="50"/>
        </w:trPr>
        <w:tc>
          <w:tcPr>
            <w:tcW w:w="268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6518275</wp:posOffset>
            </wp:positionH>
            <wp:positionV relativeFrom="paragraph">
              <wp:posOffset>-670560</wp:posOffset>
            </wp:positionV>
            <wp:extent cx="50800" cy="596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6518275</wp:posOffset>
            </wp:positionH>
            <wp:positionV relativeFrom="paragraph">
              <wp:posOffset>-483235</wp:posOffset>
            </wp:positionV>
            <wp:extent cx="50800" cy="596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6518275</wp:posOffset>
            </wp:positionH>
            <wp:positionV relativeFrom="paragraph">
              <wp:posOffset>-296545</wp:posOffset>
            </wp:positionV>
            <wp:extent cx="50800" cy="596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6518275</wp:posOffset>
            </wp:positionH>
            <wp:positionV relativeFrom="paragraph">
              <wp:posOffset>-109855</wp:posOffset>
            </wp:positionV>
            <wp:extent cx="50800" cy="596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105" w:lineRule="exact"/>
        <w:rPr>
          <w:sz w:val="20"/>
          <w:szCs w:val="20"/>
          <w:color w:val="auto"/>
        </w:rPr>
      </w:pPr>
    </w:p>
    <w:p>
      <w:pPr>
        <w:ind w:left="440" w:right="120" w:hanging="433"/>
        <w:spacing w:after="0" w:line="254" w:lineRule="auto"/>
        <w:tabs>
          <w:tab w:leader="none" w:pos="4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target values were set as of May 1, 2014, for all NEOs except Mr. McGinnis and Ms. Nettles. Under the policy, executive officers have five years from January 1, 2014, to attain the targeted ownership levels or five years from date of hire for executive officers that were hired after January 1, 2014.</w:t>
      </w:r>
    </w:p>
    <w:p>
      <w:pPr>
        <w:spacing w:after="0" w:line="60" w:lineRule="exact"/>
        <w:rPr>
          <w:rFonts w:ascii="Arial" w:cs="Arial" w:eastAsia="Arial" w:hAnsi="Arial"/>
          <w:sz w:val="14"/>
          <w:szCs w:val="14"/>
          <w:color w:val="auto"/>
        </w:rPr>
      </w:pPr>
    </w:p>
    <w:p>
      <w:pPr>
        <w:ind w:left="440" w:hanging="433"/>
        <w:spacing w:after="0"/>
        <w:tabs>
          <w:tab w:leader="none" w:pos="4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target values for Mr. McGinnis and Ms. Nettles are based on each of their base salaries and stock price on their dates of hire.</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We Have a Clawback Policy</w:t>
      </w:r>
    </w:p>
    <w:p>
      <w:pPr>
        <w:spacing w:after="0" w:line="117"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The Committee maintains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9297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46</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DISCUSSION AND ANALYSIS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We Prohibit Hedging, Pledging and Short-Sale Transactions</w:t>
      </w:r>
    </w:p>
    <w:p>
      <w:pPr>
        <w:spacing w:after="0" w:line="117" w:lineRule="exact"/>
        <w:rPr>
          <w:sz w:val="20"/>
          <w:szCs w:val="20"/>
          <w:color w:val="auto"/>
        </w:rPr>
      </w:pPr>
    </w:p>
    <w:p>
      <w:pPr>
        <w:ind w:right="120"/>
        <w:spacing w:after="0" w:line="229" w:lineRule="auto"/>
        <w:rPr>
          <w:sz w:val="20"/>
          <w:szCs w:val="20"/>
          <w:color w:val="auto"/>
        </w:rPr>
      </w:pPr>
      <w:r>
        <w:rPr>
          <w:rFonts w:ascii="Arial" w:cs="Arial" w:eastAsia="Arial" w:hAnsi="Arial"/>
          <w:sz w:val="15"/>
          <w:szCs w:val="15"/>
          <w:color w:val="auto"/>
        </w:rPr>
        <w:t>Under ManpowerGroup’s Insider Trading Policy, all directors, officers and employees of the Company and their respective household members (collectively, “Covered Persons”), including any entities influenced or controlled by a Covered Person, are prohibited from engaging in short sales or hedging transactions involving ManpowerGroup securities, including forward sale or purchase contracts, equity swaps or exchange funds. Covered Persons are also prohibited from engaging in puts, calls or other options or derivative instruments involving ManpowerGroup securities. Further, we do not allow Covered Persons to pledge ManpowerGroup securities at any time, which includes having ManpowerGroup stock in a margin account or using ManpowerGroup stock as collateral for a loan.</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Other Material Tax Implications of the Executive Compensation Program</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Tax Implications for ManpowerGroup</w:t>
      </w:r>
    </w:p>
    <w:p>
      <w:pPr>
        <w:spacing w:after="0" w:line="77" w:lineRule="exact"/>
        <w:rPr>
          <w:sz w:val="20"/>
          <w:szCs w:val="20"/>
          <w:color w:val="auto"/>
        </w:rPr>
      </w:pPr>
    </w:p>
    <w:p>
      <w:pPr>
        <w:jc w:val="both"/>
        <w:ind w:right="80"/>
        <w:spacing w:after="0" w:line="232" w:lineRule="auto"/>
        <w:rPr>
          <w:sz w:val="20"/>
          <w:szCs w:val="20"/>
          <w:color w:val="auto"/>
        </w:rPr>
      </w:pPr>
      <w:r>
        <w:rPr>
          <w:rFonts w:ascii="Arial" w:cs="Arial" w:eastAsia="Arial" w:hAnsi="Arial"/>
          <w:sz w:val="15"/>
          <w:szCs w:val="15"/>
          <w:color w:val="auto"/>
        </w:rPr>
        <w:t>Section 162(m) of the Internal Revenue Code generally disallows a tax deduction to public corporations for compensation over $1,000,000 paid in any tax year to any “covered employee.” Covered employees include the corporation’s CEO, CFO and each of its three most highly compensated NEOs (other than the CEO and CFO) regardless of whether they were in service as of the end of any such tax year.</w:t>
      </w:r>
    </w:p>
    <w:p>
      <w:pPr>
        <w:spacing w:after="0" w:line="88" w:lineRule="exact"/>
        <w:rPr>
          <w:sz w:val="20"/>
          <w:szCs w:val="20"/>
          <w:color w:val="auto"/>
        </w:rPr>
      </w:pPr>
    </w:p>
    <w:p>
      <w:pPr>
        <w:jc w:val="both"/>
        <w:ind w:right="180"/>
        <w:spacing w:after="0" w:line="232" w:lineRule="auto"/>
        <w:rPr>
          <w:sz w:val="20"/>
          <w:szCs w:val="20"/>
          <w:color w:val="auto"/>
        </w:rPr>
      </w:pPr>
      <w:r>
        <w:rPr>
          <w:rFonts w:ascii="Arial" w:cs="Arial" w:eastAsia="Arial" w:hAnsi="Arial"/>
          <w:sz w:val="15"/>
          <w:szCs w:val="15"/>
          <w:color w:val="auto"/>
        </w:rPr>
        <w:t>Further, for each NEO whose compensation was or is subject to this limitation in 2017 or any later tax year, that officer’s compensation will remain subject to this annual deductibility limitation for any future tax year in which he or she receives compensation from ManpowerGroup, regardless of whether he or she remains a NEO.</w:t>
      </w:r>
    </w:p>
    <w:p>
      <w:pPr>
        <w:spacing w:after="0" w:line="88" w:lineRule="exact"/>
        <w:rPr>
          <w:sz w:val="20"/>
          <w:szCs w:val="20"/>
          <w:color w:val="auto"/>
        </w:rPr>
      </w:pPr>
    </w:p>
    <w:p>
      <w:pPr>
        <w:ind w:right="80"/>
        <w:spacing w:after="0" w:line="232" w:lineRule="auto"/>
        <w:rPr>
          <w:sz w:val="20"/>
          <w:szCs w:val="20"/>
          <w:color w:val="auto"/>
        </w:rPr>
      </w:pPr>
      <w:r>
        <w:rPr>
          <w:rFonts w:ascii="Arial" w:cs="Arial" w:eastAsia="Arial" w:hAnsi="Arial"/>
          <w:sz w:val="15"/>
          <w:szCs w:val="15"/>
          <w:color w:val="auto"/>
        </w:rPr>
        <w:t>Accordingly, ManpowerGroup is only able to deduct up to $1,000,000 per year of the compensation payable to any of our NEOs who is a “covered employee” as determined under Section 162(m), except to the extent that transition relief for grandfathered arrangements that were in effect on November 2, 2017, if applicable, would apply to a payment.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Tax Implications for NEOs</w:t>
      </w:r>
    </w:p>
    <w:p>
      <w:pPr>
        <w:spacing w:after="0" w:line="90" w:lineRule="exact"/>
        <w:rPr>
          <w:sz w:val="20"/>
          <w:szCs w:val="20"/>
          <w:color w:val="auto"/>
        </w:rPr>
      </w:pPr>
    </w:p>
    <w:p>
      <w:pPr>
        <w:ind w:right="40"/>
        <w:spacing w:after="0" w:line="226" w:lineRule="auto"/>
        <w:rPr>
          <w:sz w:val="20"/>
          <w:szCs w:val="20"/>
          <w:color w:val="auto"/>
        </w:rPr>
      </w:pPr>
      <w:r>
        <w:rPr>
          <w:rFonts w:ascii="Arial" w:cs="Arial" w:eastAsia="Arial" w:hAnsi="Arial"/>
          <w:sz w:val="15"/>
          <w:szCs w:val="15"/>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9297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47</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59" w:name="page60"/>
    <w:bookmarkEnd w:id="59"/>
    <w:p>
      <w:pPr>
        <w:ind w:right="960"/>
        <w:spacing w:after="0" w:line="288" w:lineRule="auto"/>
        <w:rPr>
          <w:sz w:val="20"/>
          <w:szCs w:val="20"/>
          <w:color w:val="auto"/>
        </w:rPr>
      </w:pPr>
      <w:r>
        <w:rPr>
          <w:rFonts w:ascii="Arial" w:cs="Arial" w:eastAsia="Arial" w:hAnsi="Arial"/>
          <w:sz w:val="42"/>
          <w:szCs w:val="42"/>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Report of the People, Culture and Compensation Committee of the Board of Directors</w:t>
      </w:r>
    </w:p>
    <w:p>
      <w:pPr>
        <w:spacing w:after="0" w:line="202"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The people, culture and compensation committee of the board of directors of ManpowerGroup has reviewed and discussed with management the Compensation Discussion and Analysis included in this proxy statement. Based on this review and discussion, the people, culture and compensation committee recommended to the board of directors that the Compensation Discussion and Analysis be included in this proxy statement.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5D89B4"/>
        </w:rPr>
        <w:t>The People, Culture and Compensation Committee</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Elizabeth P. Sartain, Chair</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William Downe</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William P. Gipson</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Julie M. Howard</w:t>
      </w:r>
    </w:p>
    <w:p>
      <w:pPr>
        <w:spacing w:after="0" w:line="376" w:lineRule="exact"/>
        <w:rPr>
          <w:sz w:val="20"/>
          <w:szCs w:val="20"/>
          <w:color w:val="auto"/>
        </w:rPr>
      </w:pPr>
    </w:p>
    <w:p>
      <w:pPr>
        <w:ind w:right="1420"/>
        <w:spacing w:after="0" w:line="288" w:lineRule="auto"/>
        <w:rPr>
          <w:sz w:val="20"/>
          <w:szCs w:val="20"/>
          <w:color w:val="auto"/>
        </w:rPr>
      </w:pPr>
      <w:r>
        <w:rPr>
          <w:rFonts w:ascii="Arial" w:cs="Arial" w:eastAsia="Arial" w:hAnsi="Arial"/>
          <w:sz w:val="42"/>
          <w:szCs w:val="42"/>
          <w:b w:val="1"/>
          <w:bCs w:val="1"/>
          <w:color w:val="5D89B4"/>
        </w:rPr>
        <w:t>People, Culture and Compensation Committee Interlocks and Insider Participation</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No member of the people, culture and compensation committee has ever been an officer or employee of ManpowerGroup or any of our subsidiaries or had any relationships requiring disclosure under Item 404 of Regulation S-K. None of our executive officers have served on the compensation committee or board of directors of any company of which any of our other directors is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297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48</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60"/>
          </w:cols>
          <w:pgMar w:left="480" w:top="1250" w:right="559" w:bottom="1440" w:gutter="0" w:footer="0" w:header="0"/>
        </w:sectPr>
      </w:pPr>
    </w:p>
    <w:bookmarkStart w:id="60" w:name="page61"/>
    <w:bookmarkEnd w:id="60"/>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Summary Compensation Table</w:t>
      </w:r>
    </w:p>
    <w:p>
      <w:pPr>
        <w:spacing w:after="0" w:line="139"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The table below sets forth the compensation information for our NEOs during the fiscal years ended December 31, 2021, December 31, 2020, and December 31, 2019. Ms. Nettles was not an NEO in 2019, therefore, in accordance with the SEC’s disclosure rules, information regarding compensation for that year is not included in the tables below. All amounts are calculated in accordance with SEC disclosure rules, including amounts with respect to our equity compensation plan awards, as further described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20" w:type="dxa"/>
            <w:vAlign w:val="bottom"/>
            <w:shd w:val="clear" w:color="auto" w:fill="EAEAEA"/>
          </w:tcPr>
          <w:p>
            <w:pPr>
              <w:spacing w:after="0"/>
              <w:rPr>
                <w:sz w:val="15"/>
                <w:szCs w:val="15"/>
                <w:color w:val="auto"/>
              </w:rPr>
            </w:pPr>
          </w:p>
        </w:tc>
        <w:tc>
          <w:tcPr>
            <w:tcW w:w="620" w:type="dxa"/>
            <w:vAlign w:val="bottom"/>
            <w:shd w:val="clear" w:color="auto" w:fill="EAEAEA"/>
          </w:tcPr>
          <w:p>
            <w:pPr>
              <w:spacing w:after="0"/>
              <w:rPr>
                <w:sz w:val="15"/>
                <w:szCs w:val="15"/>
                <w:color w:val="auto"/>
              </w:rPr>
            </w:pPr>
          </w:p>
        </w:tc>
        <w:tc>
          <w:tcPr>
            <w:tcW w:w="840" w:type="dxa"/>
            <w:vAlign w:val="bottom"/>
            <w:shd w:val="clear" w:color="auto" w:fill="EAEAEA"/>
          </w:tcPr>
          <w:p>
            <w:pPr>
              <w:spacing w:after="0"/>
              <w:rPr>
                <w:sz w:val="15"/>
                <w:szCs w:val="15"/>
                <w:color w:val="auto"/>
              </w:rPr>
            </w:pPr>
          </w:p>
        </w:tc>
        <w:tc>
          <w:tcPr>
            <w:tcW w:w="680" w:type="dxa"/>
            <w:vAlign w:val="bottom"/>
            <w:shd w:val="clear" w:color="auto" w:fill="EAEAEA"/>
          </w:tcPr>
          <w:p>
            <w:pPr>
              <w:spacing w:after="0"/>
              <w:rPr>
                <w:sz w:val="15"/>
                <w:szCs w:val="15"/>
                <w:color w:val="auto"/>
              </w:rPr>
            </w:pPr>
          </w:p>
        </w:tc>
        <w:tc>
          <w:tcPr>
            <w:tcW w:w="96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1220" w:type="dxa"/>
            <w:vAlign w:val="bottom"/>
            <w:shd w:val="clear" w:color="auto" w:fill="EAEAEA"/>
          </w:tcPr>
          <w:p>
            <w:pPr>
              <w:spacing w:after="0"/>
              <w:rPr>
                <w:sz w:val="15"/>
                <w:szCs w:val="15"/>
                <w:color w:val="auto"/>
              </w:rPr>
            </w:pPr>
          </w:p>
        </w:tc>
        <w:tc>
          <w:tcPr>
            <w:tcW w:w="1220" w:type="dxa"/>
            <w:vAlign w:val="bottom"/>
            <w:shd w:val="clear" w:color="auto" w:fill="EAEAEA"/>
          </w:tcPr>
          <w:p>
            <w:pPr>
              <w:jc w:val="right"/>
              <w:ind w:right="32"/>
              <w:spacing w:after="0"/>
              <w:rPr>
                <w:sz w:val="20"/>
                <w:szCs w:val="20"/>
                <w:color w:val="auto"/>
              </w:rPr>
            </w:pPr>
            <w:r>
              <w:rPr>
                <w:rFonts w:ascii="Arial" w:cs="Arial" w:eastAsia="Arial" w:hAnsi="Arial"/>
                <w:sz w:val="12"/>
                <w:szCs w:val="12"/>
                <w:b w:val="1"/>
                <w:bCs w:val="1"/>
                <w:color w:val="5D89B4"/>
              </w:rPr>
              <w:t>CHANGE IN</w:t>
            </w:r>
          </w:p>
        </w:tc>
        <w:tc>
          <w:tcPr>
            <w:tcW w:w="1220" w:type="dxa"/>
            <w:vAlign w:val="bottom"/>
            <w:shd w:val="clear" w:color="auto" w:fill="EAEAEA"/>
          </w:tcPr>
          <w:p>
            <w:pPr>
              <w:spacing w:after="0"/>
              <w:rPr>
                <w:sz w:val="15"/>
                <w:szCs w:val="15"/>
                <w:color w:val="auto"/>
              </w:rPr>
            </w:pPr>
          </w:p>
        </w:tc>
        <w:tc>
          <w:tcPr>
            <w:tcW w:w="88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PENSION VALUE</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AND NON-</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QUALIFIED</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11"/>
              <w:spacing w:after="0" w:line="134" w:lineRule="exact"/>
              <w:rPr>
                <w:sz w:val="20"/>
                <w:szCs w:val="20"/>
                <w:color w:val="auto"/>
              </w:rPr>
            </w:pPr>
            <w:r>
              <w:rPr>
                <w:rFonts w:ascii="Arial" w:cs="Arial" w:eastAsia="Arial" w:hAnsi="Arial"/>
                <w:sz w:val="12"/>
                <w:szCs w:val="12"/>
                <w:b w:val="1"/>
                <w:bCs w:val="1"/>
                <w:color w:val="5D89B4"/>
              </w:rPr>
              <w:t>NON-EQUITY</w:t>
            </w: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DEFERRED</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EAEAEA"/>
          </w:tcPr>
          <w:p>
            <w:pPr>
              <w:ind w:left="80"/>
              <w:spacing w:after="0" w:line="134" w:lineRule="exact"/>
              <w:rPr>
                <w:sz w:val="20"/>
                <w:szCs w:val="20"/>
                <w:color w:val="auto"/>
              </w:rPr>
            </w:pPr>
            <w:r>
              <w:rPr>
                <w:rFonts w:ascii="Arial" w:cs="Arial" w:eastAsia="Arial" w:hAnsi="Arial"/>
                <w:sz w:val="12"/>
                <w:szCs w:val="12"/>
                <w:b w:val="1"/>
                <w:bCs w:val="1"/>
                <w:color w:val="5D89B4"/>
              </w:rPr>
              <w:t>NAME &amp;</w:t>
            </w: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960" w:type="dxa"/>
            <w:vAlign w:val="bottom"/>
            <w:shd w:val="clear" w:color="auto" w:fill="EAEAEA"/>
          </w:tcPr>
          <w:p>
            <w:pPr>
              <w:jc w:val="right"/>
              <w:ind w:right="51"/>
              <w:spacing w:after="0" w:line="134" w:lineRule="exact"/>
              <w:rPr>
                <w:sz w:val="20"/>
                <w:szCs w:val="20"/>
                <w:color w:val="auto"/>
              </w:rPr>
            </w:pPr>
            <w:r>
              <w:rPr>
                <w:rFonts w:ascii="Arial" w:cs="Arial" w:eastAsia="Arial" w:hAnsi="Arial"/>
                <w:sz w:val="12"/>
                <w:szCs w:val="12"/>
                <w:b w:val="1"/>
                <w:bCs w:val="1"/>
                <w:color w:val="5D89B4"/>
              </w:rPr>
              <w:t>STOCK</w:t>
            </w:r>
          </w:p>
        </w:tc>
        <w:tc>
          <w:tcPr>
            <w:tcW w:w="860" w:type="dxa"/>
            <w:vAlign w:val="bottom"/>
            <w:shd w:val="clear" w:color="auto" w:fill="EAEAEA"/>
          </w:tcPr>
          <w:p>
            <w:pPr>
              <w:jc w:val="right"/>
              <w:ind w:right="31"/>
              <w:spacing w:after="0" w:line="134" w:lineRule="exact"/>
              <w:rPr>
                <w:sz w:val="20"/>
                <w:szCs w:val="20"/>
                <w:color w:val="auto"/>
              </w:rPr>
            </w:pPr>
            <w:r>
              <w:rPr>
                <w:rFonts w:ascii="Arial" w:cs="Arial" w:eastAsia="Arial" w:hAnsi="Arial"/>
                <w:sz w:val="12"/>
                <w:szCs w:val="12"/>
                <w:b w:val="1"/>
                <w:bCs w:val="1"/>
                <w:color w:val="5D89B4"/>
              </w:rPr>
              <w:t>OPTION</w:t>
            </w:r>
          </w:p>
        </w:tc>
        <w:tc>
          <w:tcPr>
            <w:tcW w:w="1220" w:type="dxa"/>
            <w:vAlign w:val="bottom"/>
            <w:shd w:val="clear" w:color="auto" w:fill="EAEAEA"/>
          </w:tcPr>
          <w:p>
            <w:pPr>
              <w:jc w:val="right"/>
              <w:ind w:right="11"/>
              <w:spacing w:after="0" w:line="134" w:lineRule="exact"/>
              <w:rPr>
                <w:sz w:val="20"/>
                <w:szCs w:val="20"/>
                <w:color w:val="auto"/>
              </w:rPr>
            </w:pPr>
            <w:r>
              <w:rPr>
                <w:rFonts w:ascii="Arial" w:cs="Arial" w:eastAsia="Arial" w:hAnsi="Arial"/>
                <w:sz w:val="12"/>
                <w:szCs w:val="12"/>
                <w:b w:val="1"/>
                <w:bCs w:val="1"/>
                <w:color w:val="5D89B4"/>
              </w:rPr>
              <w:t>INCENTIVE PLAN</w:t>
            </w: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COMPENSATION</w:t>
            </w:r>
          </w:p>
        </w:tc>
        <w:tc>
          <w:tcPr>
            <w:tcW w:w="1220" w:type="dxa"/>
            <w:vAlign w:val="bottom"/>
            <w:shd w:val="clear" w:color="auto" w:fill="EAEAEA"/>
          </w:tcPr>
          <w:p>
            <w:pPr>
              <w:jc w:val="right"/>
              <w:ind w:right="31"/>
              <w:spacing w:after="0" w:line="134" w:lineRule="exact"/>
              <w:rPr>
                <w:sz w:val="20"/>
                <w:szCs w:val="20"/>
                <w:color w:val="auto"/>
              </w:rPr>
            </w:pPr>
            <w:r>
              <w:rPr>
                <w:rFonts w:ascii="Arial" w:cs="Arial" w:eastAsia="Arial" w:hAnsi="Arial"/>
                <w:sz w:val="12"/>
                <w:szCs w:val="12"/>
                <w:b w:val="1"/>
                <w:bCs w:val="1"/>
                <w:color w:val="5D89B4"/>
              </w:rPr>
              <w:t>ALL OTHER</w:t>
            </w: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EAEAEA"/>
          </w:tcPr>
          <w:p>
            <w:pPr>
              <w:ind w:left="80"/>
              <w:spacing w:after="0" w:line="134" w:lineRule="exact"/>
              <w:rPr>
                <w:sz w:val="20"/>
                <w:szCs w:val="20"/>
                <w:color w:val="auto"/>
              </w:rPr>
            </w:pPr>
            <w:r>
              <w:rPr>
                <w:rFonts w:ascii="Arial" w:cs="Arial" w:eastAsia="Arial" w:hAnsi="Arial"/>
                <w:sz w:val="12"/>
                <w:szCs w:val="12"/>
                <w:b w:val="1"/>
                <w:bCs w:val="1"/>
                <w:color w:val="5D89B4"/>
              </w:rPr>
              <w:t>PRINCIPAL</w:t>
            </w: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jc w:val="right"/>
              <w:ind w:right="10"/>
              <w:spacing w:after="0" w:line="134" w:lineRule="exact"/>
              <w:rPr>
                <w:sz w:val="20"/>
                <w:szCs w:val="20"/>
                <w:color w:val="auto"/>
              </w:rPr>
            </w:pPr>
            <w:r>
              <w:rPr>
                <w:rFonts w:ascii="Arial" w:cs="Arial" w:eastAsia="Arial" w:hAnsi="Arial"/>
                <w:sz w:val="12"/>
                <w:szCs w:val="12"/>
                <w:b w:val="1"/>
                <w:bCs w:val="1"/>
                <w:color w:val="5D89B4"/>
              </w:rPr>
              <w:t>SALARY</w:t>
            </w:r>
          </w:p>
        </w:tc>
        <w:tc>
          <w:tcPr>
            <w:tcW w:w="680" w:type="dxa"/>
            <w:vAlign w:val="bottom"/>
            <w:shd w:val="clear" w:color="auto" w:fill="EAEAEA"/>
          </w:tcPr>
          <w:p>
            <w:pPr>
              <w:jc w:val="right"/>
              <w:ind w:right="50"/>
              <w:spacing w:after="0" w:line="134" w:lineRule="exact"/>
              <w:rPr>
                <w:sz w:val="20"/>
                <w:szCs w:val="20"/>
                <w:color w:val="auto"/>
              </w:rPr>
            </w:pPr>
            <w:r>
              <w:rPr>
                <w:rFonts w:ascii="Arial" w:cs="Arial" w:eastAsia="Arial" w:hAnsi="Arial"/>
                <w:sz w:val="12"/>
                <w:szCs w:val="12"/>
                <w:b w:val="1"/>
                <w:bCs w:val="1"/>
                <w:color w:val="5D89B4"/>
              </w:rPr>
              <w:t>BONUS</w:t>
            </w:r>
          </w:p>
        </w:tc>
        <w:tc>
          <w:tcPr>
            <w:tcW w:w="960" w:type="dxa"/>
            <w:vAlign w:val="bottom"/>
            <w:shd w:val="clear" w:color="auto" w:fill="EAEAEA"/>
          </w:tcPr>
          <w:p>
            <w:pPr>
              <w:jc w:val="right"/>
              <w:ind w:right="51"/>
              <w:spacing w:after="0" w:line="134" w:lineRule="exact"/>
              <w:rPr>
                <w:sz w:val="20"/>
                <w:szCs w:val="20"/>
                <w:color w:val="auto"/>
              </w:rPr>
            </w:pPr>
            <w:r>
              <w:rPr>
                <w:rFonts w:ascii="Arial" w:cs="Arial" w:eastAsia="Arial" w:hAnsi="Arial"/>
                <w:sz w:val="12"/>
                <w:szCs w:val="12"/>
                <w:b w:val="1"/>
                <w:bCs w:val="1"/>
                <w:color w:val="5D89B4"/>
              </w:rPr>
              <w:t>AWARDS</w:t>
            </w:r>
          </w:p>
        </w:tc>
        <w:tc>
          <w:tcPr>
            <w:tcW w:w="860" w:type="dxa"/>
            <w:vAlign w:val="bottom"/>
            <w:shd w:val="clear" w:color="auto" w:fill="EAEAEA"/>
          </w:tcPr>
          <w:p>
            <w:pPr>
              <w:jc w:val="right"/>
              <w:ind w:right="31"/>
              <w:spacing w:after="0" w:line="134" w:lineRule="exact"/>
              <w:rPr>
                <w:sz w:val="20"/>
                <w:szCs w:val="20"/>
                <w:color w:val="auto"/>
              </w:rPr>
            </w:pPr>
            <w:r>
              <w:rPr>
                <w:rFonts w:ascii="Arial" w:cs="Arial" w:eastAsia="Arial" w:hAnsi="Arial"/>
                <w:sz w:val="12"/>
                <w:szCs w:val="12"/>
                <w:b w:val="1"/>
                <w:bCs w:val="1"/>
                <w:color w:val="5D89B4"/>
              </w:rPr>
              <w:t>AWARDS</w:t>
            </w:r>
          </w:p>
        </w:tc>
        <w:tc>
          <w:tcPr>
            <w:tcW w:w="1220" w:type="dxa"/>
            <w:vAlign w:val="bottom"/>
            <w:shd w:val="clear" w:color="auto" w:fill="EAEAEA"/>
          </w:tcPr>
          <w:p>
            <w:pPr>
              <w:jc w:val="right"/>
              <w:ind w:right="11"/>
              <w:spacing w:after="0" w:line="134" w:lineRule="exact"/>
              <w:rPr>
                <w:sz w:val="20"/>
                <w:szCs w:val="20"/>
                <w:color w:val="auto"/>
              </w:rPr>
            </w:pPr>
            <w:r>
              <w:rPr>
                <w:rFonts w:ascii="Arial" w:cs="Arial" w:eastAsia="Arial" w:hAnsi="Arial"/>
                <w:sz w:val="12"/>
                <w:szCs w:val="12"/>
                <w:b w:val="1"/>
                <w:bCs w:val="1"/>
                <w:color w:val="5D89B4"/>
              </w:rPr>
              <w:t>COMPENSATION</w:t>
            </w: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EARNINGS</w:t>
            </w:r>
          </w:p>
        </w:tc>
        <w:tc>
          <w:tcPr>
            <w:tcW w:w="1220" w:type="dxa"/>
            <w:vAlign w:val="bottom"/>
            <w:shd w:val="clear" w:color="auto" w:fill="EAEAEA"/>
          </w:tcPr>
          <w:p>
            <w:pPr>
              <w:jc w:val="right"/>
              <w:ind w:right="31"/>
              <w:spacing w:after="0" w:line="134" w:lineRule="exact"/>
              <w:rPr>
                <w:sz w:val="20"/>
                <w:szCs w:val="20"/>
                <w:color w:val="auto"/>
              </w:rPr>
            </w:pPr>
            <w:r>
              <w:rPr>
                <w:rFonts w:ascii="Arial" w:cs="Arial" w:eastAsia="Arial" w:hAnsi="Arial"/>
                <w:sz w:val="12"/>
                <w:szCs w:val="12"/>
                <w:b w:val="1"/>
                <w:bCs w:val="1"/>
                <w:color w:val="5D89B4"/>
              </w:rPr>
              <w:t>COMPENSATION</w:t>
            </w:r>
          </w:p>
        </w:tc>
        <w:tc>
          <w:tcPr>
            <w:tcW w:w="88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TOTAL</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POSITION</w:t>
            </w:r>
          </w:p>
        </w:tc>
        <w:tc>
          <w:tcPr>
            <w:tcW w:w="620" w:type="dxa"/>
            <w:vAlign w:val="bottom"/>
            <w:tcBorders>
              <w:bottom w:val="single" w:sz="8" w:color="EAEAEA"/>
            </w:tcBorders>
            <w:shd w:val="clear" w:color="auto" w:fill="EAEAEA"/>
          </w:tcPr>
          <w:p>
            <w:pPr>
              <w:jc w:val="right"/>
              <w:ind w:right="49"/>
              <w:spacing w:after="0"/>
              <w:rPr>
                <w:sz w:val="20"/>
                <w:szCs w:val="20"/>
                <w:color w:val="auto"/>
              </w:rPr>
            </w:pPr>
            <w:r>
              <w:rPr>
                <w:rFonts w:ascii="Arial" w:cs="Arial" w:eastAsia="Arial" w:hAnsi="Arial"/>
                <w:sz w:val="12"/>
                <w:szCs w:val="12"/>
                <w:b w:val="1"/>
                <w:bCs w:val="1"/>
                <w:color w:val="5D89B4"/>
              </w:rPr>
              <w:t>YEAR</w:t>
            </w:r>
          </w:p>
        </w:tc>
        <w:tc>
          <w:tcPr>
            <w:tcW w:w="840" w:type="dxa"/>
            <w:vAlign w:val="bottom"/>
            <w:tcBorders>
              <w:bottom w:val="single" w:sz="8" w:color="EAEAEA"/>
            </w:tcBorders>
            <w:shd w:val="clear" w:color="auto" w:fill="EAEAEA"/>
          </w:tcPr>
          <w:p>
            <w:pPr>
              <w:jc w:val="right"/>
              <w:ind w:right="10"/>
              <w:spacing w:after="0"/>
              <w:rPr>
                <w:sz w:val="20"/>
                <w:szCs w:val="20"/>
                <w:color w:val="auto"/>
              </w:rPr>
            </w:pPr>
            <w:r>
              <w:rPr>
                <w:rFonts w:ascii="Arial" w:cs="Arial" w:eastAsia="Arial" w:hAnsi="Arial"/>
                <w:sz w:val="12"/>
                <w:szCs w:val="12"/>
                <w:b w:val="1"/>
                <w:bCs w:val="1"/>
                <w:color w:val="5D89B4"/>
              </w:rPr>
              <w:t>($)</w:t>
            </w:r>
          </w:p>
        </w:tc>
        <w:tc>
          <w:tcPr>
            <w:tcW w:w="680" w:type="dxa"/>
            <w:vAlign w:val="bottom"/>
            <w:tcBorders>
              <w:bottom w:val="single" w:sz="8" w:color="EAEAEA"/>
            </w:tcBorders>
            <w:shd w:val="clear" w:color="auto" w:fill="EAEAEA"/>
          </w:tcPr>
          <w:p>
            <w:pPr>
              <w:jc w:val="right"/>
              <w:ind w:right="50"/>
              <w:spacing w:after="0"/>
              <w:rPr>
                <w:sz w:val="20"/>
                <w:szCs w:val="20"/>
                <w:color w:val="auto"/>
              </w:rPr>
            </w:pPr>
            <w:r>
              <w:rPr>
                <w:rFonts w:ascii="Arial" w:cs="Arial" w:eastAsia="Arial" w:hAnsi="Arial"/>
                <w:sz w:val="12"/>
                <w:szCs w:val="12"/>
                <w:b w:val="1"/>
                <w:bCs w:val="1"/>
                <w:color w:val="5D89B4"/>
              </w:rPr>
              <w:t>($)</w:t>
            </w:r>
          </w:p>
        </w:tc>
        <w:tc>
          <w:tcPr>
            <w:tcW w:w="960" w:type="dxa"/>
            <w:vAlign w:val="bottom"/>
            <w:tcBorders>
              <w:bottom w:val="single" w:sz="8" w:color="EAEAEA"/>
            </w:tcBorders>
            <w:shd w:val="clear" w:color="auto" w:fill="EAEAEA"/>
          </w:tcPr>
          <w:p>
            <w:pPr>
              <w:jc w:val="right"/>
              <w:ind w:right="51"/>
              <w:spacing w:after="0"/>
              <w:rPr>
                <w:sz w:val="20"/>
                <w:szCs w:val="20"/>
                <w:color w:val="auto"/>
              </w:rPr>
            </w:pPr>
            <w:r>
              <w:rPr>
                <w:rFonts w:ascii="Arial" w:cs="Arial" w:eastAsia="Arial" w:hAnsi="Arial"/>
                <w:sz w:val="12"/>
                <w:szCs w:val="12"/>
                <w:b w:val="1"/>
                <w:bCs w:val="1"/>
                <w:color w:val="5D89B4"/>
              </w:rPr>
              <w:t>($)(1)</w:t>
            </w:r>
          </w:p>
        </w:tc>
        <w:tc>
          <w:tcPr>
            <w:tcW w:w="860" w:type="dxa"/>
            <w:vAlign w:val="bottom"/>
            <w:tcBorders>
              <w:bottom w:val="single" w:sz="8" w:color="EAEAEA"/>
            </w:tcBorders>
            <w:shd w:val="clear" w:color="auto" w:fill="EAEAEA"/>
          </w:tcPr>
          <w:p>
            <w:pPr>
              <w:jc w:val="right"/>
              <w:ind w:right="31"/>
              <w:spacing w:after="0"/>
              <w:rPr>
                <w:sz w:val="20"/>
                <w:szCs w:val="20"/>
                <w:color w:val="auto"/>
              </w:rPr>
            </w:pPr>
            <w:r>
              <w:rPr>
                <w:rFonts w:ascii="Arial" w:cs="Arial" w:eastAsia="Arial" w:hAnsi="Arial"/>
                <w:sz w:val="12"/>
                <w:szCs w:val="12"/>
                <w:b w:val="1"/>
                <w:bCs w:val="1"/>
                <w:color w:val="5D89B4"/>
              </w:rPr>
              <w:t>($)(2)</w:t>
            </w:r>
          </w:p>
        </w:tc>
        <w:tc>
          <w:tcPr>
            <w:tcW w:w="1220" w:type="dxa"/>
            <w:vAlign w:val="bottom"/>
            <w:tcBorders>
              <w:bottom w:val="single" w:sz="8" w:color="EAEAEA"/>
            </w:tcBorders>
            <w:shd w:val="clear" w:color="auto" w:fill="EAEAEA"/>
          </w:tcPr>
          <w:p>
            <w:pPr>
              <w:jc w:val="right"/>
              <w:ind w:right="11"/>
              <w:spacing w:after="0"/>
              <w:rPr>
                <w:sz w:val="20"/>
                <w:szCs w:val="20"/>
                <w:color w:val="auto"/>
              </w:rPr>
            </w:pPr>
            <w:r>
              <w:rPr>
                <w:rFonts w:ascii="Arial" w:cs="Arial" w:eastAsia="Arial" w:hAnsi="Arial"/>
                <w:sz w:val="12"/>
                <w:szCs w:val="12"/>
                <w:b w:val="1"/>
                <w:bCs w:val="1"/>
                <w:color w:val="5D89B4"/>
              </w:rPr>
              <w:t>($)</w:t>
            </w:r>
          </w:p>
        </w:tc>
        <w:tc>
          <w:tcPr>
            <w:tcW w:w="1220" w:type="dxa"/>
            <w:vAlign w:val="bottom"/>
            <w:tcBorders>
              <w:bottom w:val="single" w:sz="8" w:color="EAEAEA"/>
            </w:tcBorders>
            <w:shd w:val="clear" w:color="auto" w:fill="EAEAEA"/>
          </w:tcPr>
          <w:p>
            <w:pPr>
              <w:jc w:val="right"/>
              <w:ind w:right="32"/>
              <w:spacing w:after="0"/>
              <w:rPr>
                <w:sz w:val="20"/>
                <w:szCs w:val="20"/>
                <w:color w:val="auto"/>
              </w:rPr>
            </w:pPr>
            <w:r>
              <w:rPr>
                <w:rFonts w:ascii="Arial" w:cs="Arial" w:eastAsia="Arial" w:hAnsi="Arial"/>
                <w:sz w:val="12"/>
                <w:szCs w:val="12"/>
                <w:b w:val="1"/>
                <w:bCs w:val="1"/>
                <w:color w:val="5D89B4"/>
              </w:rPr>
              <w:t>($)</w:t>
            </w:r>
          </w:p>
        </w:tc>
        <w:tc>
          <w:tcPr>
            <w:tcW w:w="1220" w:type="dxa"/>
            <w:vAlign w:val="bottom"/>
            <w:tcBorders>
              <w:bottom w:val="single" w:sz="8" w:color="EAEAEA"/>
            </w:tcBorders>
            <w:shd w:val="clear" w:color="auto" w:fill="EAEAEA"/>
          </w:tcPr>
          <w:p>
            <w:pPr>
              <w:jc w:val="right"/>
              <w:ind w:right="31"/>
              <w:spacing w:after="0"/>
              <w:rPr>
                <w:sz w:val="20"/>
                <w:szCs w:val="20"/>
                <w:color w:val="auto"/>
              </w:rPr>
            </w:pPr>
            <w:r>
              <w:rPr>
                <w:rFonts w:ascii="Arial" w:cs="Arial" w:eastAsia="Arial" w:hAnsi="Arial"/>
                <w:sz w:val="12"/>
                <w:szCs w:val="12"/>
                <w:b w:val="1"/>
                <w:bCs w:val="1"/>
                <w:color w:val="5D89B4"/>
              </w:rPr>
              <w:t>($)(3)</w:t>
            </w:r>
          </w:p>
        </w:tc>
        <w:tc>
          <w:tcPr>
            <w:tcW w:w="8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c>
          <w:tcPr>
            <w:tcW w:w="0" w:type="dxa"/>
            <w:vAlign w:val="bottom"/>
          </w:tcPr>
          <w:p>
            <w:pPr>
              <w:spacing w:after="0"/>
              <w:rPr>
                <w:sz w:val="1"/>
                <w:szCs w:val="1"/>
                <w:color w:val="auto"/>
              </w:rPr>
            </w:pPr>
          </w:p>
        </w:tc>
      </w:tr>
      <w:tr>
        <w:trPr>
          <w:trHeight w:val="16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2021</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1,250,000</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12,000,023</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2,000,022</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3,475,000</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62,790</w:t>
            </w:r>
          </w:p>
        </w:tc>
        <w:tc>
          <w:tcPr>
            <w:tcW w:w="880" w:type="dxa"/>
            <w:vAlign w:val="bottom"/>
          </w:tcPr>
          <w:p>
            <w:pPr>
              <w:jc w:val="right"/>
              <w:spacing w:after="0"/>
              <w:rPr>
                <w:sz w:val="20"/>
                <w:szCs w:val="20"/>
                <w:color w:val="auto"/>
              </w:rPr>
            </w:pPr>
            <w:r>
              <w:rPr>
                <w:rFonts w:ascii="Arial" w:cs="Arial" w:eastAsia="Arial" w:hAnsi="Arial"/>
                <w:sz w:val="14"/>
                <w:szCs w:val="14"/>
                <w:color w:val="auto"/>
              </w:rPr>
              <w:t>18,787,835</w:t>
            </w:r>
          </w:p>
        </w:tc>
        <w:tc>
          <w:tcPr>
            <w:tcW w:w="0" w:type="dxa"/>
            <w:vAlign w:val="bottom"/>
          </w:tcPr>
          <w:p>
            <w:pPr>
              <w:spacing w:after="0"/>
              <w:rPr>
                <w:sz w:val="1"/>
                <w:szCs w:val="1"/>
                <w:color w:val="auto"/>
              </w:rPr>
            </w:pPr>
          </w:p>
        </w:tc>
      </w:tr>
      <w:tr>
        <w:trPr>
          <w:trHeight w:val="171"/>
        </w:trPr>
        <w:tc>
          <w:tcPr>
            <w:tcW w:w="2420" w:type="dxa"/>
            <w:vAlign w:val="bottom"/>
          </w:tcPr>
          <w:p>
            <w:pPr>
              <w:ind w:left="80"/>
              <w:spacing w:after="0"/>
              <w:rPr>
                <w:sz w:val="20"/>
                <w:szCs w:val="20"/>
                <w:color w:val="auto"/>
              </w:rPr>
            </w:pPr>
            <w:r>
              <w:rPr>
                <w:rFonts w:ascii="Arial" w:cs="Arial" w:eastAsia="Arial" w:hAnsi="Arial"/>
                <w:sz w:val="14"/>
                <w:szCs w:val="14"/>
                <w:color w:val="333333"/>
              </w:rPr>
              <w:t>CEO</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2020</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1,105,769</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8,000,010</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2,000,002</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760,000</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color w:val="auto"/>
              </w:rPr>
              <w:t>37,790</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11,903,571</w:t>
            </w: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420" w:type="dxa"/>
            <w:vAlign w:val="bottom"/>
          </w:tcPr>
          <w:p>
            <w:pPr>
              <w:spacing w:after="0"/>
              <w:rPr>
                <w:sz w:val="19"/>
                <w:szCs w:val="19"/>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1,250,000</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7,400,036</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1,850,009</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1,995,564</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50,323</w:t>
            </w:r>
          </w:p>
        </w:tc>
        <w:tc>
          <w:tcPr>
            <w:tcW w:w="880" w:type="dxa"/>
            <w:vAlign w:val="bottom"/>
          </w:tcPr>
          <w:p>
            <w:pPr>
              <w:jc w:val="right"/>
              <w:spacing w:after="0"/>
              <w:rPr>
                <w:sz w:val="20"/>
                <w:szCs w:val="20"/>
                <w:color w:val="auto"/>
              </w:rPr>
            </w:pPr>
            <w:r>
              <w:rPr>
                <w:rFonts w:ascii="Arial" w:cs="Arial" w:eastAsia="Arial" w:hAnsi="Arial"/>
                <w:sz w:val="14"/>
                <w:szCs w:val="14"/>
                <w:color w:val="auto"/>
              </w:rPr>
              <w:t>12,545,932</w:t>
            </w:r>
          </w:p>
        </w:tc>
        <w:tc>
          <w:tcPr>
            <w:tcW w:w="0" w:type="dxa"/>
            <w:vAlign w:val="bottom"/>
          </w:tcPr>
          <w:p>
            <w:pPr>
              <w:spacing w:after="0"/>
              <w:rPr>
                <w:sz w:val="1"/>
                <w:szCs w:val="1"/>
                <w:color w:val="auto"/>
              </w:rPr>
            </w:pPr>
          </w:p>
        </w:tc>
      </w:tr>
      <w:tr>
        <w:trPr>
          <w:trHeight w:val="52"/>
        </w:trPr>
        <w:tc>
          <w:tcPr>
            <w:tcW w:w="242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42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John T. McGinnis</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2021</w:t>
            </w:r>
          </w:p>
        </w:tc>
        <w:tc>
          <w:tcPr>
            <w:tcW w:w="840" w:type="dxa"/>
            <w:vAlign w:val="bottom"/>
          </w:tcPr>
          <w:p>
            <w:pPr>
              <w:jc w:val="right"/>
              <w:ind w:right="10"/>
              <w:spacing w:after="0" w:line="159" w:lineRule="exact"/>
              <w:rPr>
                <w:sz w:val="20"/>
                <w:szCs w:val="20"/>
                <w:color w:val="auto"/>
              </w:rPr>
            </w:pPr>
            <w:r>
              <w:rPr>
                <w:rFonts w:ascii="Arial" w:cs="Arial" w:eastAsia="Arial" w:hAnsi="Arial"/>
                <w:sz w:val="14"/>
                <w:szCs w:val="14"/>
                <w:color w:val="auto"/>
              </w:rPr>
              <w:t>746,750</w:t>
            </w:r>
          </w:p>
        </w:tc>
        <w:tc>
          <w:tcPr>
            <w:tcW w:w="6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line="159" w:lineRule="exact"/>
              <w:rPr>
                <w:sz w:val="20"/>
                <w:szCs w:val="20"/>
                <w:color w:val="auto"/>
              </w:rPr>
            </w:pPr>
            <w:r>
              <w:rPr>
                <w:rFonts w:ascii="Arial" w:cs="Arial" w:eastAsia="Arial" w:hAnsi="Arial"/>
                <w:sz w:val="14"/>
                <w:szCs w:val="14"/>
                <w:color w:val="auto"/>
              </w:rPr>
              <w:t>3,600,173</w:t>
            </w:r>
          </w:p>
        </w:tc>
        <w:tc>
          <w:tcPr>
            <w:tcW w:w="860" w:type="dxa"/>
            <w:vAlign w:val="bottom"/>
          </w:tcPr>
          <w:p>
            <w:pPr>
              <w:jc w:val="right"/>
              <w:ind w:right="31"/>
              <w:spacing w:after="0" w:line="159" w:lineRule="exact"/>
              <w:rPr>
                <w:sz w:val="20"/>
                <w:szCs w:val="20"/>
                <w:color w:val="auto"/>
              </w:rPr>
            </w:pPr>
            <w:r>
              <w:rPr>
                <w:rFonts w:ascii="Arial" w:cs="Arial" w:eastAsia="Arial" w:hAnsi="Arial"/>
                <w:sz w:val="14"/>
                <w:szCs w:val="14"/>
                <w:color w:val="auto"/>
              </w:rPr>
              <w:t>600,018</w:t>
            </w:r>
          </w:p>
        </w:tc>
        <w:tc>
          <w:tcPr>
            <w:tcW w:w="1220" w:type="dxa"/>
            <w:vAlign w:val="bottom"/>
          </w:tcPr>
          <w:p>
            <w:pPr>
              <w:jc w:val="right"/>
              <w:ind w:right="11"/>
              <w:spacing w:after="0" w:line="159" w:lineRule="exact"/>
              <w:rPr>
                <w:sz w:val="20"/>
                <w:szCs w:val="20"/>
                <w:color w:val="auto"/>
              </w:rPr>
            </w:pPr>
            <w:r>
              <w:rPr>
                <w:rFonts w:ascii="Arial" w:cs="Arial" w:eastAsia="Arial" w:hAnsi="Arial"/>
                <w:sz w:val="14"/>
                <w:szCs w:val="14"/>
                <w:color w:val="auto"/>
              </w:rPr>
              <w:t>1,458,029</w:t>
            </w:r>
          </w:p>
        </w:tc>
        <w:tc>
          <w:tcPr>
            <w:tcW w:w="12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1"/>
              <w:spacing w:after="0" w:line="159" w:lineRule="exact"/>
              <w:rPr>
                <w:sz w:val="20"/>
                <w:szCs w:val="20"/>
                <w:color w:val="auto"/>
              </w:rPr>
            </w:pPr>
            <w:r>
              <w:rPr>
                <w:rFonts w:ascii="Arial" w:cs="Arial" w:eastAsia="Arial" w:hAnsi="Arial"/>
                <w:sz w:val="14"/>
                <w:szCs w:val="14"/>
                <w:color w:val="auto"/>
              </w:rPr>
              <w:t>80,905</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6,485,875</w:t>
            </w:r>
          </w:p>
        </w:tc>
        <w:tc>
          <w:tcPr>
            <w:tcW w:w="0" w:type="dxa"/>
            <w:vAlign w:val="bottom"/>
          </w:tcPr>
          <w:p>
            <w:pPr>
              <w:spacing w:after="0"/>
              <w:rPr>
                <w:sz w:val="1"/>
                <w:szCs w:val="1"/>
                <w:color w:val="auto"/>
              </w:rPr>
            </w:pPr>
          </w:p>
        </w:tc>
      </w:tr>
      <w:tr>
        <w:trPr>
          <w:trHeight w:val="171"/>
        </w:trPr>
        <w:tc>
          <w:tcPr>
            <w:tcW w:w="2420" w:type="dxa"/>
            <w:vAlign w:val="bottom"/>
          </w:tcPr>
          <w:p>
            <w:pPr>
              <w:ind w:left="80"/>
              <w:spacing w:after="0"/>
              <w:rPr>
                <w:sz w:val="20"/>
                <w:szCs w:val="20"/>
                <w:color w:val="auto"/>
              </w:rPr>
            </w:pPr>
            <w:r>
              <w:rPr>
                <w:rFonts w:ascii="Arial" w:cs="Arial" w:eastAsia="Arial" w:hAnsi="Arial"/>
                <w:sz w:val="14"/>
                <w:szCs w:val="14"/>
                <w:color w:val="333333"/>
              </w:rPr>
              <w:t>CFO</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2020</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683,173</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2,400,096</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600,014</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279,125</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color w:val="auto"/>
              </w:rPr>
              <w:t>58,687</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4,021,095</w:t>
            </w: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420" w:type="dxa"/>
            <w:vAlign w:val="bottom"/>
          </w:tcPr>
          <w:p>
            <w:pPr>
              <w:spacing w:after="0"/>
              <w:rPr>
                <w:sz w:val="19"/>
                <w:szCs w:val="19"/>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725,000</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2,040,082</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510,002</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788,655</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66,704</w:t>
            </w:r>
          </w:p>
        </w:tc>
        <w:tc>
          <w:tcPr>
            <w:tcW w:w="880" w:type="dxa"/>
            <w:vAlign w:val="bottom"/>
          </w:tcPr>
          <w:p>
            <w:pPr>
              <w:jc w:val="right"/>
              <w:spacing w:after="0"/>
              <w:rPr>
                <w:sz w:val="20"/>
                <w:szCs w:val="20"/>
                <w:color w:val="auto"/>
              </w:rPr>
            </w:pPr>
            <w:r>
              <w:rPr>
                <w:rFonts w:ascii="Arial" w:cs="Arial" w:eastAsia="Arial" w:hAnsi="Arial"/>
                <w:sz w:val="14"/>
                <w:szCs w:val="14"/>
                <w:color w:val="auto"/>
              </w:rPr>
              <w:t>4,130,443</w:t>
            </w:r>
          </w:p>
        </w:tc>
        <w:tc>
          <w:tcPr>
            <w:tcW w:w="0" w:type="dxa"/>
            <w:vAlign w:val="bottom"/>
          </w:tcPr>
          <w:p>
            <w:pPr>
              <w:spacing w:after="0"/>
              <w:rPr>
                <w:sz w:val="1"/>
                <w:szCs w:val="1"/>
                <w:color w:val="auto"/>
              </w:rPr>
            </w:pPr>
          </w:p>
        </w:tc>
      </w:tr>
      <w:tr>
        <w:trPr>
          <w:trHeight w:val="52"/>
        </w:trPr>
        <w:tc>
          <w:tcPr>
            <w:tcW w:w="242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42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Michelle S. Nettles</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2021</w:t>
            </w:r>
          </w:p>
        </w:tc>
        <w:tc>
          <w:tcPr>
            <w:tcW w:w="840" w:type="dxa"/>
            <w:vAlign w:val="bottom"/>
          </w:tcPr>
          <w:p>
            <w:pPr>
              <w:jc w:val="right"/>
              <w:ind w:right="10"/>
              <w:spacing w:after="0" w:line="159" w:lineRule="exact"/>
              <w:rPr>
                <w:sz w:val="20"/>
                <w:szCs w:val="20"/>
                <w:color w:val="auto"/>
              </w:rPr>
            </w:pPr>
            <w:r>
              <w:rPr>
                <w:rFonts w:ascii="Arial" w:cs="Arial" w:eastAsia="Arial" w:hAnsi="Arial"/>
                <w:sz w:val="14"/>
                <w:szCs w:val="14"/>
                <w:color w:val="auto"/>
              </w:rPr>
              <w:t>566,500</w:t>
            </w:r>
          </w:p>
        </w:tc>
        <w:tc>
          <w:tcPr>
            <w:tcW w:w="6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line="159" w:lineRule="exact"/>
              <w:rPr>
                <w:sz w:val="20"/>
                <w:szCs w:val="20"/>
                <w:color w:val="auto"/>
              </w:rPr>
            </w:pPr>
            <w:r>
              <w:rPr>
                <w:rFonts w:ascii="Arial" w:cs="Arial" w:eastAsia="Arial" w:hAnsi="Arial"/>
                <w:sz w:val="14"/>
                <w:szCs w:val="14"/>
                <w:color w:val="auto"/>
              </w:rPr>
              <w:t>1,200,150</w:t>
            </w:r>
          </w:p>
        </w:tc>
        <w:tc>
          <w:tcPr>
            <w:tcW w:w="860" w:type="dxa"/>
            <w:vAlign w:val="bottom"/>
          </w:tcPr>
          <w:p>
            <w:pPr>
              <w:jc w:val="right"/>
              <w:ind w:right="31"/>
              <w:spacing w:after="0" w:line="159" w:lineRule="exact"/>
              <w:rPr>
                <w:sz w:val="20"/>
                <w:szCs w:val="20"/>
                <w:color w:val="auto"/>
              </w:rPr>
            </w:pPr>
            <w:r>
              <w:rPr>
                <w:rFonts w:ascii="Arial" w:cs="Arial" w:eastAsia="Arial" w:hAnsi="Arial"/>
                <w:sz w:val="14"/>
                <w:szCs w:val="14"/>
                <w:color w:val="auto"/>
              </w:rPr>
              <w:t>200,014</w:t>
            </w:r>
          </w:p>
        </w:tc>
        <w:tc>
          <w:tcPr>
            <w:tcW w:w="1220" w:type="dxa"/>
            <w:vAlign w:val="bottom"/>
          </w:tcPr>
          <w:p>
            <w:pPr>
              <w:jc w:val="right"/>
              <w:ind w:right="11"/>
              <w:spacing w:after="0" w:line="159" w:lineRule="exact"/>
              <w:rPr>
                <w:sz w:val="20"/>
                <w:szCs w:val="20"/>
                <w:color w:val="auto"/>
              </w:rPr>
            </w:pPr>
            <w:r>
              <w:rPr>
                <w:rFonts w:ascii="Arial" w:cs="Arial" w:eastAsia="Arial" w:hAnsi="Arial"/>
                <w:sz w:val="14"/>
                <w:szCs w:val="14"/>
                <w:color w:val="auto"/>
              </w:rPr>
              <w:t>754,181</w:t>
            </w:r>
          </w:p>
        </w:tc>
        <w:tc>
          <w:tcPr>
            <w:tcW w:w="12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1"/>
              <w:spacing w:after="0" w:line="159" w:lineRule="exact"/>
              <w:rPr>
                <w:sz w:val="20"/>
                <w:szCs w:val="20"/>
                <w:color w:val="auto"/>
              </w:rPr>
            </w:pPr>
            <w:r>
              <w:rPr>
                <w:rFonts w:ascii="Arial" w:cs="Arial" w:eastAsia="Arial" w:hAnsi="Arial"/>
                <w:sz w:val="14"/>
                <w:szCs w:val="14"/>
                <w:color w:val="auto"/>
              </w:rPr>
              <w:t>46,427</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2,767,272</w:t>
            </w:r>
          </w:p>
        </w:tc>
        <w:tc>
          <w:tcPr>
            <w:tcW w:w="0" w:type="dxa"/>
            <w:vAlign w:val="bottom"/>
          </w:tcPr>
          <w:p>
            <w:pPr>
              <w:spacing w:after="0"/>
              <w:rPr>
                <w:sz w:val="1"/>
                <w:szCs w:val="1"/>
                <w:color w:val="auto"/>
              </w:rPr>
            </w:pPr>
          </w:p>
        </w:tc>
      </w:tr>
      <w:tr>
        <w:trPr>
          <w:trHeight w:val="160"/>
        </w:trPr>
        <w:tc>
          <w:tcPr>
            <w:tcW w:w="2420" w:type="dxa"/>
            <w:vAlign w:val="bottom"/>
          </w:tcPr>
          <w:p>
            <w:pPr>
              <w:ind w:left="80"/>
              <w:spacing w:after="0"/>
              <w:rPr>
                <w:sz w:val="20"/>
                <w:szCs w:val="20"/>
                <w:color w:val="auto"/>
              </w:rPr>
            </w:pPr>
            <w:r>
              <w:rPr>
                <w:rFonts w:ascii="Arial" w:cs="Arial" w:eastAsia="Arial" w:hAnsi="Arial"/>
                <w:sz w:val="14"/>
                <w:szCs w:val="14"/>
                <w:color w:val="333333"/>
              </w:rPr>
              <w:t>Chief People</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2020</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518,269</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800,094</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200,017</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144,375</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color w:val="auto"/>
              </w:rPr>
              <w:t>31,777</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1,694,532</w:t>
            </w:r>
          </w:p>
        </w:tc>
        <w:tc>
          <w:tcPr>
            <w:tcW w:w="0" w:type="dxa"/>
            <w:vAlign w:val="bottom"/>
          </w:tcPr>
          <w:p>
            <w:pPr>
              <w:spacing w:after="0"/>
              <w:rPr>
                <w:sz w:val="1"/>
                <w:szCs w:val="1"/>
                <w:color w:val="auto"/>
              </w:rPr>
            </w:pPr>
          </w:p>
        </w:tc>
      </w:tr>
      <w:tr>
        <w:trPr>
          <w:trHeight w:val="77"/>
        </w:trPr>
        <w:tc>
          <w:tcPr>
            <w:tcW w:w="2420" w:type="dxa"/>
            <w:vAlign w:val="bottom"/>
            <w:vMerge w:val="restart"/>
          </w:tcPr>
          <w:p>
            <w:pPr>
              <w:ind w:left="80"/>
              <w:spacing w:after="0"/>
              <w:rPr>
                <w:sz w:val="20"/>
                <w:szCs w:val="20"/>
                <w:color w:val="auto"/>
              </w:rPr>
            </w:pPr>
            <w:r>
              <w:rPr>
                <w:rFonts w:ascii="Arial" w:cs="Arial" w:eastAsia="Arial" w:hAnsi="Arial"/>
                <w:sz w:val="14"/>
                <w:szCs w:val="14"/>
                <w:color w:val="333333"/>
              </w:rPr>
              <w:t>and Culture Officer</w:t>
            </w: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4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420" w:type="dxa"/>
            <w:vAlign w:val="bottom"/>
            <w:tcBorders>
              <w:bottom w:val="single" w:sz="8" w:color="5D89B4"/>
            </w:tcBorders>
          </w:tcPr>
          <w:p>
            <w:pPr>
              <w:spacing w:after="0"/>
              <w:rPr>
                <w:sz w:val="10"/>
                <w:szCs w:val="10"/>
                <w:color w:val="auto"/>
              </w:rPr>
            </w:pPr>
          </w:p>
        </w:tc>
        <w:tc>
          <w:tcPr>
            <w:tcW w:w="620" w:type="dxa"/>
            <w:vAlign w:val="bottom"/>
            <w:tcBorders>
              <w:bottom w:val="single" w:sz="8" w:color="5D89B4"/>
            </w:tcBorders>
          </w:tcPr>
          <w:p>
            <w:pPr>
              <w:spacing w:after="0"/>
              <w:rPr>
                <w:sz w:val="10"/>
                <w:szCs w:val="10"/>
                <w:color w:val="auto"/>
              </w:rPr>
            </w:pPr>
          </w:p>
        </w:tc>
        <w:tc>
          <w:tcPr>
            <w:tcW w:w="840" w:type="dxa"/>
            <w:vAlign w:val="bottom"/>
            <w:tcBorders>
              <w:bottom w:val="single" w:sz="8" w:color="5D89B4"/>
            </w:tcBorders>
          </w:tcPr>
          <w:p>
            <w:pPr>
              <w:spacing w:after="0"/>
              <w:rPr>
                <w:sz w:val="10"/>
                <w:szCs w:val="10"/>
                <w:color w:val="auto"/>
              </w:rPr>
            </w:pPr>
          </w:p>
        </w:tc>
        <w:tc>
          <w:tcPr>
            <w:tcW w:w="680" w:type="dxa"/>
            <w:vAlign w:val="bottom"/>
            <w:tcBorders>
              <w:bottom w:val="single" w:sz="8" w:color="5D89B4"/>
            </w:tcBorders>
          </w:tcPr>
          <w:p>
            <w:pPr>
              <w:spacing w:after="0"/>
              <w:rPr>
                <w:sz w:val="10"/>
                <w:szCs w:val="10"/>
                <w:color w:val="auto"/>
              </w:rPr>
            </w:pPr>
          </w:p>
        </w:tc>
        <w:tc>
          <w:tcPr>
            <w:tcW w:w="960" w:type="dxa"/>
            <w:vAlign w:val="bottom"/>
            <w:tcBorders>
              <w:bottom w:val="single" w:sz="8" w:color="5D89B4"/>
            </w:tcBorders>
          </w:tcPr>
          <w:p>
            <w:pPr>
              <w:spacing w:after="0"/>
              <w:rPr>
                <w:sz w:val="10"/>
                <w:szCs w:val="10"/>
                <w:color w:val="auto"/>
              </w:rPr>
            </w:pPr>
          </w:p>
        </w:tc>
        <w:tc>
          <w:tcPr>
            <w:tcW w:w="860" w:type="dxa"/>
            <w:vAlign w:val="bottom"/>
            <w:tcBorders>
              <w:bottom w:val="single" w:sz="8" w:color="5D89B4"/>
            </w:tcBorders>
          </w:tcPr>
          <w:p>
            <w:pPr>
              <w:spacing w:after="0"/>
              <w:rPr>
                <w:sz w:val="10"/>
                <w:szCs w:val="10"/>
                <w:color w:val="auto"/>
              </w:rPr>
            </w:pPr>
          </w:p>
        </w:tc>
        <w:tc>
          <w:tcPr>
            <w:tcW w:w="1220" w:type="dxa"/>
            <w:vAlign w:val="bottom"/>
            <w:tcBorders>
              <w:bottom w:val="single" w:sz="8" w:color="5D89B4"/>
            </w:tcBorders>
          </w:tcPr>
          <w:p>
            <w:pPr>
              <w:spacing w:after="0"/>
              <w:rPr>
                <w:sz w:val="10"/>
                <w:szCs w:val="10"/>
                <w:color w:val="auto"/>
              </w:rPr>
            </w:pPr>
          </w:p>
        </w:tc>
        <w:tc>
          <w:tcPr>
            <w:tcW w:w="1220" w:type="dxa"/>
            <w:vAlign w:val="bottom"/>
            <w:tcBorders>
              <w:bottom w:val="single" w:sz="8" w:color="5D89B4"/>
            </w:tcBorders>
          </w:tcPr>
          <w:p>
            <w:pPr>
              <w:spacing w:after="0"/>
              <w:rPr>
                <w:sz w:val="10"/>
                <w:szCs w:val="10"/>
                <w:color w:val="auto"/>
              </w:rPr>
            </w:pPr>
          </w:p>
        </w:tc>
        <w:tc>
          <w:tcPr>
            <w:tcW w:w="1220" w:type="dxa"/>
            <w:vAlign w:val="bottom"/>
            <w:tcBorders>
              <w:bottom w:val="single" w:sz="8" w:color="5D89B4"/>
            </w:tcBorders>
          </w:tcPr>
          <w:p>
            <w:pPr>
              <w:spacing w:after="0"/>
              <w:rPr>
                <w:sz w:val="10"/>
                <w:szCs w:val="10"/>
                <w:color w:val="auto"/>
              </w:rPr>
            </w:pPr>
          </w:p>
        </w:tc>
        <w:tc>
          <w:tcPr>
            <w:tcW w:w="880" w:type="dxa"/>
            <w:vAlign w:val="bottom"/>
            <w:tcBorders>
              <w:bottom w:val="single" w:sz="8" w:color="5D89B4"/>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42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Richard Buchband</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2021</w:t>
            </w:r>
          </w:p>
        </w:tc>
        <w:tc>
          <w:tcPr>
            <w:tcW w:w="840" w:type="dxa"/>
            <w:vAlign w:val="bottom"/>
          </w:tcPr>
          <w:p>
            <w:pPr>
              <w:jc w:val="right"/>
              <w:ind w:right="10"/>
              <w:spacing w:after="0" w:line="159" w:lineRule="exact"/>
              <w:rPr>
                <w:sz w:val="20"/>
                <w:szCs w:val="20"/>
                <w:color w:val="auto"/>
              </w:rPr>
            </w:pPr>
            <w:r>
              <w:rPr>
                <w:rFonts w:ascii="Arial" w:cs="Arial" w:eastAsia="Arial" w:hAnsi="Arial"/>
                <w:sz w:val="14"/>
                <w:szCs w:val="14"/>
                <w:color w:val="auto"/>
              </w:rPr>
              <w:t>540,750</w:t>
            </w:r>
          </w:p>
        </w:tc>
        <w:tc>
          <w:tcPr>
            <w:tcW w:w="68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line="159" w:lineRule="exact"/>
              <w:rPr>
                <w:sz w:val="20"/>
                <w:szCs w:val="20"/>
                <w:color w:val="auto"/>
              </w:rPr>
            </w:pPr>
            <w:r>
              <w:rPr>
                <w:rFonts w:ascii="Arial" w:cs="Arial" w:eastAsia="Arial" w:hAnsi="Arial"/>
                <w:sz w:val="14"/>
                <w:szCs w:val="14"/>
                <w:color w:val="auto"/>
              </w:rPr>
              <w:t>960,046</w:t>
            </w:r>
          </w:p>
        </w:tc>
        <w:tc>
          <w:tcPr>
            <w:tcW w:w="860" w:type="dxa"/>
            <w:vAlign w:val="bottom"/>
          </w:tcPr>
          <w:p>
            <w:pPr>
              <w:jc w:val="right"/>
              <w:ind w:right="31"/>
              <w:spacing w:after="0" w:line="159" w:lineRule="exact"/>
              <w:rPr>
                <w:sz w:val="20"/>
                <w:szCs w:val="20"/>
                <w:color w:val="auto"/>
              </w:rPr>
            </w:pPr>
            <w:r>
              <w:rPr>
                <w:rFonts w:ascii="Arial" w:cs="Arial" w:eastAsia="Arial" w:hAnsi="Arial"/>
                <w:sz w:val="14"/>
                <w:szCs w:val="14"/>
                <w:color w:val="auto"/>
              </w:rPr>
              <w:t>160,015</w:t>
            </w:r>
          </w:p>
        </w:tc>
        <w:tc>
          <w:tcPr>
            <w:tcW w:w="1220" w:type="dxa"/>
            <w:vAlign w:val="bottom"/>
          </w:tcPr>
          <w:p>
            <w:pPr>
              <w:jc w:val="right"/>
              <w:ind w:right="11"/>
              <w:spacing w:after="0" w:line="159" w:lineRule="exact"/>
              <w:rPr>
                <w:sz w:val="20"/>
                <w:szCs w:val="20"/>
                <w:color w:val="auto"/>
              </w:rPr>
            </w:pPr>
            <w:r>
              <w:rPr>
                <w:rFonts w:ascii="Arial" w:cs="Arial" w:eastAsia="Arial" w:hAnsi="Arial"/>
                <w:sz w:val="14"/>
                <w:szCs w:val="14"/>
                <w:color w:val="auto"/>
              </w:rPr>
              <w:t>719,900</w:t>
            </w:r>
          </w:p>
        </w:tc>
        <w:tc>
          <w:tcPr>
            <w:tcW w:w="12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1"/>
              <w:spacing w:after="0" w:line="159" w:lineRule="exact"/>
              <w:rPr>
                <w:sz w:val="20"/>
                <w:szCs w:val="20"/>
                <w:color w:val="auto"/>
              </w:rPr>
            </w:pPr>
            <w:r>
              <w:rPr>
                <w:rFonts w:ascii="Arial" w:cs="Arial" w:eastAsia="Arial" w:hAnsi="Arial"/>
                <w:sz w:val="14"/>
                <w:szCs w:val="14"/>
                <w:color w:val="auto"/>
              </w:rPr>
              <w:t>74,218</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2,454,929</w:t>
            </w:r>
          </w:p>
        </w:tc>
        <w:tc>
          <w:tcPr>
            <w:tcW w:w="0" w:type="dxa"/>
            <w:vAlign w:val="bottom"/>
          </w:tcPr>
          <w:p>
            <w:pPr>
              <w:spacing w:after="0"/>
              <w:rPr>
                <w:sz w:val="1"/>
                <w:szCs w:val="1"/>
                <w:color w:val="auto"/>
              </w:rPr>
            </w:pPr>
          </w:p>
        </w:tc>
      </w:tr>
      <w:tr>
        <w:trPr>
          <w:trHeight w:val="160"/>
        </w:trPr>
        <w:tc>
          <w:tcPr>
            <w:tcW w:w="2420" w:type="dxa"/>
            <w:vAlign w:val="bottom"/>
          </w:tcPr>
          <w:p>
            <w:pPr>
              <w:ind w:left="80"/>
              <w:spacing w:after="0"/>
              <w:rPr>
                <w:sz w:val="20"/>
                <w:szCs w:val="20"/>
                <w:color w:val="auto"/>
              </w:rPr>
            </w:pPr>
            <w:r>
              <w:rPr>
                <w:rFonts w:ascii="Arial" w:cs="Arial" w:eastAsia="Arial" w:hAnsi="Arial"/>
                <w:sz w:val="14"/>
                <w:szCs w:val="14"/>
                <w:color w:val="333333"/>
              </w:rPr>
              <w:t>SVP, General</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2020</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494,712</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640,001</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160,014</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137,813</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color w:val="auto"/>
              </w:rPr>
              <w:t>53,236</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1,485,776</w:t>
            </w:r>
          </w:p>
        </w:tc>
        <w:tc>
          <w:tcPr>
            <w:tcW w:w="0" w:type="dxa"/>
            <w:vAlign w:val="bottom"/>
          </w:tcPr>
          <w:p>
            <w:pPr>
              <w:spacing w:after="0"/>
              <w:rPr>
                <w:sz w:val="1"/>
                <w:szCs w:val="1"/>
                <w:color w:val="auto"/>
              </w:rPr>
            </w:pPr>
          </w:p>
        </w:tc>
      </w:tr>
      <w:tr>
        <w:trPr>
          <w:trHeight w:val="77"/>
        </w:trPr>
        <w:tc>
          <w:tcPr>
            <w:tcW w:w="2420" w:type="dxa"/>
            <w:vAlign w:val="bottom"/>
            <w:vMerge w:val="restart"/>
          </w:tcPr>
          <w:p>
            <w:pPr>
              <w:ind w:left="80"/>
              <w:spacing w:after="0"/>
              <w:rPr>
                <w:sz w:val="20"/>
                <w:szCs w:val="20"/>
                <w:color w:val="auto"/>
              </w:rPr>
            </w:pPr>
            <w:r>
              <w:rPr>
                <w:rFonts w:ascii="Arial" w:cs="Arial" w:eastAsia="Arial" w:hAnsi="Arial"/>
                <w:sz w:val="14"/>
                <w:szCs w:val="14"/>
                <w:color w:val="333333"/>
              </w:rPr>
              <w:t>Counsel and Secretary</w:t>
            </w: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420" w:type="dxa"/>
            <w:vAlign w:val="bottom"/>
            <w:vMerge w:val="continue"/>
          </w:tcPr>
          <w:p>
            <w:pPr>
              <w:spacing w:after="0"/>
              <w:rPr>
                <w:sz w:val="8"/>
                <w:szCs w:val="8"/>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2019</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525,000</w:t>
            </w: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640,148</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160,002</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333,585</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color w:val="auto"/>
              </w:rPr>
              <w:t>59,972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1,718,707</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40" w:right="180" w:hanging="433"/>
        <w:spacing w:after="0" w:line="246" w:lineRule="auto"/>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value of stock awards in this table for all years includes the grant date fair value (calculated at the target level) for PSUs and RSUs (including career shares) as computed in accordance with Financial Accounting Standards Board (“FASB”) Accounting Standards Codification (“ASC”) Topic 718, “Stock Compensation.” See page 51 for the breakout in the grant date fair value of PSUs and RSUs.</w:t>
      </w:r>
    </w:p>
    <w:p>
      <w:pPr>
        <w:spacing w:after="0" w:line="106"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The grant date fair value of the 2021 PSU awards at the outstanding (maximum) level for each executive officer was:</w:t>
      </w:r>
    </w:p>
    <w:p>
      <w:pPr>
        <w:spacing w:after="0" w:line="115" w:lineRule="exact"/>
        <w:rPr>
          <w:sz w:val="20"/>
          <w:szCs w:val="20"/>
          <w:color w:val="auto"/>
        </w:rPr>
      </w:pPr>
    </w:p>
    <w:tbl>
      <w:tblPr>
        <w:tblLayout w:type="fixed"/>
        <w:tblInd w:w="440" w:type="dxa"/>
        <w:tblCellMar>
          <w:top w:w="0" w:type="dxa"/>
          <w:left w:w="0" w:type="dxa"/>
          <w:bottom w:w="0" w:type="dxa"/>
          <w:right w:w="0" w:type="dxa"/>
        </w:tblCellMar>
      </w:tblPr>
      <w:tr>
        <w:trPr>
          <w:trHeight w:val="181"/>
        </w:trPr>
        <w:tc>
          <w:tcPr>
            <w:tcW w:w="8520" w:type="dxa"/>
            <w:vAlign w:val="bottom"/>
            <w:shd w:val="clear" w:color="auto" w:fill="EAEAEA"/>
          </w:tcPr>
          <w:p>
            <w:pPr>
              <w:spacing w:after="0"/>
              <w:rPr>
                <w:sz w:val="15"/>
                <w:szCs w:val="15"/>
                <w:color w:val="auto"/>
              </w:rPr>
            </w:pPr>
          </w:p>
        </w:tc>
        <w:tc>
          <w:tcPr>
            <w:tcW w:w="1520" w:type="dxa"/>
            <w:vAlign w:val="bottom"/>
            <w:shd w:val="clear" w:color="auto" w:fill="EAEAEA"/>
          </w:tcPr>
          <w:p>
            <w:pPr>
              <w:jc w:val="right"/>
              <w:ind w:right="9"/>
              <w:spacing w:after="0"/>
              <w:rPr>
                <w:sz w:val="20"/>
                <w:szCs w:val="20"/>
                <w:color w:val="auto"/>
              </w:rPr>
            </w:pPr>
            <w:r>
              <w:rPr>
                <w:rFonts w:ascii="Arial" w:cs="Arial" w:eastAsia="Arial" w:hAnsi="Arial"/>
                <w:sz w:val="12"/>
                <w:szCs w:val="12"/>
                <w:b w:val="1"/>
                <w:bCs w:val="1"/>
                <w:color w:val="5D89B4"/>
              </w:rPr>
              <w:t>2021</w:t>
            </w:r>
          </w:p>
        </w:tc>
      </w:tr>
      <w:tr>
        <w:trPr>
          <w:trHeight w:val="214"/>
        </w:trPr>
        <w:tc>
          <w:tcPr>
            <w:tcW w:w="85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NAME</w:t>
            </w:r>
          </w:p>
        </w:tc>
        <w:tc>
          <w:tcPr>
            <w:tcW w:w="1520" w:type="dxa"/>
            <w:vAlign w:val="bottom"/>
            <w:tcBorders>
              <w:bottom w:val="single" w:sz="8" w:color="EAEAEA"/>
            </w:tcBorders>
            <w:shd w:val="clear" w:color="auto" w:fill="EAEAEA"/>
          </w:tcPr>
          <w:p>
            <w:pPr>
              <w:jc w:val="right"/>
              <w:ind w:right="9"/>
              <w:spacing w:after="0"/>
              <w:rPr>
                <w:sz w:val="20"/>
                <w:szCs w:val="20"/>
                <w:color w:val="auto"/>
              </w:rPr>
            </w:pPr>
            <w:r>
              <w:rPr>
                <w:rFonts w:ascii="Arial" w:cs="Arial" w:eastAsia="Arial" w:hAnsi="Arial"/>
                <w:sz w:val="12"/>
                <w:szCs w:val="12"/>
                <w:b w:val="1"/>
                <w:bCs w:val="1"/>
                <w:color w:val="5D89B4"/>
              </w:rPr>
              <w:t>($)</w:t>
            </w:r>
          </w:p>
        </w:tc>
      </w:tr>
      <w:tr>
        <w:trPr>
          <w:trHeight w:val="245"/>
        </w:trPr>
        <w:tc>
          <w:tcPr>
            <w:tcW w:w="852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520" w:type="dxa"/>
            <w:vAlign w:val="bottom"/>
          </w:tcPr>
          <w:p>
            <w:pPr>
              <w:jc w:val="right"/>
              <w:ind w:right="9"/>
              <w:spacing w:after="0"/>
              <w:rPr>
                <w:sz w:val="20"/>
                <w:szCs w:val="20"/>
                <w:color w:val="auto"/>
              </w:rPr>
            </w:pPr>
            <w:r>
              <w:rPr>
                <w:rFonts w:ascii="Arial" w:cs="Arial" w:eastAsia="Arial" w:hAnsi="Arial"/>
                <w:sz w:val="15"/>
                <w:szCs w:val="15"/>
                <w:color w:val="auto"/>
              </w:rPr>
              <w:t>20,000,038</w:t>
            </w:r>
          </w:p>
        </w:tc>
      </w:tr>
      <w:tr>
        <w:trPr>
          <w:trHeight w:val="50"/>
        </w:trPr>
        <w:tc>
          <w:tcPr>
            <w:tcW w:w="85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852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520" w:type="dxa"/>
            <w:vAlign w:val="bottom"/>
          </w:tcPr>
          <w:p>
            <w:pPr>
              <w:jc w:val="right"/>
              <w:ind w:right="9"/>
              <w:spacing w:after="0"/>
              <w:rPr>
                <w:sz w:val="20"/>
                <w:szCs w:val="20"/>
                <w:color w:val="auto"/>
              </w:rPr>
            </w:pPr>
            <w:r>
              <w:rPr>
                <w:rFonts w:ascii="Arial" w:cs="Arial" w:eastAsia="Arial" w:hAnsi="Arial"/>
                <w:sz w:val="15"/>
                <w:szCs w:val="15"/>
                <w:color w:val="auto"/>
              </w:rPr>
              <w:t>6,000,196</w:t>
            </w:r>
          </w:p>
        </w:tc>
      </w:tr>
      <w:tr>
        <w:trPr>
          <w:trHeight w:val="50"/>
        </w:trPr>
        <w:tc>
          <w:tcPr>
            <w:tcW w:w="85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852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520" w:type="dxa"/>
            <w:vAlign w:val="bottom"/>
          </w:tcPr>
          <w:p>
            <w:pPr>
              <w:jc w:val="right"/>
              <w:ind w:right="9"/>
              <w:spacing w:after="0"/>
              <w:rPr>
                <w:sz w:val="20"/>
                <w:szCs w:val="20"/>
                <w:color w:val="auto"/>
              </w:rPr>
            </w:pPr>
            <w:r>
              <w:rPr>
                <w:rFonts w:ascii="Arial" w:cs="Arial" w:eastAsia="Arial" w:hAnsi="Arial"/>
                <w:sz w:val="15"/>
                <w:szCs w:val="15"/>
                <w:color w:val="auto"/>
              </w:rPr>
              <w:t>2,000,189</w:t>
            </w:r>
          </w:p>
        </w:tc>
      </w:tr>
      <w:tr>
        <w:trPr>
          <w:trHeight w:val="50"/>
        </w:trPr>
        <w:tc>
          <w:tcPr>
            <w:tcW w:w="85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852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520" w:type="dxa"/>
            <w:vAlign w:val="bottom"/>
          </w:tcPr>
          <w:p>
            <w:pPr>
              <w:jc w:val="right"/>
              <w:ind w:right="9"/>
              <w:spacing w:after="0"/>
              <w:rPr>
                <w:sz w:val="20"/>
                <w:szCs w:val="20"/>
                <w:color w:val="auto"/>
              </w:rPr>
            </w:pPr>
            <w:r>
              <w:rPr>
                <w:rFonts w:ascii="Arial" w:cs="Arial" w:eastAsia="Arial" w:hAnsi="Arial"/>
                <w:sz w:val="15"/>
                <w:szCs w:val="15"/>
                <w:color w:val="auto"/>
              </w:rPr>
              <w:t>1,600,077</w:t>
            </w:r>
          </w:p>
        </w:tc>
      </w:tr>
      <w:tr>
        <w:trPr>
          <w:trHeight w:val="50"/>
        </w:trPr>
        <w:tc>
          <w:tcPr>
            <w:tcW w:w="852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value of options in this table represents the grant date fair value for the stock options as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69297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49</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73" w:lineRule="exact"/>
        <w:rPr>
          <w:sz w:val="20"/>
          <w:szCs w:val="20"/>
          <w:color w:val="auto"/>
        </w:rPr>
      </w:pPr>
    </w:p>
    <w:p>
      <w:pPr>
        <w:ind w:left="440" w:hanging="433"/>
        <w:spacing w:after="0"/>
        <w:tabs>
          <w:tab w:leader="none" w:pos="4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Details about the amounts in the “All Other Compensation” column for fiscal year 2021 are set forth in the table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shd w:val="clear" w:color="auto" w:fill="EAEAEA"/>
          </w:tcPr>
          <w:p>
            <w:pPr>
              <w:spacing w:after="0"/>
              <w:rPr>
                <w:sz w:val="15"/>
                <w:szCs w:val="15"/>
                <w:color w:val="auto"/>
              </w:rPr>
            </w:pPr>
          </w:p>
        </w:tc>
        <w:tc>
          <w:tcPr>
            <w:tcW w:w="2220" w:type="dxa"/>
            <w:vAlign w:val="bottom"/>
            <w:shd w:val="clear" w:color="auto" w:fill="EAEAEA"/>
          </w:tcPr>
          <w:p>
            <w:pPr>
              <w:spacing w:after="0"/>
              <w:rPr>
                <w:sz w:val="15"/>
                <w:szCs w:val="15"/>
                <w:color w:val="auto"/>
              </w:rPr>
            </w:pPr>
          </w:p>
        </w:tc>
        <w:tc>
          <w:tcPr>
            <w:tcW w:w="1780" w:type="dxa"/>
            <w:vAlign w:val="bottom"/>
            <w:shd w:val="clear" w:color="auto" w:fill="EAEAEA"/>
          </w:tcPr>
          <w:p>
            <w:pPr>
              <w:spacing w:after="0"/>
              <w:rPr>
                <w:sz w:val="15"/>
                <w:szCs w:val="15"/>
                <w:color w:val="auto"/>
              </w:rPr>
            </w:pPr>
          </w:p>
        </w:tc>
        <w:tc>
          <w:tcPr>
            <w:tcW w:w="1520" w:type="dxa"/>
            <w:vAlign w:val="bottom"/>
            <w:shd w:val="clear" w:color="auto" w:fill="EAEAEA"/>
          </w:tcPr>
          <w:p>
            <w:pPr>
              <w:spacing w:after="0"/>
              <w:rPr>
                <w:sz w:val="15"/>
                <w:szCs w:val="15"/>
                <w:color w:val="auto"/>
              </w:rPr>
            </w:pPr>
          </w:p>
        </w:tc>
        <w:tc>
          <w:tcPr>
            <w:tcW w:w="1660" w:type="dxa"/>
            <w:vAlign w:val="bottom"/>
            <w:shd w:val="clear" w:color="auto" w:fill="EAEAEA"/>
          </w:tcPr>
          <w:p>
            <w:pPr>
              <w:jc w:val="right"/>
              <w:ind w:right="252"/>
              <w:spacing w:after="0"/>
              <w:rPr>
                <w:sz w:val="20"/>
                <w:szCs w:val="20"/>
                <w:color w:val="auto"/>
              </w:rPr>
            </w:pPr>
            <w:r>
              <w:rPr>
                <w:rFonts w:ascii="Arial" w:cs="Arial" w:eastAsia="Arial" w:hAnsi="Arial"/>
                <w:sz w:val="12"/>
                <w:szCs w:val="12"/>
                <w:b w:val="1"/>
                <w:bCs w:val="1"/>
                <w:color w:val="5D89B4"/>
              </w:rPr>
              <w:t>COMPANY</w:t>
            </w:r>
          </w:p>
        </w:tc>
        <w:tc>
          <w:tcPr>
            <w:tcW w:w="1360" w:type="dxa"/>
            <w:vAlign w:val="bottom"/>
            <w:shd w:val="clear" w:color="auto" w:fill="EAEAEA"/>
          </w:tcPr>
          <w:p>
            <w:pPr>
              <w:spacing w:after="0"/>
              <w:rPr>
                <w:sz w:val="15"/>
                <w:szCs w:val="15"/>
                <w:color w:val="auto"/>
              </w:rPr>
            </w:pPr>
          </w:p>
        </w:tc>
      </w:tr>
      <w:tr>
        <w:trPr>
          <w:trHeight w:val="134"/>
        </w:trPr>
        <w:tc>
          <w:tcPr>
            <w:tcW w:w="2380" w:type="dxa"/>
            <w:vAlign w:val="bottom"/>
            <w:shd w:val="clear" w:color="auto" w:fill="EAEAEA"/>
          </w:tcPr>
          <w:p>
            <w:pPr>
              <w:spacing w:after="0"/>
              <w:rPr>
                <w:sz w:val="11"/>
                <w:szCs w:val="11"/>
                <w:color w:val="auto"/>
              </w:rPr>
            </w:pPr>
          </w:p>
        </w:tc>
        <w:tc>
          <w:tcPr>
            <w:tcW w:w="2220" w:type="dxa"/>
            <w:vAlign w:val="bottom"/>
            <w:shd w:val="clear" w:color="auto" w:fill="EAEAEA"/>
          </w:tcPr>
          <w:p>
            <w:pPr>
              <w:spacing w:after="0"/>
              <w:rPr>
                <w:sz w:val="11"/>
                <w:szCs w:val="11"/>
                <w:color w:val="auto"/>
              </w:rPr>
            </w:pPr>
          </w:p>
        </w:tc>
        <w:tc>
          <w:tcPr>
            <w:tcW w:w="1780" w:type="dxa"/>
            <w:vAlign w:val="bottom"/>
            <w:shd w:val="clear" w:color="auto" w:fill="EAEAEA"/>
          </w:tcPr>
          <w:p>
            <w:pPr>
              <w:spacing w:after="0"/>
              <w:rPr>
                <w:sz w:val="11"/>
                <w:szCs w:val="11"/>
                <w:color w:val="auto"/>
              </w:rPr>
            </w:pPr>
          </w:p>
        </w:tc>
        <w:tc>
          <w:tcPr>
            <w:tcW w:w="15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PAYMENTS/</w:t>
            </w:r>
          </w:p>
        </w:tc>
        <w:tc>
          <w:tcPr>
            <w:tcW w:w="1660" w:type="dxa"/>
            <w:vAlign w:val="bottom"/>
            <w:shd w:val="clear" w:color="auto" w:fill="EAEAEA"/>
          </w:tcPr>
          <w:p>
            <w:pPr>
              <w:jc w:val="right"/>
              <w:ind w:right="252"/>
              <w:spacing w:after="0" w:line="134" w:lineRule="exact"/>
              <w:rPr>
                <w:sz w:val="20"/>
                <w:szCs w:val="20"/>
                <w:color w:val="auto"/>
              </w:rPr>
            </w:pPr>
            <w:r>
              <w:rPr>
                <w:rFonts w:ascii="Arial" w:cs="Arial" w:eastAsia="Arial" w:hAnsi="Arial"/>
                <w:sz w:val="12"/>
                <w:szCs w:val="12"/>
                <w:b w:val="1"/>
                <w:bCs w:val="1"/>
                <w:color w:val="5D89B4"/>
              </w:rPr>
              <w:t>CONTRIBUTIONS</w:t>
            </w:r>
          </w:p>
        </w:tc>
        <w:tc>
          <w:tcPr>
            <w:tcW w:w="1360" w:type="dxa"/>
            <w:vAlign w:val="bottom"/>
            <w:shd w:val="clear" w:color="auto" w:fill="EAEAEA"/>
          </w:tcPr>
          <w:p>
            <w:pPr>
              <w:spacing w:after="0"/>
              <w:rPr>
                <w:sz w:val="11"/>
                <w:szCs w:val="11"/>
                <w:color w:val="auto"/>
              </w:rPr>
            </w:pPr>
          </w:p>
        </w:tc>
      </w:tr>
      <w:tr>
        <w:trPr>
          <w:trHeight w:val="134"/>
        </w:trPr>
        <w:tc>
          <w:tcPr>
            <w:tcW w:w="2380" w:type="dxa"/>
            <w:vAlign w:val="bottom"/>
            <w:shd w:val="clear" w:color="auto" w:fill="EAEAEA"/>
          </w:tcPr>
          <w:p>
            <w:pPr>
              <w:spacing w:after="0"/>
              <w:rPr>
                <w:sz w:val="11"/>
                <w:szCs w:val="11"/>
                <w:color w:val="auto"/>
              </w:rPr>
            </w:pPr>
          </w:p>
        </w:tc>
        <w:tc>
          <w:tcPr>
            <w:tcW w:w="2220" w:type="dxa"/>
            <w:vAlign w:val="bottom"/>
            <w:shd w:val="clear" w:color="auto" w:fill="EAEAEA"/>
          </w:tcPr>
          <w:p>
            <w:pPr>
              <w:jc w:val="right"/>
              <w:ind w:right="251"/>
              <w:spacing w:after="0" w:line="134" w:lineRule="exact"/>
              <w:rPr>
                <w:sz w:val="20"/>
                <w:szCs w:val="20"/>
                <w:color w:val="auto"/>
              </w:rPr>
            </w:pPr>
            <w:r>
              <w:rPr>
                <w:rFonts w:ascii="Arial" w:cs="Arial" w:eastAsia="Arial" w:hAnsi="Arial"/>
                <w:sz w:val="12"/>
                <w:szCs w:val="12"/>
                <w:b w:val="1"/>
                <w:bCs w:val="1"/>
                <w:color w:val="5D89B4"/>
              </w:rPr>
              <w:t>PERQUISITES &amp;</w:t>
            </w:r>
          </w:p>
        </w:tc>
        <w:tc>
          <w:tcPr>
            <w:tcW w:w="1780" w:type="dxa"/>
            <w:vAlign w:val="bottom"/>
            <w:shd w:val="clear" w:color="auto" w:fill="EAEAEA"/>
          </w:tcPr>
          <w:p>
            <w:pPr>
              <w:spacing w:after="0"/>
              <w:rPr>
                <w:sz w:val="11"/>
                <w:szCs w:val="11"/>
                <w:color w:val="auto"/>
              </w:rPr>
            </w:pPr>
          </w:p>
        </w:tc>
        <w:tc>
          <w:tcPr>
            <w:tcW w:w="15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ACCRUALS ON</w:t>
            </w:r>
          </w:p>
        </w:tc>
        <w:tc>
          <w:tcPr>
            <w:tcW w:w="1660" w:type="dxa"/>
            <w:vAlign w:val="bottom"/>
            <w:shd w:val="clear" w:color="auto" w:fill="EAEAEA"/>
          </w:tcPr>
          <w:p>
            <w:pPr>
              <w:jc w:val="right"/>
              <w:ind w:right="252"/>
              <w:spacing w:after="0" w:line="134" w:lineRule="exact"/>
              <w:rPr>
                <w:sz w:val="20"/>
                <w:szCs w:val="20"/>
                <w:color w:val="auto"/>
              </w:rPr>
            </w:pPr>
            <w:r>
              <w:rPr>
                <w:rFonts w:ascii="Arial" w:cs="Arial" w:eastAsia="Arial" w:hAnsi="Arial"/>
                <w:sz w:val="12"/>
                <w:szCs w:val="12"/>
                <w:b w:val="1"/>
                <w:bCs w:val="1"/>
                <w:color w:val="5D89B4"/>
              </w:rPr>
              <w:t>TO DEFINED</w:t>
            </w:r>
          </w:p>
        </w:tc>
        <w:tc>
          <w:tcPr>
            <w:tcW w:w="1360" w:type="dxa"/>
            <w:vAlign w:val="bottom"/>
            <w:shd w:val="clear" w:color="auto" w:fill="EAEAEA"/>
          </w:tcPr>
          <w:p>
            <w:pPr>
              <w:spacing w:after="0"/>
              <w:rPr>
                <w:sz w:val="11"/>
                <w:szCs w:val="11"/>
                <w:color w:val="auto"/>
              </w:rPr>
            </w:pPr>
          </w:p>
        </w:tc>
      </w:tr>
      <w:tr>
        <w:trPr>
          <w:trHeight w:val="134"/>
        </w:trPr>
        <w:tc>
          <w:tcPr>
            <w:tcW w:w="2380" w:type="dxa"/>
            <w:vAlign w:val="bottom"/>
            <w:shd w:val="clear" w:color="auto" w:fill="EAEAEA"/>
          </w:tcPr>
          <w:p>
            <w:pPr>
              <w:spacing w:after="0"/>
              <w:rPr>
                <w:sz w:val="11"/>
                <w:szCs w:val="11"/>
                <w:color w:val="auto"/>
              </w:rPr>
            </w:pPr>
          </w:p>
        </w:tc>
        <w:tc>
          <w:tcPr>
            <w:tcW w:w="2220" w:type="dxa"/>
            <w:vAlign w:val="bottom"/>
            <w:shd w:val="clear" w:color="auto" w:fill="EAEAEA"/>
          </w:tcPr>
          <w:p>
            <w:pPr>
              <w:jc w:val="right"/>
              <w:ind w:right="251"/>
              <w:spacing w:after="0" w:line="134" w:lineRule="exact"/>
              <w:rPr>
                <w:sz w:val="20"/>
                <w:szCs w:val="20"/>
                <w:color w:val="auto"/>
              </w:rPr>
            </w:pPr>
            <w:r>
              <w:rPr>
                <w:rFonts w:ascii="Arial" w:cs="Arial" w:eastAsia="Arial" w:hAnsi="Arial"/>
                <w:sz w:val="12"/>
                <w:szCs w:val="12"/>
                <w:b w:val="1"/>
                <w:bCs w:val="1"/>
                <w:color w:val="5D89B4"/>
              </w:rPr>
              <w:t>OTHER</w:t>
            </w:r>
          </w:p>
        </w:tc>
        <w:tc>
          <w:tcPr>
            <w:tcW w:w="1780" w:type="dxa"/>
            <w:vAlign w:val="bottom"/>
            <w:shd w:val="clear" w:color="auto" w:fill="EAEAEA"/>
          </w:tcPr>
          <w:p>
            <w:pPr>
              <w:jc w:val="right"/>
              <w:ind w:right="230"/>
              <w:spacing w:after="0" w:line="134" w:lineRule="exact"/>
              <w:rPr>
                <w:sz w:val="20"/>
                <w:szCs w:val="20"/>
                <w:color w:val="auto"/>
              </w:rPr>
            </w:pPr>
            <w:r>
              <w:rPr>
                <w:rFonts w:ascii="Arial" w:cs="Arial" w:eastAsia="Arial" w:hAnsi="Arial"/>
                <w:sz w:val="12"/>
                <w:szCs w:val="12"/>
                <w:b w:val="1"/>
                <w:bCs w:val="1"/>
                <w:color w:val="5D89B4"/>
              </w:rPr>
              <w:t>TAX</w:t>
            </w:r>
          </w:p>
        </w:tc>
        <w:tc>
          <w:tcPr>
            <w:tcW w:w="15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TERMINATION</w:t>
            </w:r>
          </w:p>
        </w:tc>
        <w:tc>
          <w:tcPr>
            <w:tcW w:w="1660" w:type="dxa"/>
            <w:vAlign w:val="bottom"/>
            <w:shd w:val="clear" w:color="auto" w:fill="EAEAEA"/>
          </w:tcPr>
          <w:p>
            <w:pPr>
              <w:jc w:val="right"/>
              <w:ind w:right="252"/>
              <w:spacing w:after="0" w:line="134" w:lineRule="exact"/>
              <w:rPr>
                <w:sz w:val="20"/>
                <w:szCs w:val="20"/>
                <w:color w:val="auto"/>
              </w:rPr>
            </w:pPr>
            <w:r>
              <w:rPr>
                <w:rFonts w:ascii="Arial" w:cs="Arial" w:eastAsia="Arial" w:hAnsi="Arial"/>
                <w:sz w:val="12"/>
                <w:szCs w:val="12"/>
                <w:b w:val="1"/>
                <w:bCs w:val="1"/>
                <w:color w:val="5D89B4"/>
              </w:rPr>
              <w:t>CONTRIBUTION</w:t>
            </w:r>
          </w:p>
        </w:tc>
        <w:tc>
          <w:tcPr>
            <w:tcW w:w="136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TOTAL OTHER</w:t>
            </w:r>
          </w:p>
        </w:tc>
      </w:tr>
      <w:tr>
        <w:trPr>
          <w:trHeight w:val="134"/>
        </w:trPr>
        <w:tc>
          <w:tcPr>
            <w:tcW w:w="2380" w:type="dxa"/>
            <w:vAlign w:val="bottom"/>
            <w:shd w:val="clear" w:color="auto" w:fill="EAEAEA"/>
          </w:tcPr>
          <w:p>
            <w:pPr>
              <w:spacing w:after="0"/>
              <w:rPr>
                <w:sz w:val="11"/>
                <w:szCs w:val="11"/>
                <w:color w:val="auto"/>
              </w:rPr>
            </w:pPr>
          </w:p>
        </w:tc>
        <w:tc>
          <w:tcPr>
            <w:tcW w:w="2220" w:type="dxa"/>
            <w:vAlign w:val="bottom"/>
            <w:shd w:val="clear" w:color="auto" w:fill="EAEAEA"/>
          </w:tcPr>
          <w:p>
            <w:pPr>
              <w:jc w:val="right"/>
              <w:ind w:right="251"/>
              <w:spacing w:after="0" w:line="134" w:lineRule="exact"/>
              <w:rPr>
                <w:sz w:val="20"/>
                <w:szCs w:val="20"/>
                <w:color w:val="auto"/>
              </w:rPr>
            </w:pPr>
            <w:r>
              <w:rPr>
                <w:rFonts w:ascii="Arial" w:cs="Arial" w:eastAsia="Arial" w:hAnsi="Arial"/>
                <w:sz w:val="12"/>
                <w:szCs w:val="12"/>
                <w:b w:val="1"/>
                <w:bCs w:val="1"/>
                <w:color w:val="5D89B4"/>
              </w:rPr>
              <w:t>PERSONAL BENEFITS</w:t>
            </w:r>
          </w:p>
        </w:tc>
        <w:tc>
          <w:tcPr>
            <w:tcW w:w="1780" w:type="dxa"/>
            <w:vAlign w:val="bottom"/>
            <w:shd w:val="clear" w:color="auto" w:fill="EAEAEA"/>
          </w:tcPr>
          <w:p>
            <w:pPr>
              <w:jc w:val="right"/>
              <w:ind w:right="230"/>
              <w:spacing w:after="0" w:line="134" w:lineRule="exact"/>
              <w:rPr>
                <w:sz w:val="20"/>
                <w:szCs w:val="20"/>
                <w:color w:val="auto"/>
              </w:rPr>
            </w:pPr>
            <w:r>
              <w:rPr>
                <w:rFonts w:ascii="Arial" w:cs="Arial" w:eastAsia="Arial" w:hAnsi="Arial"/>
                <w:sz w:val="12"/>
                <w:szCs w:val="12"/>
                <w:b w:val="1"/>
                <w:bCs w:val="1"/>
                <w:color w:val="5D89B4"/>
              </w:rPr>
              <w:t>REIMBURSEMENTS</w:t>
            </w:r>
          </w:p>
        </w:tc>
        <w:tc>
          <w:tcPr>
            <w:tcW w:w="15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PLANS</w:t>
            </w:r>
          </w:p>
        </w:tc>
        <w:tc>
          <w:tcPr>
            <w:tcW w:w="1660" w:type="dxa"/>
            <w:vAlign w:val="bottom"/>
            <w:shd w:val="clear" w:color="auto" w:fill="EAEAEA"/>
          </w:tcPr>
          <w:p>
            <w:pPr>
              <w:jc w:val="right"/>
              <w:ind w:right="252"/>
              <w:spacing w:after="0" w:line="134" w:lineRule="exact"/>
              <w:rPr>
                <w:sz w:val="20"/>
                <w:szCs w:val="20"/>
                <w:color w:val="auto"/>
              </w:rPr>
            </w:pPr>
            <w:r>
              <w:rPr>
                <w:rFonts w:ascii="Arial" w:cs="Arial" w:eastAsia="Arial" w:hAnsi="Arial"/>
                <w:sz w:val="12"/>
                <w:szCs w:val="12"/>
                <w:b w:val="1"/>
                <w:bCs w:val="1"/>
                <w:color w:val="5D89B4"/>
              </w:rPr>
              <w:t>PLANS</w:t>
            </w:r>
          </w:p>
        </w:tc>
        <w:tc>
          <w:tcPr>
            <w:tcW w:w="136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COMPENSATION</w:t>
            </w:r>
          </w:p>
        </w:tc>
      </w:tr>
      <w:tr>
        <w:trPr>
          <w:trHeight w:val="214"/>
        </w:trPr>
        <w:tc>
          <w:tcPr>
            <w:tcW w:w="23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NAME</w:t>
            </w:r>
          </w:p>
        </w:tc>
        <w:tc>
          <w:tcPr>
            <w:tcW w:w="2220" w:type="dxa"/>
            <w:vAlign w:val="bottom"/>
            <w:tcBorders>
              <w:bottom w:val="single" w:sz="8" w:color="EAEAEA"/>
            </w:tcBorders>
            <w:shd w:val="clear" w:color="auto" w:fill="EAEAEA"/>
          </w:tcPr>
          <w:p>
            <w:pPr>
              <w:jc w:val="right"/>
              <w:ind w:right="251"/>
              <w:spacing w:after="0"/>
              <w:rPr>
                <w:sz w:val="20"/>
                <w:szCs w:val="20"/>
                <w:color w:val="auto"/>
              </w:rPr>
            </w:pPr>
            <w:r>
              <w:rPr>
                <w:rFonts w:ascii="Arial" w:cs="Arial" w:eastAsia="Arial" w:hAnsi="Arial"/>
                <w:sz w:val="12"/>
                <w:szCs w:val="12"/>
                <w:b w:val="1"/>
                <w:bCs w:val="1"/>
                <w:color w:val="5D89B4"/>
              </w:rPr>
              <w:t>($)(A)</w:t>
            </w:r>
          </w:p>
        </w:tc>
        <w:tc>
          <w:tcPr>
            <w:tcW w:w="1780" w:type="dxa"/>
            <w:vAlign w:val="bottom"/>
            <w:tcBorders>
              <w:bottom w:val="single" w:sz="8" w:color="EAEAEA"/>
            </w:tcBorders>
            <w:shd w:val="clear" w:color="auto" w:fill="EAEAEA"/>
          </w:tcPr>
          <w:p>
            <w:pPr>
              <w:jc w:val="right"/>
              <w:ind w:right="230"/>
              <w:spacing w:after="0"/>
              <w:rPr>
                <w:sz w:val="20"/>
                <w:szCs w:val="20"/>
                <w:color w:val="auto"/>
              </w:rPr>
            </w:pPr>
            <w:r>
              <w:rPr>
                <w:rFonts w:ascii="Arial" w:cs="Arial" w:eastAsia="Arial" w:hAnsi="Arial"/>
                <w:sz w:val="12"/>
                <w:szCs w:val="12"/>
                <w:b w:val="1"/>
                <w:bCs w:val="1"/>
                <w:color w:val="5D89B4"/>
              </w:rPr>
              <w:t>($)</w:t>
            </w:r>
          </w:p>
        </w:tc>
        <w:tc>
          <w:tcPr>
            <w:tcW w:w="1520" w:type="dxa"/>
            <w:vAlign w:val="bottom"/>
            <w:tcBorders>
              <w:bottom w:val="single" w:sz="8" w:color="EAEAEA"/>
            </w:tcBorders>
            <w:shd w:val="clear" w:color="auto" w:fill="EAEAEA"/>
          </w:tcPr>
          <w:p>
            <w:pPr>
              <w:jc w:val="right"/>
              <w:ind w:right="232"/>
              <w:spacing w:after="0"/>
              <w:rPr>
                <w:sz w:val="20"/>
                <w:szCs w:val="20"/>
                <w:color w:val="auto"/>
              </w:rPr>
            </w:pPr>
            <w:r>
              <w:rPr>
                <w:rFonts w:ascii="Arial" w:cs="Arial" w:eastAsia="Arial" w:hAnsi="Arial"/>
                <w:sz w:val="12"/>
                <w:szCs w:val="12"/>
                <w:b w:val="1"/>
                <w:bCs w:val="1"/>
                <w:color w:val="5D89B4"/>
              </w:rPr>
              <w:t>($)</w:t>
            </w:r>
          </w:p>
        </w:tc>
        <w:tc>
          <w:tcPr>
            <w:tcW w:w="1660" w:type="dxa"/>
            <w:vAlign w:val="bottom"/>
            <w:tcBorders>
              <w:bottom w:val="single" w:sz="8" w:color="EAEAEA"/>
            </w:tcBorders>
            <w:shd w:val="clear" w:color="auto" w:fill="EAEAEA"/>
          </w:tcPr>
          <w:p>
            <w:pPr>
              <w:jc w:val="right"/>
              <w:ind w:right="252"/>
              <w:spacing w:after="0"/>
              <w:rPr>
                <w:sz w:val="20"/>
                <w:szCs w:val="20"/>
                <w:color w:val="auto"/>
              </w:rPr>
            </w:pPr>
            <w:r>
              <w:rPr>
                <w:rFonts w:ascii="Arial" w:cs="Arial" w:eastAsia="Arial" w:hAnsi="Arial"/>
                <w:sz w:val="12"/>
                <w:szCs w:val="12"/>
                <w:b w:val="1"/>
                <w:bCs w:val="1"/>
                <w:color w:val="5D89B4"/>
              </w:rPr>
              <w:t>($)(B)</w:t>
            </w:r>
          </w:p>
        </w:tc>
        <w:tc>
          <w:tcPr>
            <w:tcW w:w="13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r>
      <w:tr>
        <w:trPr>
          <w:trHeight w:val="245"/>
        </w:trPr>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2220" w:type="dxa"/>
            <w:vAlign w:val="bottom"/>
          </w:tcPr>
          <w:p>
            <w:pPr>
              <w:jc w:val="right"/>
              <w:ind w:right="251"/>
              <w:spacing w:after="0"/>
              <w:rPr>
                <w:sz w:val="20"/>
                <w:szCs w:val="20"/>
                <w:color w:val="auto"/>
              </w:rPr>
            </w:pPr>
            <w:r>
              <w:rPr>
                <w:rFonts w:ascii="Arial" w:cs="Arial" w:eastAsia="Arial" w:hAnsi="Arial"/>
                <w:sz w:val="15"/>
                <w:szCs w:val="15"/>
                <w:color w:val="auto"/>
              </w:rPr>
              <w:t>12,790</w:t>
            </w:r>
          </w:p>
        </w:tc>
        <w:tc>
          <w:tcPr>
            <w:tcW w:w="1780" w:type="dxa"/>
            <w:vAlign w:val="bottom"/>
          </w:tcPr>
          <w:p>
            <w:pPr>
              <w:jc w:val="right"/>
              <w:ind w:right="230"/>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32"/>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252"/>
              <w:spacing w:after="0"/>
              <w:rPr>
                <w:sz w:val="20"/>
                <w:szCs w:val="20"/>
                <w:color w:val="auto"/>
              </w:rPr>
            </w:pPr>
            <w:r>
              <w:rPr>
                <w:rFonts w:ascii="Arial" w:cs="Arial" w:eastAsia="Arial" w:hAnsi="Arial"/>
                <w:sz w:val="15"/>
                <w:szCs w:val="15"/>
                <w:color w:val="auto"/>
              </w:rPr>
              <w:t>50,000</w:t>
            </w:r>
          </w:p>
        </w:tc>
        <w:tc>
          <w:tcPr>
            <w:tcW w:w="1360" w:type="dxa"/>
            <w:vAlign w:val="bottom"/>
          </w:tcPr>
          <w:p>
            <w:pPr>
              <w:jc w:val="right"/>
              <w:spacing w:after="0"/>
              <w:rPr>
                <w:sz w:val="20"/>
                <w:szCs w:val="20"/>
                <w:color w:val="auto"/>
              </w:rPr>
            </w:pPr>
            <w:r>
              <w:rPr>
                <w:rFonts w:ascii="Arial" w:cs="Arial" w:eastAsia="Arial" w:hAnsi="Arial"/>
                <w:sz w:val="15"/>
                <w:szCs w:val="15"/>
                <w:color w:val="auto"/>
              </w:rPr>
              <w:t>62,790</w:t>
            </w:r>
          </w:p>
        </w:tc>
      </w:tr>
      <w:tr>
        <w:trPr>
          <w:trHeight w:val="50"/>
        </w:trPr>
        <w:tc>
          <w:tcPr>
            <w:tcW w:w="2380" w:type="dxa"/>
            <w:vAlign w:val="bottom"/>
            <w:tcBorders>
              <w:bottom w:val="single" w:sz="8" w:color="5D89B4"/>
            </w:tcBorders>
          </w:tcPr>
          <w:p>
            <w:pPr>
              <w:spacing w:after="0"/>
              <w:rPr>
                <w:sz w:val="4"/>
                <w:szCs w:val="4"/>
                <w:color w:val="auto"/>
              </w:rPr>
            </w:pPr>
          </w:p>
        </w:tc>
        <w:tc>
          <w:tcPr>
            <w:tcW w:w="222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r>
      <w:tr>
        <w:trPr>
          <w:trHeight w:val="225"/>
        </w:trPr>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2220" w:type="dxa"/>
            <w:vAlign w:val="bottom"/>
          </w:tcPr>
          <w:p>
            <w:pPr>
              <w:jc w:val="right"/>
              <w:ind w:right="251"/>
              <w:spacing w:after="0"/>
              <w:rPr>
                <w:sz w:val="20"/>
                <w:szCs w:val="20"/>
                <w:color w:val="auto"/>
              </w:rPr>
            </w:pPr>
            <w:r>
              <w:rPr>
                <w:rFonts w:ascii="Arial" w:cs="Arial" w:eastAsia="Arial" w:hAnsi="Arial"/>
                <w:sz w:val="15"/>
                <w:szCs w:val="15"/>
                <w:color w:val="auto"/>
              </w:rPr>
              <w:t>30,905</w:t>
            </w:r>
          </w:p>
        </w:tc>
        <w:tc>
          <w:tcPr>
            <w:tcW w:w="1780" w:type="dxa"/>
            <w:vAlign w:val="bottom"/>
          </w:tcPr>
          <w:p>
            <w:pPr>
              <w:jc w:val="right"/>
              <w:ind w:right="230"/>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32"/>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252"/>
              <w:spacing w:after="0"/>
              <w:rPr>
                <w:sz w:val="20"/>
                <w:szCs w:val="20"/>
                <w:color w:val="auto"/>
              </w:rPr>
            </w:pPr>
            <w:r>
              <w:rPr>
                <w:rFonts w:ascii="Arial" w:cs="Arial" w:eastAsia="Arial" w:hAnsi="Arial"/>
                <w:sz w:val="15"/>
                <w:szCs w:val="15"/>
                <w:color w:val="auto"/>
              </w:rPr>
              <w:t>50,000</w:t>
            </w:r>
          </w:p>
        </w:tc>
        <w:tc>
          <w:tcPr>
            <w:tcW w:w="1360" w:type="dxa"/>
            <w:vAlign w:val="bottom"/>
          </w:tcPr>
          <w:p>
            <w:pPr>
              <w:jc w:val="right"/>
              <w:spacing w:after="0"/>
              <w:rPr>
                <w:sz w:val="20"/>
                <w:szCs w:val="20"/>
                <w:color w:val="auto"/>
              </w:rPr>
            </w:pPr>
            <w:r>
              <w:rPr>
                <w:rFonts w:ascii="Arial" w:cs="Arial" w:eastAsia="Arial" w:hAnsi="Arial"/>
                <w:sz w:val="15"/>
                <w:szCs w:val="15"/>
                <w:color w:val="auto"/>
              </w:rPr>
              <w:t>80,905</w:t>
            </w:r>
          </w:p>
        </w:tc>
      </w:tr>
      <w:tr>
        <w:trPr>
          <w:trHeight w:val="50"/>
        </w:trPr>
        <w:tc>
          <w:tcPr>
            <w:tcW w:w="2380" w:type="dxa"/>
            <w:vAlign w:val="bottom"/>
            <w:tcBorders>
              <w:bottom w:val="single" w:sz="8" w:color="5D89B4"/>
            </w:tcBorders>
          </w:tcPr>
          <w:p>
            <w:pPr>
              <w:spacing w:after="0"/>
              <w:rPr>
                <w:sz w:val="4"/>
                <w:szCs w:val="4"/>
                <w:color w:val="auto"/>
              </w:rPr>
            </w:pPr>
          </w:p>
        </w:tc>
        <w:tc>
          <w:tcPr>
            <w:tcW w:w="222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r>
      <w:tr>
        <w:trPr>
          <w:trHeight w:val="225"/>
        </w:trPr>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2220" w:type="dxa"/>
            <w:vAlign w:val="bottom"/>
          </w:tcPr>
          <w:p>
            <w:pPr>
              <w:jc w:val="right"/>
              <w:ind w:right="251"/>
              <w:spacing w:after="0"/>
              <w:rPr>
                <w:sz w:val="20"/>
                <w:szCs w:val="20"/>
                <w:color w:val="auto"/>
              </w:rPr>
            </w:pPr>
            <w:r>
              <w:rPr>
                <w:rFonts w:ascii="Arial" w:cs="Arial" w:eastAsia="Arial" w:hAnsi="Arial"/>
                <w:sz w:val="15"/>
                <w:szCs w:val="15"/>
                <w:color w:val="auto"/>
              </w:rPr>
              <w:t>31,088</w:t>
            </w:r>
          </w:p>
        </w:tc>
        <w:tc>
          <w:tcPr>
            <w:tcW w:w="1780" w:type="dxa"/>
            <w:vAlign w:val="bottom"/>
          </w:tcPr>
          <w:p>
            <w:pPr>
              <w:jc w:val="right"/>
              <w:ind w:right="230"/>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32"/>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252"/>
              <w:spacing w:after="0"/>
              <w:rPr>
                <w:sz w:val="20"/>
                <w:szCs w:val="20"/>
                <w:color w:val="auto"/>
              </w:rPr>
            </w:pPr>
            <w:r>
              <w:rPr>
                <w:rFonts w:ascii="Arial" w:cs="Arial" w:eastAsia="Arial" w:hAnsi="Arial"/>
                <w:sz w:val="15"/>
                <w:szCs w:val="15"/>
                <w:color w:val="auto"/>
              </w:rPr>
              <w:t>15,339</w:t>
            </w:r>
          </w:p>
        </w:tc>
        <w:tc>
          <w:tcPr>
            <w:tcW w:w="1360" w:type="dxa"/>
            <w:vAlign w:val="bottom"/>
          </w:tcPr>
          <w:p>
            <w:pPr>
              <w:jc w:val="right"/>
              <w:spacing w:after="0"/>
              <w:rPr>
                <w:sz w:val="20"/>
                <w:szCs w:val="20"/>
                <w:color w:val="auto"/>
              </w:rPr>
            </w:pPr>
            <w:r>
              <w:rPr>
                <w:rFonts w:ascii="Arial" w:cs="Arial" w:eastAsia="Arial" w:hAnsi="Arial"/>
                <w:sz w:val="15"/>
                <w:szCs w:val="15"/>
                <w:color w:val="auto"/>
              </w:rPr>
              <w:t>46,427</w:t>
            </w:r>
          </w:p>
        </w:tc>
      </w:tr>
      <w:tr>
        <w:trPr>
          <w:trHeight w:val="50"/>
        </w:trPr>
        <w:tc>
          <w:tcPr>
            <w:tcW w:w="2380" w:type="dxa"/>
            <w:vAlign w:val="bottom"/>
            <w:tcBorders>
              <w:bottom w:val="single" w:sz="8" w:color="5D89B4"/>
            </w:tcBorders>
          </w:tcPr>
          <w:p>
            <w:pPr>
              <w:spacing w:after="0"/>
              <w:rPr>
                <w:sz w:val="4"/>
                <w:szCs w:val="4"/>
                <w:color w:val="auto"/>
              </w:rPr>
            </w:pPr>
          </w:p>
        </w:tc>
        <w:tc>
          <w:tcPr>
            <w:tcW w:w="222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r>
      <w:tr>
        <w:trPr>
          <w:trHeight w:val="225"/>
        </w:trPr>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2220" w:type="dxa"/>
            <w:vAlign w:val="bottom"/>
          </w:tcPr>
          <w:p>
            <w:pPr>
              <w:jc w:val="right"/>
              <w:ind w:right="251"/>
              <w:spacing w:after="0"/>
              <w:rPr>
                <w:sz w:val="20"/>
                <w:szCs w:val="20"/>
                <w:color w:val="auto"/>
              </w:rPr>
            </w:pPr>
            <w:r>
              <w:rPr>
                <w:rFonts w:ascii="Arial" w:cs="Arial" w:eastAsia="Arial" w:hAnsi="Arial"/>
                <w:sz w:val="15"/>
                <w:szCs w:val="15"/>
                <w:color w:val="auto"/>
              </w:rPr>
              <w:t>28,666</w:t>
            </w:r>
          </w:p>
        </w:tc>
        <w:tc>
          <w:tcPr>
            <w:tcW w:w="1780" w:type="dxa"/>
            <w:vAlign w:val="bottom"/>
          </w:tcPr>
          <w:p>
            <w:pPr>
              <w:jc w:val="right"/>
              <w:ind w:right="230"/>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32"/>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252"/>
              <w:spacing w:after="0"/>
              <w:rPr>
                <w:sz w:val="20"/>
                <w:szCs w:val="20"/>
                <w:color w:val="auto"/>
              </w:rPr>
            </w:pPr>
            <w:r>
              <w:rPr>
                <w:rFonts w:ascii="Arial" w:cs="Arial" w:eastAsia="Arial" w:hAnsi="Arial"/>
                <w:sz w:val="15"/>
                <w:szCs w:val="15"/>
                <w:color w:val="auto"/>
              </w:rPr>
              <w:t>45,552</w:t>
            </w:r>
          </w:p>
        </w:tc>
        <w:tc>
          <w:tcPr>
            <w:tcW w:w="1360" w:type="dxa"/>
            <w:vAlign w:val="bottom"/>
          </w:tcPr>
          <w:p>
            <w:pPr>
              <w:jc w:val="right"/>
              <w:spacing w:after="0"/>
              <w:rPr>
                <w:sz w:val="20"/>
                <w:szCs w:val="20"/>
                <w:color w:val="auto"/>
              </w:rPr>
            </w:pPr>
            <w:r>
              <w:rPr>
                <w:rFonts w:ascii="Arial" w:cs="Arial" w:eastAsia="Arial" w:hAnsi="Arial"/>
                <w:sz w:val="15"/>
                <w:szCs w:val="15"/>
                <w:color w:val="auto"/>
              </w:rPr>
              <w:t>74,218</w:t>
            </w:r>
          </w:p>
        </w:tc>
      </w:tr>
      <w:tr>
        <w:trPr>
          <w:trHeight w:val="50"/>
        </w:trPr>
        <w:tc>
          <w:tcPr>
            <w:tcW w:w="2380" w:type="dxa"/>
            <w:vAlign w:val="bottom"/>
            <w:tcBorders>
              <w:bottom w:val="single" w:sz="8" w:color="5D89B4"/>
            </w:tcBorders>
          </w:tcPr>
          <w:p>
            <w:pPr>
              <w:spacing w:after="0"/>
              <w:rPr>
                <w:sz w:val="4"/>
                <w:szCs w:val="4"/>
                <w:color w:val="auto"/>
              </w:rPr>
            </w:pPr>
          </w:p>
        </w:tc>
        <w:tc>
          <w:tcPr>
            <w:tcW w:w="222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jc w:val="both"/>
        <w:ind w:left="440" w:right="520" w:hanging="433"/>
        <w:spacing w:after="0" w:line="246" w:lineRule="auto"/>
        <w:tabs>
          <w:tab w:leader="none" w:pos="4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Except as otherwise indicated, these amounts include the value attributable to each executive’s participation in ManpowerGroup’s company car program, auto insurance, the cost of an annual physical, life insurance premiums paid and/or the value of financial services paid for by ManpowerGroup. None of these items individually had a value greater than $25,000.</w:t>
      </w:r>
    </w:p>
    <w:p>
      <w:pPr>
        <w:spacing w:after="0" w:line="106" w:lineRule="exact"/>
        <w:rPr>
          <w:rFonts w:ascii="Arial" w:cs="Arial" w:eastAsia="Arial" w:hAnsi="Arial"/>
          <w:sz w:val="14"/>
          <w:szCs w:val="14"/>
          <w:color w:val="auto"/>
        </w:rPr>
      </w:pPr>
    </w:p>
    <w:p>
      <w:pPr>
        <w:ind w:left="440" w:right="200" w:hanging="433"/>
        <w:spacing w:after="0" w:line="254" w:lineRule="auto"/>
        <w:tabs>
          <w:tab w:leader="none" w:pos="4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These contributions were made by ManpowerGroup on behalf of the executive officers under the terms of the Nonqualified Savings Plan and the Company’s 401(k) Plan to the extent the NEO has made a “catch-up contribution during the year.”</w:t>
      </w:r>
    </w:p>
    <w:p>
      <w:pPr>
        <w:spacing w:after="0" w:line="268" w:lineRule="exact"/>
        <w:rPr>
          <w:sz w:val="20"/>
          <w:szCs w:val="20"/>
          <w:color w:val="auto"/>
        </w:rPr>
      </w:pPr>
    </w:p>
    <w:p>
      <w:pPr>
        <w:ind w:right="440"/>
        <w:spacing w:after="0" w:line="281" w:lineRule="auto"/>
        <w:rPr>
          <w:sz w:val="20"/>
          <w:szCs w:val="20"/>
          <w:color w:val="auto"/>
        </w:rPr>
      </w:pPr>
      <w:r>
        <w:rPr>
          <w:rFonts w:ascii="Arial" w:cs="Arial" w:eastAsia="Arial" w:hAnsi="Arial"/>
          <w:sz w:val="25"/>
          <w:szCs w:val="25"/>
          <w:b w:val="1"/>
          <w:bCs w:val="1"/>
          <w:color w:val="5D89B4"/>
        </w:rPr>
        <w:t>Supplemental Summary Compensation Table (Year Ended December 31, 2021, excluding One-Time 2021 Special Grant of PSUs)</w:t>
      </w:r>
    </w:p>
    <w:p>
      <w:pPr>
        <w:spacing w:after="0" w:line="154" w:lineRule="exact"/>
        <w:rPr>
          <w:sz w:val="20"/>
          <w:szCs w:val="20"/>
          <w:color w:val="auto"/>
        </w:rPr>
      </w:pPr>
    </w:p>
    <w:p>
      <w:pPr>
        <w:ind w:right="300"/>
        <w:spacing w:after="0" w:line="232" w:lineRule="auto"/>
        <w:rPr>
          <w:sz w:val="20"/>
          <w:szCs w:val="20"/>
          <w:color w:val="auto"/>
        </w:rPr>
      </w:pPr>
      <w:r>
        <w:rPr>
          <w:rFonts w:ascii="Arial" w:cs="Arial" w:eastAsia="Arial" w:hAnsi="Arial"/>
          <w:sz w:val="15"/>
          <w:szCs w:val="15"/>
          <w:color w:val="auto"/>
        </w:rPr>
        <w:t>The supplemental table below sets forth compensation information for our NEOs during the fiscal year ended December 31, 2021 excluding the one-time 2021 Special Grant. We believe that this information is useful as it provides a more comparable view of total compensation for each of the NEOs compared to prior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40" w:type="dxa"/>
            <w:vAlign w:val="bottom"/>
            <w:shd w:val="clear" w:color="auto" w:fill="EAEAEA"/>
          </w:tcPr>
          <w:p>
            <w:pPr>
              <w:spacing w:after="0"/>
              <w:rPr>
                <w:sz w:val="15"/>
                <w:szCs w:val="15"/>
                <w:color w:val="auto"/>
              </w:rPr>
            </w:pPr>
          </w:p>
        </w:tc>
        <w:tc>
          <w:tcPr>
            <w:tcW w:w="620" w:type="dxa"/>
            <w:vAlign w:val="bottom"/>
            <w:shd w:val="clear" w:color="auto" w:fill="EAEAEA"/>
          </w:tcPr>
          <w:p>
            <w:pPr>
              <w:spacing w:after="0"/>
              <w:rPr>
                <w:sz w:val="15"/>
                <w:szCs w:val="15"/>
                <w:color w:val="auto"/>
              </w:rPr>
            </w:pPr>
          </w:p>
        </w:tc>
        <w:tc>
          <w:tcPr>
            <w:tcW w:w="840" w:type="dxa"/>
            <w:vAlign w:val="bottom"/>
            <w:shd w:val="clear" w:color="auto" w:fill="EAEAEA"/>
          </w:tcPr>
          <w:p>
            <w:pPr>
              <w:spacing w:after="0"/>
              <w:rPr>
                <w:sz w:val="15"/>
                <w:szCs w:val="15"/>
                <w:color w:val="auto"/>
              </w:rPr>
            </w:pPr>
          </w:p>
        </w:tc>
        <w:tc>
          <w:tcPr>
            <w:tcW w:w="68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840" w:type="dxa"/>
            <w:vAlign w:val="bottom"/>
            <w:shd w:val="clear" w:color="auto" w:fill="EAEAEA"/>
          </w:tcPr>
          <w:p>
            <w:pPr>
              <w:spacing w:after="0"/>
              <w:rPr>
                <w:sz w:val="15"/>
                <w:szCs w:val="15"/>
                <w:color w:val="auto"/>
              </w:rPr>
            </w:pPr>
          </w:p>
        </w:tc>
        <w:tc>
          <w:tcPr>
            <w:tcW w:w="1240" w:type="dxa"/>
            <w:vAlign w:val="bottom"/>
            <w:shd w:val="clear" w:color="auto" w:fill="EAEAEA"/>
          </w:tcPr>
          <w:p>
            <w:pPr>
              <w:spacing w:after="0"/>
              <w:rPr>
                <w:sz w:val="15"/>
                <w:szCs w:val="15"/>
                <w:color w:val="auto"/>
              </w:rPr>
            </w:pPr>
          </w:p>
        </w:tc>
        <w:tc>
          <w:tcPr>
            <w:tcW w:w="1200" w:type="dxa"/>
            <w:vAlign w:val="bottom"/>
            <w:shd w:val="clear" w:color="auto" w:fill="EAEAEA"/>
          </w:tcPr>
          <w:p>
            <w:pPr>
              <w:jc w:val="right"/>
              <w:ind w:right="35"/>
              <w:spacing w:after="0"/>
              <w:rPr>
                <w:sz w:val="20"/>
                <w:szCs w:val="20"/>
                <w:color w:val="auto"/>
              </w:rPr>
            </w:pPr>
            <w:r>
              <w:rPr>
                <w:rFonts w:ascii="Arial" w:cs="Arial" w:eastAsia="Arial" w:hAnsi="Arial"/>
                <w:sz w:val="12"/>
                <w:szCs w:val="12"/>
                <w:b w:val="1"/>
                <w:bCs w:val="1"/>
                <w:color w:val="5D89B4"/>
              </w:rPr>
              <w:t>CHANGE IN</w:t>
            </w:r>
          </w:p>
        </w:tc>
        <w:tc>
          <w:tcPr>
            <w:tcW w:w="1220" w:type="dxa"/>
            <w:vAlign w:val="bottom"/>
            <w:shd w:val="clear" w:color="auto" w:fill="EAEAEA"/>
          </w:tcPr>
          <w:p>
            <w:pPr>
              <w:spacing w:after="0"/>
              <w:rPr>
                <w:sz w:val="15"/>
                <w:szCs w:val="15"/>
                <w:color w:val="auto"/>
              </w:rPr>
            </w:pPr>
          </w:p>
        </w:tc>
        <w:tc>
          <w:tcPr>
            <w:tcW w:w="880" w:type="dxa"/>
            <w:vAlign w:val="bottom"/>
            <w:shd w:val="clear" w:color="auto" w:fill="EAEAEA"/>
          </w:tcPr>
          <w:p>
            <w:pPr>
              <w:spacing w:after="0"/>
              <w:rPr>
                <w:sz w:val="15"/>
                <w:szCs w:val="15"/>
                <w:color w:val="auto"/>
              </w:rPr>
            </w:pPr>
          </w:p>
        </w:tc>
      </w:tr>
      <w:tr>
        <w:trPr>
          <w:trHeight w:val="134"/>
        </w:trPr>
        <w:tc>
          <w:tcPr>
            <w:tcW w:w="254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1240" w:type="dxa"/>
            <w:vAlign w:val="bottom"/>
            <w:shd w:val="clear" w:color="auto" w:fill="EAEAEA"/>
          </w:tcPr>
          <w:p>
            <w:pPr>
              <w:spacing w:after="0"/>
              <w:rPr>
                <w:sz w:val="11"/>
                <w:szCs w:val="11"/>
                <w:color w:val="auto"/>
              </w:rPr>
            </w:pPr>
          </w:p>
        </w:tc>
        <w:tc>
          <w:tcPr>
            <w:tcW w:w="1200" w:type="dxa"/>
            <w:vAlign w:val="bottom"/>
            <w:shd w:val="clear" w:color="auto" w:fill="EAEAEA"/>
          </w:tcPr>
          <w:p>
            <w:pPr>
              <w:jc w:val="right"/>
              <w:ind w:right="35"/>
              <w:spacing w:after="0" w:line="134" w:lineRule="exact"/>
              <w:rPr>
                <w:sz w:val="20"/>
                <w:szCs w:val="20"/>
                <w:color w:val="auto"/>
              </w:rPr>
            </w:pPr>
            <w:r>
              <w:rPr>
                <w:rFonts w:ascii="Arial" w:cs="Arial" w:eastAsia="Arial" w:hAnsi="Arial"/>
                <w:sz w:val="12"/>
                <w:szCs w:val="12"/>
                <w:b w:val="1"/>
                <w:bCs w:val="1"/>
                <w:color w:val="5D89B4"/>
              </w:rPr>
              <w:t>PENSION VALUE</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r>
      <w:tr>
        <w:trPr>
          <w:trHeight w:val="134"/>
        </w:trPr>
        <w:tc>
          <w:tcPr>
            <w:tcW w:w="254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1240" w:type="dxa"/>
            <w:vAlign w:val="bottom"/>
            <w:shd w:val="clear" w:color="auto" w:fill="EAEAEA"/>
          </w:tcPr>
          <w:p>
            <w:pPr>
              <w:spacing w:after="0"/>
              <w:rPr>
                <w:sz w:val="11"/>
                <w:szCs w:val="11"/>
                <w:color w:val="auto"/>
              </w:rPr>
            </w:pPr>
          </w:p>
        </w:tc>
        <w:tc>
          <w:tcPr>
            <w:tcW w:w="1200" w:type="dxa"/>
            <w:vAlign w:val="bottom"/>
            <w:shd w:val="clear" w:color="auto" w:fill="EAEAEA"/>
          </w:tcPr>
          <w:p>
            <w:pPr>
              <w:jc w:val="right"/>
              <w:ind w:right="35"/>
              <w:spacing w:after="0" w:line="134" w:lineRule="exact"/>
              <w:rPr>
                <w:sz w:val="20"/>
                <w:szCs w:val="20"/>
                <w:color w:val="auto"/>
              </w:rPr>
            </w:pPr>
            <w:r>
              <w:rPr>
                <w:rFonts w:ascii="Arial" w:cs="Arial" w:eastAsia="Arial" w:hAnsi="Arial"/>
                <w:sz w:val="12"/>
                <w:szCs w:val="12"/>
                <w:b w:val="1"/>
                <w:bCs w:val="1"/>
                <w:color w:val="5D89B4"/>
              </w:rPr>
              <w:t>AND NON-</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r>
      <w:tr>
        <w:trPr>
          <w:trHeight w:val="134"/>
        </w:trPr>
        <w:tc>
          <w:tcPr>
            <w:tcW w:w="254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1240" w:type="dxa"/>
            <w:vAlign w:val="bottom"/>
            <w:shd w:val="clear" w:color="auto" w:fill="EAEAEA"/>
          </w:tcPr>
          <w:p>
            <w:pPr>
              <w:spacing w:after="0"/>
              <w:rPr>
                <w:sz w:val="11"/>
                <w:szCs w:val="11"/>
                <w:color w:val="auto"/>
              </w:rPr>
            </w:pPr>
          </w:p>
        </w:tc>
        <w:tc>
          <w:tcPr>
            <w:tcW w:w="1200" w:type="dxa"/>
            <w:vAlign w:val="bottom"/>
            <w:shd w:val="clear" w:color="auto" w:fill="EAEAEA"/>
          </w:tcPr>
          <w:p>
            <w:pPr>
              <w:jc w:val="right"/>
              <w:ind w:right="35"/>
              <w:spacing w:after="0" w:line="134" w:lineRule="exact"/>
              <w:rPr>
                <w:sz w:val="20"/>
                <w:szCs w:val="20"/>
                <w:color w:val="auto"/>
              </w:rPr>
            </w:pPr>
            <w:r>
              <w:rPr>
                <w:rFonts w:ascii="Arial" w:cs="Arial" w:eastAsia="Arial" w:hAnsi="Arial"/>
                <w:sz w:val="12"/>
                <w:szCs w:val="12"/>
                <w:b w:val="1"/>
                <w:bCs w:val="1"/>
                <w:color w:val="5D89B4"/>
              </w:rPr>
              <w:t>QUALIFIED</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r>
      <w:tr>
        <w:trPr>
          <w:trHeight w:val="134"/>
        </w:trPr>
        <w:tc>
          <w:tcPr>
            <w:tcW w:w="254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1240" w:type="dxa"/>
            <w:vAlign w:val="bottom"/>
            <w:shd w:val="clear" w:color="auto" w:fill="EAEAEA"/>
          </w:tcPr>
          <w:p>
            <w:pPr>
              <w:jc w:val="right"/>
              <w:ind w:right="33"/>
              <w:spacing w:after="0" w:line="134" w:lineRule="exact"/>
              <w:rPr>
                <w:sz w:val="20"/>
                <w:szCs w:val="20"/>
                <w:color w:val="auto"/>
              </w:rPr>
            </w:pPr>
            <w:r>
              <w:rPr>
                <w:rFonts w:ascii="Arial" w:cs="Arial" w:eastAsia="Arial" w:hAnsi="Arial"/>
                <w:sz w:val="12"/>
                <w:szCs w:val="12"/>
                <w:b w:val="1"/>
                <w:bCs w:val="1"/>
                <w:color w:val="5D89B4"/>
              </w:rPr>
              <w:t>NON-EQUITY</w:t>
            </w:r>
          </w:p>
        </w:tc>
        <w:tc>
          <w:tcPr>
            <w:tcW w:w="1200" w:type="dxa"/>
            <w:vAlign w:val="bottom"/>
            <w:shd w:val="clear" w:color="auto" w:fill="EAEAEA"/>
          </w:tcPr>
          <w:p>
            <w:pPr>
              <w:jc w:val="right"/>
              <w:ind w:right="35"/>
              <w:spacing w:after="0" w:line="134" w:lineRule="exact"/>
              <w:rPr>
                <w:sz w:val="20"/>
                <w:szCs w:val="20"/>
                <w:color w:val="auto"/>
              </w:rPr>
            </w:pPr>
            <w:r>
              <w:rPr>
                <w:rFonts w:ascii="Arial" w:cs="Arial" w:eastAsia="Arial" w:hAnsi="Arial"/>
                <w:sz w:val="12"/>
                <w:szCs w:val="12"/>
                <w:b w:val="1"/>
                <w:bCs w:val="1"/>
                <w:color w:val="5D89B4"/>
              </w:rPr>
              <w:t>DEFERRED</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r>
      <w:tr>
        <w:trPr>
          <w:trHeight w:val="134"/>
        </w:trPr>
        <w:tc>
          <w:tcPr>
            <w:tcW w:w="2540" w:type="dxa"/>
            <w:vAlign w:val="bottom"/>
            <w:shd w:val="clear" w:color="auto" w:fill="EAEAEA"/>
          </w:tcPr>
          <w:p>
            <w:pPr>
              <w:ind w:left="80"/>
              <w:spacing w:after="0" w:line="134" w:lineRule="exact"/>
              <w:rPr>
                <w:sz w:val="20"/>
                <w:szCs w:val="20"/>
                <w:color w:val="auto"/>
              </w:rPr>
            </w:pPr>
            <w:r>
              <w:rPr>
                <w:rFonts w:ascii="Arial" w:cs="Arial" w:eastAsia="Arial" w:hAnsi="Arial"/>
                <w:sz w:val="12"/>
                <w:szCs w:val="12"/>
                <w:b w:val="1"/>
                <w:bCs w:val="1"/>
                <w:color w:val="5D89B4"/>
              </w:rPr>
              <w:t>NAME &amp;</w:t>
            </w: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80" w:type="dxa"/>
            <w:vAlign w:val="bottom"/>
            <w:shd w:val="clear" w:color="auto" w:fill="EAEAEA"/>
          </w:tcPr>
          <w:p>
            <w:pPr>
              <w:spacing w:after="0"/>
              <w:rPr>
                <w:sz w:val="11"/>
                <w:szCs w:val="11"/>
                <w:color w:val="auto"/>
              </w:rPr>
            </w:pPr>
          </w:p>
        </w:tc>
        <w:tc>
          <w:tcPr>
            <w:tcW w:w="860" w:type="dxa"/>
            <w:vAlign w:val="bottom"/>
            <w:shd w:val="clear" w:color="auto" w:fill="EAEAEA"/>
          </w:tcPr>
          <w:p>
            <w:pPr>
              <w:jc w:val="right"/>
              <w:ind w:right="53"/>
              <w:spacing w:after="0" w:line="134" w:lineRule="exact"/>
              <w:rPr>
                <w:sz w:val="20"/>
                <w:szCs w:val="20"/>
                <w:color w:val="auto"/>
              </w:rPr>
            </w:pPr>
            <w:r>
              <w:rPr>
                <w:rFonts w:ascii="Arial" w:cs="Arial" w:eastAsia="Arial" w:hAnsi="Arial"/>
                <w:sz w:val="12"/>
                <w:szCs w:val="12"/>
                <w:b w:val="1"/>
                <w:bCs w:val="1"/>
                <w:color w:val="5D89B4"/>
              </w:rPr>
              <w:t>STOCK</w:t>
            </w:r>
          </w:p>
        </w:tc>
        <w:tc>
          <w:tcPr>
            <w:tcW w:w="840" w:type="dxa"/>
            <w:vAlign w:val="bottom"/>
            <w:shd w:val="clear" w:color="auto" w:fill="EAEAEA"/>
          </w:tcPr>
          <w:p>
            <w:pPr>
              <w:jc w:val="right"/>
              <w:ind w:right="13"/>
              <w:spacing w:after="0" w:line="134" w:lineRule="exact"/>
              <w:rPr>
                <w:sz w:val="20"/>
                <w:szCs w:val="20"/>
                <w:color w:val="auto"/>
              </w:rPr>
            </w:pPr>
            <w:r>
              <w:rPr>
                <w:rFonts w:ascii="Arial" w:cs="Arial" w:eastAsia="Arial" w:hAnsi="Arial"/>
                <w:sz w:val="12"/>
                <w:szCs w:val="12"/>
                <w:b w:val="1"/>
                <w:bCs w:val="1"/>
                <w:color w:val="5D89B4"/>
              </w:rPr>
              <w:t>OPTION</w:t>
            </w:r>
          </w:p>
        </w:tc>
        <w:tc>
          <w:tcPr>
            <w:tcW w:w="1240" w:type="dxa"/>
            <w:vAlign w:val="bottom"/>
            <w:shd w:val="clear" w:color="auto" w:fill="EAEAEA"/>
          </w:tcPr>
          <w:p>
            <w:pPr>
              <w:jc w:val="right"/>
              <w:ind w:right="33"/>
              <w:spacing w:after="0" w:line="134" w:lineRule="exact"/>
              <w:rPr>
                <w:sz w:val="20"/>
                <w:szCs w:val="20"/>
                <w:color w:val="auto"/>
              </w:rPr>
            </w:pPr>
            <w:r>
              <w:rPr>
                <w:rFonts w:ascii="Arial" w:cs="Arial" w:eastAsia="Arial" w:hAnsi="Arial"/>
                <w:sz w:val="12"/>
                <w:szCs w:val="12"/>
                <w:b w:val="1"/>
                <w:bCs w:val="1"/>
                <w:color w:val="5D89B4"/>
              </w:rPr>
              <w:t>INCENTIVE PLAN</w:t>
            </w:r>
          </w:p>
        </w:tc>
        <w:tc>
          <w:tcPr>
            <w:tcW w:w="1200" w:type="dxa"/>
            <w:vAlign w:val="bottom"/>
            <w:shd w:val="clear" w:color="auto" w:fill="EAEAEA"/>
          </w:tcPr>
          <w:p>
            <w:pPr>
              <w:jc w:val="right"/>
              <w:ind w:right="35"/>
              <w:spacing w:after="0" w:line="134" w:lineRule="exact"/>
              <w:rPr>
                <w:sz w:val="20"/>
                <w:szCs w:val="20"/>
                <w:color w:val="auto"/>
              </w:rPr>
            </w:pPr>
            <w:r>
              <w:rPr>
                <w:rFonts w:ascii="Arial" w:cs="Arial" w:eastAsia="Arial" w:hAnsi="Arial"/>
                <w:sz w:val="12"/>
                <w:szCs w:val="12"/>
                <w:b w:val="1"/>
                <w:bCs w:val="1"/>
                <w:color w:val="5D89B4"/>
              </w:rPr>
              <w:t>COMPENSATION</w:t>
            </w:r>
          </w:p>
        </w:tc>
        <w:tc>
          <w:tcPr>
            <w:tcW w:w="1220" w:type="dxa"/>
            <w:vAlign w:val="bottom"/>
            <w:shd w:val="clear" w:color="auto" w:fill="EAEAEA"/>
          </w:tcPr>
          <w:p>
            <w:pPr>
              <w:jc w:val="right"/>
              <w:ind w:right="33"/>
              <w:spacing w:after="0" w:line="134" w:lineRule="exact"/>
              <w:rPr>
                <w:sz w:val="20"/>
                <w:szCs w:val="20"/>
                <w:color w:val="auto"/>
              </w:rPr>
            </w:pPr>
            <w:r>
              <w:rPr>
                <w:rFonts w:ascii="Arial" w:cs="Arial" w:eastAsia="Arial" w:hAnsi="Arial"/>
                <w:sz w:val="12"/>
                <w:szCs w:val="12"/>
                <w:b w:val="1"/>
                <w:bCs w:val="1"/>
                <w:color w:val="5D89B4"/>
              </w:rPr>
              <w:t>ALL OTHER</w:t>
            </w:r>
          </w:p>
        </w:tc>
        <w:tc>
          <w:tcPr>
            <w:tcW w:w="880" w:type="dxa"/>
            <w:vAlign w:val="bottom"/>
            <w:shd w:val="clear" w:color="auto" w:fill="EAEAEA"/>
          </w:tcPr>
          <w:p>
            <w:pPr>
              <w:spacing w:after="0"/>
              <w:rPr>
                <w:sz w:val="11"/>
                <w:szCs w:val="11"/>
                <w:color w:val="auto"/>
              </w:rPr>
            </w:pPr>
          </w:p>
        </w:tc>
      </w:tr>
      <w:tr>
        <w:trPr>
          <w:trHeight w:val="134"/>
        </w:trPr>
        <w:tc>
          <w:tcPr>
            <w:tcW w:w="2540" w:type="dxa"/>
            <w:vAlign w:val="bottom"/>
            <w:shd w:val="clear" w:color="auto" w:fill="EAEAEA"/>
          </w:tcPr>
          <w:p>
            <w:pPr>
              <w:ind w:left="80"/>
              <w:spacing w:after="0" w:line="134" w:lineRule="exact"/>
              <w:rPr>
                <w:sz w:val="20"/>
                <w:szCs w:val="20"/>
                <w:color w:val="auto"/>
              </w:rPr>
            </w:pPr>
            <w:r>
              <w:rPr>
                <w:rFonts w:ascii="Arial" w:cs="Arial" w:eastAsia="Arial" w:hAnsi="Arial"/>
                <w:sz w:val="12"/>
                <w:szCs w:val="12"/>
                <w:b w:val="1"/>
                <w:bCs w:val="1"/>
                <w:color w:val="5D89B4"/>
              </w:rPr>
              <w:t>PRINCIPAL</w:t>
            </w:r>
          </w:p>
        </w:tc>
        <w:tc>
          <w:tcPr>
            <w:tcW w:w="620" w:type="dxa"/>
            <w:vAlign w:val="bottom"/>
            <w:shd w:val="clear" w:color="auto" w:fill="EAEAEA"/>
          </w:tcPr>
          <w:p>
            <w:pPr>
              <w:spacing w:after="0"/>
              <w:rPr>
                <w:sz w:val="11"/>
                <w:szCs w:val="11"/>
                <w:color w:val="auto"/>
              </w:rPr>
            </w:pPr>
          </w:p>
        </w:tc>
        <w:tc>
          <w:tcPr>
            <w:tcW w:w="840" w:type="dxa"/>
            <w:vAlign w:val="bottom"/>
            <w:shd w:val="clear" w:color="auto" w:fill="EAEAEA"/>
          </w:tcPr>
          <w:p>
            <w:pPr>
              <w:jc w:val="right"/>
              <w:ind w:right="12"/>
              <w:spacing w:after="0" w:line="134" w:lineRule="exact"/>
              <w:rPr>
                <w:sz w:val="20"/>
                <w:szCs w:val="20"/>
                <w:color w:val="auto"/>
              </w:rPr>
            </w:pPr>
            <w:r>
              <w:rPr>
                <w:rFonts w:ascii="Arial" w:cs="Arial" w:eastAsia="Arial" w:hAnsi="Arial"/>
                <w:sz w:val="12"/>
                <w:szCs w:val="12"/>
                <w:b w:val="1"/>
                <w:bCs w:val="1"/>
                <w:color w:val="5D89B4"/>
              </w:rPr>
              <w:t>SALARY</w:t>
            </w:r>
          </w:p>
        </w:tc>
        <w:tc>
          <w:tcPr>
            <w:tcW w:w="680" w:type="dxa"/>
            <w:vAlign w:val="bottom"/>
            <w:shd w:val="clear" w:color="auto" w:fill="EAEAEA"/>
          </w:tcPr>
          <w:p>
            <w:pPr>
              <w:jc w:val="right"/>
              <w:ind w:right="52"/>
              <w:spacing w:after="0" w:line="134" w:lineRule="exact"/>
              <w:rPr>
                <w:sz w:val="20"/>
                <w:szCs w:val="20"/>
                <w:color w:val="auto"/>
              </w:rPr>
            </w:pPr>
            <w:r>
              <w:rPr>
                <w:rFonts w:ascii="Arial" w:cs="Arial" w:eastAsia="Arial" w:hAnsi="Arial"/>
                <w:sz w:val="12"/>
                <w:szCs w:val="12"/>
                <w:b w:val="1"/>
                <w:bCs w:val="1"/>
                <w:color w:val="5D89B4"/>
              </w:rPr>
              <w:t>BONUS</w:t>
            </w:r>
          </w:p>
        </w:tc>
        <w:tc>
          <w:tcPr>
            <w:tcW w:w="860" w:type="dxa"/>
            <w:vAlign w:val="bottom"/>
            <w:shd w:val="clear" w:color="auto" w:fill="EAEAEA"/>
          </w:tcPr>
          <w:p>
            <w:pPr>
              <w:jc w:val="right"/>
              <w:ind w:right="53"/>
              <w:spacing w:after="0" w:line="134" w:lineRule="exact"/>
              <w:rPr>
                <w:sz w:val="20"/>
                <w:szCs w:val="20"/>
                <w:color w:val="auto"/>
              </w:rPr>
            </w:pPr>
            <w:r>
              <w:rPr>
                <w:rFonts w:ascii="Arial" w:cs="Arial" w:eastAsia="Arial" w:hAnsi="Arial"/>
                <w:sz w:val="12"/>
                <w:szCs w:val="12"/>
                <w:b w:val="1"/>
                <w:bCs w:val="1"/>
                <w:color w:val="5D89B4"/>
              </w:rPr>
              <w:t>AWARDS</w:t>
            </w:r>
          </w:p>
        </w:tc>
        <w:tc>
          <w:tcPr>
            <w:tcW w:w="840" w:type="dxa"/>
            <w:vAlign w:val="bottom"/>
            <w:shd w:val="clear" w:color="auto" w:fill="EAEAEA"/>
          </w:tcPr>
          <w:p>
            <w:pPr>
              <w:jc w:val="right"/>
              <w:ind w:right="13"/>
              <w:spacing w:after="0" w:line="134" w:lineRule="exact"/>
              <w:rPr>
                <w:sz w:val="20"/>
                <w:szCs w:val="20"/>
                <w:color w:val="auto"/>
              </w:rPr>
            </w:pPr>
            <w:r>
              <w:rPr>
                <w:rFonts w:ascii="Arial" w:cs="Arial" w:eastAsia="Arial" w:hAnsi="Arial"/>
                <w:sz w:val="12"/>
                <w:szCs w:val="12"/>
                <w:b w:val="1"/>
                <w:bCs w:val="1"/>
                <w:color w:val="5D89B4"/>
              </w:rPr>
              <w:t>AWARDS</w:t>
            </w:r>
          </w:p>
        </w:tc>
        <w:tc>
          <w:tcPr>
            <w:tcW w:w="1240" w:type="dxa"/>
            <w:vAlign w:val="bottom"/>
            <w:shd w:val="clear" w:color="auto" w:fill="EAEAEA"/>
          </w:tcPr>
          <w:p>
            <w:pPr>
              <w:jc w:val="right"/>
              <w:ind w:right="33"/>
              <w:spacing w:after="0" w:line="134" w:lineRule="exact"/>
              <w:rPr>
                <w:sz w:val="20"/>
                <w:szCs w:val="20"/>
                <w:color w:val="auto"/>
              </w:rPr>
            </w:pPr>
            <w:r>
              <w:rPr>
                <w:rFonts w:ascii="Arial" w:cs="Arial" w:eastAsia="Arial" w:hAnsi="Arial"/>
                <w:sz w:val="12"/>
                <w:szCs w:val="12"/>
                <w:b w:val="1"/>
                <w:bCs w:val="1"/>
                <w:color w:val="5D89B4"/>
              </w:rPr>
              <w:t>COMPENSATION</w:t>
            </w:r>
          </w:p>
        </w:tc>
        <w:tc>
          <w:tcPr>
            <w:tcW w:w="1200" w:type="dxa"/>
            <w:vAlign w:val="bottom"/>
            <w:shd w:val="clear" w:color="auto" w:fill="EAEAEA"/>
          </w:tcPr>
          <w:p>
            <w:pPr>
              <w:jc w:val="right"/>
              <w:ind w:right="35"/>
              <w:spacing w:after="0" w:line="134" w:lineRule="exact"/>
              <w:rPr>
                <w:sz w:val="20"/>
                <w:szCs w:val="20"/>
                <w:color w:val="auto"/>
              </w:rPr>
            </w:pPr>
            <w:r>
              <w:rPr>
                <w:rFonts w:ascii="Arial" w:cs="Arial" w:eastAsia="Arial" w:hAnsi="Arial"/>
                <w:sz w:val="12"/>
                <w:szCs w:val="12"/>
                <w:b w:val="1"/>
                <w:bCs w:val="1"/>
                <w:color w:val="5D89B4"/>
              </w:rPr>
              <w:t>EARNINGS</w:t>
            </w:r>
          </w:p>
        </w:tc>
        <w:tc>
          <w:tcPr>
            <w:tcW w:w="1220" w:type="dxa"/>
            <w:vAlign w:val="bottom"/>
            <w:shd w:val="clear" w:color="auto" w:fill="EAEAEA"/>
          </w:tcPr>
          <w:p>
            <w:pPr>
              <w:jc w:val="right"/>
              <w:ind w:right="33"/>
              <w:spacing w:after="0" w:line="134" w:lineRule="exact"/>
              <w:rPr>
                <w:sz w:val="20"/>
                <w:szCs w:val="20"/>
                <w:color w:val="auto"/>
              </w:rPr>
            </w:pPr>
            <w:r>
              <w:rPr>
                <w:rFonts w:ascii="Arial" w:cs="Arial" w:eastAsia="Arial" w:hAnsi="Arial"/>
                <w:sz w:val="12"/>
                <w:szCs w:val="12"/>
                <w:b w:val="1"/>
                <w:bCs w:val="1"/>
                <w:color w:val="5D89B4"/>
              </w:rPr>
              <w:t>COMPENSATION</w:t>
            </w:r>
          </w:p>
        </w:tc>
        <w:tc>
          <w:tcPr>
            <w:tcW w:w="88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TOTAL</w:t>
            </w:r>
          </w:p>
        </w:tc>
      </w:tr>
      <w:tr>
        <w:trPr>
          <w:trHeight w:val="214"/>
        </w:trPr>
        <w:tc>
          <w:tcPr>
            <w:tcW w:w="25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POSITION</w:t>
            </w:r>
          </w:p>
        </w:tc>
        <w:tc>
          <w:tcPr>
            <w:tcW w:w="620" w:type="dxa"/>
            <w:vAlign w:val="bottom"/>
            <w:tcBorders>
              <w:bottom w:val="single" w:sz="8" w:color="EAEAEA"/>
            </w:tcBorders>
            <w:shd w:val="clear" w:color="auto" w:fill="EAEAEA"/>
          </w:tcPr>
          <w:p>
            <w:pPr>
              <w:jc w:val="right"/>
              <w:ind w:right="50"/>
              <w:spacing w:after="0"/>
              <w:rPr>
                <w:sz w:val="20"/>
                <w:szCs w:val="20"/>
                <w:color w:val="auto"/>
              </w:rPr>
            </w:pPr>
            <w:r>
              <w:rPr>
                <w:rFonts w:ascii="Arial" w:cs="Arial" w:eastAsia="Arial" w:hAnsi="Arial"/>
                <w:sz w:val="12"/>
                <w:szCs w:val="12"/>
                <w:b w:val="1"/>
                <w:bCs w:val="1"/>
                <w:color w:val="5D89B4"/>
              </w:rPr>
              <w:t>YEAR</w:t>
            </w:r>
          </w:p>
        </w:tc>
        <w:tc>
          <w:tcPr>
            <w:tcW w:w="840" w:type="dxa"/>
            <w:vAlign w:val="bottom"/>
            <w:tcBorders>
              <w:bottom w:val="single" w:sz="8" w:color="EAEAEA"/>
            </w:tcBorders>
            <w:shd w:val="clear" w:color="auto" w:fill="EAEAEA"/>
          </w:tcPr>
          <w:p>
            <w:pPr>
              <w:jc w:val="right"/>
              <w:ind w:right="12"/>
              <w:spacing w:after="0"/>
              <w:rPr>
                <w:sz w:val="20"/>
                <w:szCs w:val="20"/>
                <w:color w:val="auto"/>
              </w:rPr>
            </w:pPr>
            <w:r>
              <w:rPr>
                <w:rFonts w:ascii="Arial" w:cs="Arial" w:eastAsia="Arial" w:hAnsi="Arial"/>
                <w:sz w:val="12"/>
                <w:szCs w:val="12"/>
                <w:b w:val="1"/>
                <w:bCs w:val="1"/>
                <w:color w:val="5D89B4"/>
              </w:rPr>
              <w:t>($)</w:t>
            </w:r>
          </w:p>
        </w:tc>
        <w:tc>
          <w:tcPr>
            <w:tcW w:w="680" w:type="dxa"/>
            <w:vAlign w:val="bottom"/>
            <w:tcBorders>
              <w:bottom w:val="single" w:sz="8" w:color="EAEAEA"/>
            </w:tcBorders>
            <w:shd w:val="clear" w:color="auto" w:fill="EAEAEA"/>
          </w:tcPr>
          <w:p>
            <w:pPr>
              <w:jc w:val="right"/>
              <w:ind w:right="52"/>
              <w:spacing w:after="0"/>
              <w:rPr>
                <w:sz w:val="20"/>
                <w:szCs w:val="20"/>
                <w:color w:val="auto"/>
              </w:rPr>
            </w:pPr>
            <w:r>
              <w:rPr>
                <w:rFonts w:ascii="Arial" w:cs="Arial" w:eastAsia="Arial" w:hAnsi="Arial"/>
                <w:sz w:val="12"/>
                <w:szCs w:val="12"/>
                <w:b w:val="1"/>
                <w:bCs w:val="1"/>
                <w:color w:val="5D89B4"/>
              </w:rPr>
              <w:t>($)</w:t>
            </w:r>
          </w:p>
        </w:tc>
        <w:tc>
          <w:tcPr>
            <w:tcW w:w="860" w:type="dxa"/>
            <w:vAlign w:val="bottom"/>
            <w:tcBorders>
              <w:bottom w:val="single" w:sz="8" w:color="EAEAEA"/>
            </w:tcBorders>
            <w:shd w:val="clear" w:color="auto" w:fill="EAEAEA"/>
          </w:tcPr>
          <w:p>
            <w:pPr>
              <w:jc w:val="right"/>
              <w:ind w:right="53"/>
              <w:spacing w:after="0"/>
              <w:rPr>
                <w:sz w:val="20"/>
                <w:szCs w:val="20"/>
                <w:color w:val="auto"/>
              </w:rPr>
            </w:pPr>
            <w:r>
              <w:rPr>
                <w:rFonts w:ascii="Arial" w:cs="Arial" w:eastAsia="Arial" w:hAnsi="Arial"/>
                <w:sz w:val="12"/>
                <w:szCs w:val="12"/>
                <w:b w:val="1"/>
                <w:bCs w:val="1"/>
                <w:color w:val="5D89B4"/>
              </w:rPr>
              <w:t>($)</w:t>
            </w:r>
          </w:p>
        </w:tc>
        <w:tc>
          <w:tcPr>
            <w:tcW w:w="840" w:type="dxa"/>
            <w:vAlign w:val="bottom"/>
            <w:tcBorders>
              <w:bottom w:val="single" w:sz="8" w:color="EAEAEA"/>
            </w:tcBorders>
            <w:shd w:val="clear" w:color="auto" w:fill="EAEAEA"/>
          </w:tcPr>
          <w:p>
            <w:pPr>
              <w:jc w:val="right"/>
              <w:ind w:right="13"/>
              <w:spacing w:after="0"/>
              <w:rPr>
                <w:sz w:val="20"/>
                <w:szCs w:val="20"/>
                <w:color w:val="auto"/>
              </w:rPr>
            </w:pPr>
            <w:r>
              <w:rPr>
                <w:rFonts w:ascii="Arial" w:cs="Arial" w:eastAsia="Arial" w:hAnsi="Arial"/>
                <w:sz w:val="12"/>
                <w:szCs w:val="12"/>
                <w:b w:val="1"/>
                <w:bCs w:val="1"/>
                <w:color w:val="5D89B4"/>
              </w:rPr>
              <w:t>($)</w:t>
            </w:r>
          </w:p>
        </w:tc>
        <w:tc>
          <w:tcPr>
            <w:tcW w:w="1240" w:type="dxa"/>
            <w:vAlign w:val="bottom"/>
            <w:tcBorders>
              <w:bottom w:val="single" w:sz="8" w:color="EAEAEA"/>
            </w:tcBorders>
            <w:shd w:val="clear" w:color="auto" w:fill="EAEAEA"/>
          </w:tcPr>
          <w:p>
            <w:pPr>
              <w:jc w:val="right"/>
              <w:ind w:right="33"/>
              <w:spacing w:after="0"/>
              <w:rPr>
                <w:sz w:val="20"/>
                <w:szCs w:val="20"/>
                <w:color w:val="auto"/>
              </w:rPr>
            </w:pPr>
            <w:r>
              <w:rPr>
                <w:rFonts w:ascii="Arial" w:cs="Arial" w:eastAsia="Arial" w:hAnsi="Arial"/>
                <w:sz w:val="12"/>
                <w:szCs w:val="12"/>
                <w:b w:val="1"/>
                <w:bCs w:val="1"/>
                <w:color w:val="5D89B4"/>
              </w:rPr>
              <w:t>($)</w:t>
            </w:r>
          </w:p>
        </w:tc>
        <w:tc>
          <w:tcPr>
            <w:tcW w:w="1200" w:type="dxa"/>
            <w:vAlign w:val="bottom"/>
            <w:tcBorders>
              <w:bottom w:val="single" w:sz="8" w:color="EAEAEA"/>
            </w:tcBorders>
            <w:shd w:val="clear" w:color="auto" w:fill="EAEAEA"/>
          </w:tcPr>
          <w:p>
            <w:pPr>
              <w:jc w:val="right"/>
              <w:ind w:right="35"/>
              <w:spacing w:after="0"/>
              <w:rPr>
                <w:sz w:val="20"/>
                <w:szCs w:val="20"/>
                <w:color w:val="auto"/>
              </w:rPr>
            </w:pPr>
            <w:r>
              <w:rPr>
                <w:rFonts w:ascii="Arial" w:cs="Arial" w:eastAsia="Arial" w:hAnsi="Arial"/>
                <w:sz w:val="12"/>
                <w:szCs w:val="12"/>
                <w:b w:val="1"/>
                <w:bCs w:val="1"/>
                <w:color w:val="5D89B4"/>
              </w:rPr>
              <w:t>($)</w:t>
            </w:r>
          </w:p>
        </w:tc>
        <w:tc>
          <w:tcPr>
            <w:tcW w:w="1220" w:type="dxa"/>
            <w:vAlign w:val="bottom"/>
            <w:tcBorders>
              <w:bottom w:val="single" w:sz="8" w:color="EAEAEA"/>
            </w:tcBorders>
            <w:shd w:val="clear" w:color="auto" w:fill="EAEAEA"/>
          </w:tcPr>
          <w:p>
            <w:pPr>
              <w:jc w:val="right"/>
              <w:ind w:right="33"/>
              <w:spacing w:after="0"/>
              <w:rPr>
                <w:sz w:val="20"/>
                <w:szCs w:val="20"/>
                <w:color w:val="auto"/>
              </w:rPr>
            </w:pPr>
            <w:r>
              <w:rPr>
                <w:rFonts w:ascii="Arial" w:cs="Arial" w:eastAsia="Arial" w:hAnsi="Arial"/>
                <w:sz w:val="12"/>
                <w:szCs w:val="12"/>
                <w:b w:val="1"/>
                <w:bCs w:val="1"/>
                <w:color w:val="5D89B4"/>
              </w:rPr>
              <w:t>($)</w:t>
            </w:r>
          </w:p>
        </w:tc>
        <w:tc>
          <w:tcPr>
            <w:tcW w:w="8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r>
      <w:tr>
        <w:trPr>
          <w:trHeight w:val="165"/>
        </w:trPr>
        <w:tc>
          <w:tcPr>
            <w:tcW w:w="25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2021</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1,250,000</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8,000,015</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2,000,022</w:t>
            </w: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3,475,000</w:t>
            </w:r>
          </w:p>
        </w:tc>
        <w:tc>
          <w:tcPr>
            <w:tcW w:w="1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rPr>
                <w:sz w:val="20"/>
                <w:szCs w:val="20"/>
                <w:color w:val="auto"/>
              </w:rPr>
            </w:pPr>
            <w:r>
              <w:rPr>
                <w:rFonts w:ascii="Arial" w:cs="Arial" w:eastAsia="Arial" w:hAnsi="Arial"/>
                <w:sz w:val="14"/>
                <w:szCs w:val="14"/>
                <w:color w:val="auto"/>
              </w:rPr>
              <w:t>62,790</w:t>
            </w:r>
          </w:p>
        </w:tc>
        <w:tc>
          <w:tcPr>
            <w:tcW w:w="880" w:type="dxa"/>
            <w:vAlign w:val="bottom"/>
          </w:tcPr>
          <w:p>
            <w:pPr>
              <w:jc w:val="right"/>
              <w:spacing w:after="0"/>
              <w:rPr>
                <w:sz w:val="20"/>
                <w:szCs w:val="20"/>
                <w:color w:val="auto"/>
              </w:rPr>
            </w:pPr>
            <w:r>
              <w:rPr>
                <w:rFonts w:ascii="Arial" w:cs="Arial" w:eastAsia="Arial" w:hAnsi="Arial"/>
                <w:sz w:val="14"/>
                <w:szCs w:val="14"/>
                <w:color w:val="auto"/>
              </w:rPr>
              <w:t>14,787,827</w:t>
            </w:r>
          </w:p>
        </w:tc>
      </w:tr>
      <w:tr>
        <w:trPr>
          <w:trHeight w:val="171"/>
        </w:trPr>
        <w:tc>
          <w:tcPr>
            <w:tcW w:w="2540" w:type="dxa"/>
            <w:vAlign w:val="bottom"/>
          </w:tcPr>
          <w:p>
            <w:pPr>
              <w:ind w:left="80"/>
              <w:spacing w:after="0"/>
              <w:rPr>
                <w:sz w:val="20"/>
                <w:szCs w:val="20"/>
                <w:color w:val="auto"/>
              </w:rPr>
            </w:pPr>
            <w:r>
              <w:rPr>
                <w:rFonts w:ascii="Arial" w:cs="Arial" w:eastAsia="Arial" w:hAnsi="Arial"/>
                <w:sz w:val="14"/>
                <w:szCs w:val="14"/>
                <w:color w:val="333333"/>
              </w:rPr>
              <w:t>CEO</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5"/>
        </w:trPr>
        <w:tc>
          <w:tcPr>
            <w:tcW w:w="2540" w:type="dxa"/>
            <w:vAlign w:val="bottom"/>
            <w:tcBorders>
              <w:bottom w:val="single" w:sz="8" w:color="5D89B4"/>
            </w:tcBorders>
          </w:tcPr>
          <w:p>
            <w:pPr>
              <w:spacing w:after="0"/>
              <w:rPr>
                <w:sz w:val="5"/>
                <w:szCs w:val="5"/>
                <w:color w:val="auto"/>
              </w:rPr>
            </w:pPr>
          </w:p>
        </w:tc>
        <w:tc>
          <w:tcPr>
            <w:tcW w:w="620" w:type="dxa"/>
            <w:vAlign w:val="bottom"/>
            <w:tcBorders>
              <w:bottom w:val="single" w:sz="8" w:color="5D89B4"/>
            </w:tcBorders>
          </w:tcPr>
          <w:p>
            <w:pPr>
              <w:spacing w:after="0"/>
              <w:rPr>
                <w:sz w:val="5"/>
                <w:szCs w:val="5"/>
                <w:color w:val="auto"/>
              </w:rPr>
            </w:pPr>
          </w:p>
        </w:tc>
        <w:tc>
          <w:tcPr>
            <w:tcW w:w="840" w:type="dxa"/>
            <w:vAlign w:val="bottom"/>
            <w:tcBorders>
              <w:bottom w:val="single" w:sz="8" w:color="5D89B4"/>
            </w:tcBorders>
          </w:tcPr>
          <w:p>
            <w:pPr>
              <w:spacing w:after="0"/>
              <w:rPr>
                <w:sz w:val="5"/>
                <w:szCs w:val="5"/>
                <w:color w:val="auto"/>
              </w:rPr>
            </w:pPr>
          </w:p>
        </w:tc>
        <w:tc>
          <w:tcPr>
            <w:tcW w:w="680" w:type="dxa"/>
            <w:vAlign w:val="bottom"/>
            <w:tcBorders>
              <w:bottom w:val="single" w:sz="8" w:color="5D89B4"/>
            </w:tcBorders>
          </w:tcPr>
          <w:p>
            <w:pPr>
              <w:spacing w:after="0"/>
              <w:rPr>
                <w:sz w:val="5"/>
                <w:szCs w:val="5"/>
                <w:color w:val="auto"/>
              </w:rPr>
            </w:pPr>
          </w:p>
        </w:tc>
        <w:tc>
          <w:tcPr>
            <w:tcW w:w="860" w:type="dxa"/>
            <w:vAlign w:val="bottom"/>
            <w:tcBorders>
              <w:bottom w:val="single" w:sz="8" w:color="5D89B4"/>
            </w:tcBorders>
          </w:tcPr>
          <w:p>
            <w:pPr>
              <w:spacing w:after="0"/>
              <w:rPr>
                <w:sz w:val="5"/>
                <w:szCs w:val="5"/>
                <w:color w:val="auto"/>
              </w:rPr>
            </w:pPr>
          </w:p>
        </w:tc>
        <w:tc>
          <w:tcPr>
            <w:tcW w:w="840" w:type="dxa"/>
            <w:vAlign w:val="bottom"/>
            <w:tcBorders>
              <w:bottom w:val="single" w:sz="8" w:color="5D89B4"/>
            </w:tcBorders>
          </w:tcPr>
          <w:p>
            <w:pPr>
              <w:spacing w:after="0"/>
              <w:rPr>
                <w:sz w:val="5"/>
                <w:szCs w:val="5"/>
                <w:color w:val="auto"/>
              </w:rPr>
            </w:pPr>
          </w:p>
        </w:tc>
        <w:tc>
          <w:tcPr>
            <w:tcW w:w="1240" w:type="dxa"/>
            <w:vAlign w:val="bottom"/>
            <w:tcBorders>
              <w:bottom w:val="single" w:sz="8" w:color="5D89B4"/>
            </w:tcBorders>
          </w:tcPr>
          <w:p>
            <w:pPr>
              <w:spacing w:after="0"/>
              <w:rPr>
                <w:sz w:val="5"/>
                <w:szCs w:val="5"/>
                <w:color w:val="auto"/>
              </w:rPr>
            </w:pPr>
          </w:p>
        </w:tc>
        <w:tc>
          <w:tcPr>
            <w:tcW w:w="1200" w:type="dxa"/>
            <w:vAlign w:val="bottom"/>
            <w:tcBorders>
              <w:bottom w:val="single" w:sz="8" w:color="5D89B4"/>
            </w:tcBorders>
          </w:tcPr>
          <w:p>
            <w:pPr>
              <w:spacing w:after="0"/>
              <w:rPr>
                <w:sz w:val="5"/>
                <w:szCs w:val="5"/>
                <w:color w:val="auto"/>
              </w:rPr>
            </w:pPr>
          </w:p>
        </w:tc>
        <w:tc>
          <w:tcPr>
            <w:tcW w:w="1220" w:type="dxa"/>
            <w:vAlign w:val="bottom"/>
            <w:tcBorders>
              <w:bottom w:val="single" w:sz="8" w:color="5D89B4"/>
            </w:tcBorders>
          </w:tcPr>
          <w:p>
            <w:pPr>
              <w:spacing w:after="0"/>
              <w:rPr>
                <w:sz w:val="5"/>
                <w:szCs w:val="5"/>
                <w:color w:val="auto"/>
              </w:rPr>
            </w:pPr>
          </w:p>
        </w:tc>
        <w:tc>
          <w:tcPr>
            <w:tcW w:w="880" w:type="dxa"/>
            <w:vAlign w:val="bottom"/>
            <w:tcBorders>
              <w:bottom w:val="single" w:sz="8" w:color="5D89B4"/>
            </w:tcBorders>
          </w:tcPr>
          <w:p>
            <w:pPr>
              <w:spacing w:after="0"/>
              <w:rPr>
                <w:sz w:val="5"/>
                <w:szCs w:val="5"/>
                <w:color w:val="auto"/>
              </w:rPr>
            </w:pPr>
          </w:p>
        </w:tc>
      </w:tr>
      <w:tr>
        <w:trPr>
          <w:trHeight w:val="159"/>
        </w:trPr>
        <w:tc>
          <w:tcPr>
            <w:tcW w:w="25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John T. McGinnis</w:t>
            </w:r>
          </w:p>
        </w:tc>
        <w:tc>
          <w:tcPr>
            <w:tcW w:w="620" w:type="dxa"/>
            <w:vAlign w:val="bottom"/>
          </w:tcPr>
          <w:p>
            <w:pPr>
              <w:jc w:val="right"/>
              <w:ind w:right="50"/>
              <w:spacing w:after="0" w:line="159" w:lineRule="exact"/>
              <w:rPr>
                <w:sz w:val="20"/>
                <w:szCs w:val="20"/>
                <w:color w:val="auto"/>
              </w:rPr>
            </w:pPr>
            <w:r>
              <w:rPr>
                <w:rFonts w:ascii="Arial" w:cs="Arial" w:eastAsia="Arial" w:hAnsi="Arial"/>
                <w:sz w:val="14"/>
                <w:szCs w:val="14"/>
                <w:color w:val="auto"/>
              </w:rPr>
              <w:t>2021</w:t>
            </w: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746,750</w:t>
            </w: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3"/>
              <w:spacing w:after="0" w:line="159" w:lineRule="exact"/>
              <w:rPr>
                <w:sz w:val="20"/>
                <w:szCs w:val="20"/>
                <w:color w:val="auto"/>
              </w:rPr>
            </w:pPr>
            <w:r>
              <w:rPr>
                <w:rFonts w:ascii="Arial" w:cs="Arial" w:eastAsia="Arial" w:hAnsi="Arial"/>
                <w:sz w:val="14"/>
                <w:szCs w:val="14"/>
                <w:color w:val="auto"/>
              </w:rPr>
              <w:t>2,400,116</w:t>
            </w:r>
          </w:p>
        </w:tc>
        <w:tc>
          <w:tcPr>
            <w:tcW w:w="840" w:type="dxa"/>
            <w:vAlign w:val="bottom"/>
          </w:tcPr>
          <w:p>
            <w:pPr>
              <w:jc w:val="right"/>
              <w:ind w:right="13"/>
              <w:spacing w:after="0" w:line="159" w:lineRule="exact"/>
              <w:rPr>
                <w:sz w:val="20"/>
                <w:szCs w:val="20"/>
                <w:color w:val="auto"/>
              </w:rPr>
            </w:pPr>
            <w:r>
              <w:rPr>
                <w:rFonts w:ascii="Arial" w:cs="Arial" w:eastAsia="Arial" w:hAnsi="Arial"/>
                <w:sz w:val="14"/>
                <w:szCs w:val="14"/>
                <w:color w:val="auto"/>
              </w:rPr>
              <w:t>600,018</w:t>
            </w:r>
          </w:p>
        </w:tc>
        <w:tc>
          <w:tcPr>
            <w:tcW w:w="1240" w:type="dxa"/>
            <w:vAlign w:val="bottom"/>
          </w:tcPr>
          <w:p>
            <w:pPr>
              <w:jc w:val="right"/>
              <w:ind w:right="33"/>
              <w:spacing w:after="0" w:line="159" w:lineRule="exact"/>
              <w:rPr>
                <w:sz w:val="20"/>
                <w:szCs w:val="20"/>
                <w:color w:val="auto"/>
              </w:rPr>
            </w:pPr>
            <w:r>
              <w:rPr>
                <w:rFonts w:ascii="Arial" w:cs="Arial" w:eastAsia="Arial" w:hAnsi="Arial"/>
                <w:sz w:val="14"/>
                <w:szCs w:val="14"/>
                <w:color w:val="auto"/>
              </w:rPr>
              <w:t>1,458,029</w:t>
            </w:r>
          </w:p>
        </w:tc>
        <w:tc>
          <w:tcPr>
            <w:tcW w:w="1200" w:type="dxa"/>
            <w:vAlign w:val="bottom"/>
          </w:tcPr>
          <w:p>
            <w:pPr>
              <w:jc w:val="right"/>
              <w:ind w:right="35"/>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59" w:lineRule="exact"/>
              <w:rPr>
                <w:sz w:val="20"/>
                <w:szCs w:val="20"/>
                <w:color w:val="auto"/>
              </w:rPr>
            </w:pPr>
            <w:r>
              <w:rPr>
                <w:rFonts w:ascii="Arial" w:cs="Arial" w:eastAsia="Arial" w:hAnsi="Arial"/>
                <w:sz w:val="14"/>
                <w:szCs w:val="14"/>
                <w:color w:val="auto"/>
              </w:rPr>
              <w:t>80,905</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5,285,818</w:t>
            </w:r>
          </w:p>
        </w:tc>
      </w:tr>
      <w:tr>
        <w:trPr>
          <w:trHeight w:val="171"/>
        </w:trPr>
        <w:tc>
          <w:tcPr>
            <w:tcW w:w="2540" w:type="dxa"/>
            <w:vAlign w:val="bottom"/>
          </w:tcPr>
          <w:p>
            <w:pPr>
              <w:ind w:left="80"/>
              <w:spacing w:after="0"/>
              <w:rPr>
                <w:sz w:val="20"/>
                <w:szCs w:val="20"/>
                <w:color w:val="auto"/>
              </w:rPr>
            </w:pPr>
            <w:r>
              <w:rPr>
                <w:rFonts w:ascii="Arial" w:cs="Arial" w:eastAsia="Arial" w:hAnsi="Arial"/>
                <w:sz w:val="14"/>
                <w:szCs w:val="14"/>
                <w:color w:val="333333"/>
              </w:rPr>
              <w:t>CFO</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5"/>
        </w:trPr>
        <w:tc>
          <w:tcPr>
            <w:tcW w:w="2540" w:type="dxa"/>
            <w:vAlign w:val="bottom"/>
            <w:tcBorders>
              <w:bottom w:val="single" w:sz="8" w:color="5D89B4"/>
            </w:tcBorders>
          </w:tcPr>
          <w:p>
            <w:pPr>
              <w:spacing w:after="0"/>
              <w:rPr>
                <w:sz w:val="5"/>
                <w:szCs w:val="5"/>
                <w:color w:val="auto"/>
              </w:rPr>
            </w:pPr>
          </w:p>
        </w:tc>
        <w:tc>
          <w:tcPr>
            <w:tcW w:w="620" w:type="dxa"/>
            <w:vAlign w:val="bottom"/>
            <w:tcBorders>
              <w:bottom w:val="single" w:sz="8" w:color="5D89B4"/>
            </w:tcBorders>
          </w:tcPr>
          <w:p>
            <w:pPr>
              <w:spacing w:after="0"/>
              <w:rPr>
                <w:sz w:val="5"/>
                <w:szCs w:val="5"/>
                <w:color w:val="auto"/>
              </w:rPr>
            </w:pPr>
          </w:p>
        </w:tc>
        <w:tc>
          <w:tcPr>
            <w:tcW w:w="840" w:type="dxa"/>
            <w:vAlign w:val="bottom"/>
            <w:tcBorders>
              <w:bottom w:val="single" w:sz="8" w:color="5D89B4"/>
            </w:tcBorders>
          </w:tcPr>
          <w:p>
            <w:pPr>
              <w:spacing w:after="0"/>
              <w:rPr>
                <w:sz w:val="5"/>
                <w:szCs w:val="5"/>
                <w:color w:val="auto"/>
              </w:rPr>
            </w:pPr>
          </w:p>
        </w:tc>
        <w:tc>
          <w:tcPr>
            <w:tcW w:w="680" w:type="dxa"/>
            <w:vAlign w:val="bottom"/>
            <w:tcBorders>
              <w:bottom w:val="single" w:sz="8" w:color="5D89B4"/>
            </w:tcBorders>
          </w:tcPr>
          <w:p>
            <w:pPr>
              <w:spacing w:after="0"/>
              <w:rPr>
                <w:sz w:val="5"/>
                <w:szCs w:val="5"/>
                <w:color w:val="auto"/>
              </w:rPr>
            </w:pPr>
          </w:p>
        </w:tc>
        <w:tc>
          <w:tcPr>
            <w:tcW w:w="860" w:type="dxa"/>
            <w:vAlign w:val="bottom"/>
            <w:tcBorders>
              <w:bottom w:val="single" w:sz="8" w:color="5D89B4"/>
            </w:tcBorders>
          </w:tcPr>
          <w:p>
            <w:pPr>
              <w:spacing w:after="0"/>
              <w:rPr>
                <w:sz w:val="5"/>
                <w:szCs w:val="5"/>
                <w:color w:val="auto"/>
              </w:rPr>
            </w:pPr>
          </w:p>
        </w:tc>
        <w:tc>
          <w:tcPr>
            <w:tcW w:w="840" w:type="dxa"/>
            <w:vAlign w:val="bottom"/>
            <w:tcBorders>
              <w:bottom w:val="single" w:sz="8" w:color="5D89B4"/>
            </w:tcBorders>
          </w:tcPr>
          <w:p>
            <w:pPr>
              <w:spacing w:after="0"/>
              <w:rPr>
                <w:sz w:val="5"/>
                <w:szCs w:val="5"/>
                <w:color w:val="auto"/>
              </w:rPr>
            </w:pPr>
          </w:p>
        </w:tc>
        <w:tc>
          <w:tcPr>
            <w:tcW w:w="1240" w:type="dxa"/>
            <w:vAlign w:val="bottom"/>
            <w:tcBorders>
              <w:bottom w:val="single" w:sz="8" w:color="5D89B4"/>
            </w:tcBorders>
          </w:tcPr>
          <w:p>
            <w:pPr>
              <w:spacing w:after="0"/>
              <w:rPr>
                <w:sz w:val="5"/>
                <w:szCs w:val="5"/>
                <w:color w:val="auto"/>
              </w:rPr>
            </w:pPr>
          </w:p>
        </w:tc>
        <w:tc>
          <w:tcPr>
            <w:tcW w:w="1200" w:type="dxa"/>
            <w:vAlign w:val="bottom"/>
            <w:tcBorders>
              <w:bottom w:val="single" w:sz="8" w:color="5D89B4"/>
            </w:tcBorders>
          </w:tcPr>
          <w:p>
            <w:pPr>
              <w:spacing w:after="0"/>
              <w:rPr>
                <w:sz w:val="5"/>
                <w:szCs w:val="5"/>
                <w:color w:val="auto"/>
              </w:rPr>
            </w:pPr>
          </w:p>
        </w:tc>
        <w:tc>
          <w:tcPr>
            <w:tcW w:w="1220" w:type="dxa"/>
            <w:vAlign w:val="bottom"/>
            <w:tcBorders>
              <w:bottom w:val="single" w:sz="8" w:color="5D89B4"/>
            </w:tcBorders>
          </w:tcPr>
          <w:p>
            <w:pPr>
              <w:spacing w:after="0"/>
              <w:rPr>
                <w:sz w:val="5"/>
                <w:szCs w:val="5"/>
                <w:color w:val="auto"/>
              </w:rPr>
            </w:pPr>
          </w:p>
        </w:tc>
        <w:tc>
          <w:tcPr>
            <w:tcW w:w="880" w:type="dxa"/>
            <w:vAlign w:val="bottom"/>
            <w:tcBorders>
              <w:bottom w:val="single" w:sz="8" w:color="5D89B4"/>
            </w:tcBorders>
          </w:tcPr>
          <w:p>
            <w:pPr>
              <w:spacing w:after="0"/>
              <w:rPr>
                <w:sz w:val="5"/>
                <w:szCs w:val="5"/>
                <w:color w:val="auto"/>
              </w:rPr>
            </w:pPr>
          </w:p>
        </w:tc>
      </w:tr>
      <w:tr>
        <w:trPr>
          <w:trHeight w:val="159"/>
        </w:trPr>
        <w:tc>
          <w:tcPr>
            <w:tcW w:w="25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Michelle S. Nettles</w:t>
            </w:r>
          </w:p>
        </w:tc>
        <w:tc>
          <w:tcPr>
            <w:tcW w:w="620" w:type="dxa"/>
            <w:vAlign w:val="bottom"/>
          </w:tcPr>
          <w:p>
            <w:pPr>
              <w:jc w:val="right"/>
              <w:ind w:right="50"/>
              <w:spacing w:after="0" w:line="159" w:lineRule="exact"/>
              <w:rPr>
                <w:sz w:val="20"/>
                <w:szCs w:val="20"/>
                <w:color w:val="auto"/>
              </w:rPr>
            </w:pPr>
            <w:r>
              <w:rPr>
                <w:rFonts w:ascii="Arial" w:cs="Arial" w:eastAsia="Arial" w:hAnsi="Arial"/>
                <w:sz w:val="14"/>
                <w:szCs w:val="14"/>
                <w:color w:val="auto"/>
              </w:rPr>
              <w:t>2021</w:t>
            </w: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566,500</w:t>
            </w: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3"/>
              <w:spacing w:after="0" w:line="159" w:lineRule="exact"/>
              <w:rPr>
                <w:sz w:val="20"/>
                <w:szCs w:val="20"/>
                <w:color w:val="auto"/>
              </w:rPr>
            </w:pPr>
            <w:r>
              <w:rPr>
                <w:rFonts w:ascii="Arial" w:cs="Arial" w:eastAsia="Arial" w:hAnsi="Arial"/>
                <w:sz w:val="14"/>
                <w:szCs w:val="14"/>
                <w:color w:val="auto"/>
              </w:rPr>
              <w:t>800,131</w:t>
            </w:r>
          </w:p>
        </w:tc>
        <w:tc>
          <w:tcPr>
            <w:tcW w:w="840" w:type="dxa"/>
            <w:vAlign w:val="bottom"/>
          </w:tcPr>
          <w:p>
            <w:pPr>
              <w:jc w:val="right"/>
              <w:ind w:right="13"/>
              <w:spacing w:after="0" w:line="159" w:lineRule="exact"/>
              <w:rPr>
                <w:sz w:val="20"/>
                <w:szCs w:val="20"/>
                <w:color w:val="auto"/>
              </w:rPr>
            </w:pPr>
            <w:r>
              <w:rPr>
                <w:rFonts w:ascii="Arial" w:cs="Arial" w:eastAsia="Arial" w:hAnsi="Arial"/>
                <w:sz w:val="14"/>
                <w:szCs w:val="14"/>
                <w:color w:val="auto"/>
              </w:rPr>
              <w:t>200,014</w:t>
            </w:r>
          </w:p>
        </w:tc>
        <w:tc>
          <w:tcPr>
            <w:tcW w:w="1240" w:type="dxa"/>
            <w:vAlign w:val="bottom"/>
          </w:tcPr>
          <w:p>
            <w:pPr>
              <w:jc w:val="right"/>
              <w:ind w:right="33"/>
              <w:spacing w:after="0" w:line="159" w:lineRule="exact"/>
              <w:rPr>
                <w:sz w:val="20"/>
                <w:szCs w:val="20"/>
                <w:color w:val="auto"/>
              </w:rPr>
            </w:pPr>
            <w:r>
              <w:rPr>
                <w:rFonts w:ascii="Arial" w:cs="Arial" w:eastAsia="Arial" w:hAnsi="Arial"/>
                <w:sz w:val="14"/>
                <w:szCs w:val="14"/>
                <w:color w:val="auto"/>
              </w:rPr>
              <w:t>754,181</w:t>
            </w:r>
          </w:p>
        </w:tc>
        <w:tc>
          <w:tcPr>
            <w:tcW w:w="1200" w:type="dxa"/>
            <w:vAlign w:val="bottom"/>
          </w:tcPr>
          <w:p>
            <w:pPr>
              <w:jc w:val="right"/>
              <w:ind w:right="35"/>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59" w:lineRule="exact"/>
              <w:rPr>
                <w:sz w:val="20"/>
                <w:szCs w:val="20"/>
                <w:color w:val="auto"/>
              </w:rPr>
            </w:pPr>
            <w:r>
              <w:rPr>
                <w:rFonts w:ascii="Arial" w:cs="Arial" w:eastAsia="Arial" w:hAnsi="Arial"/>
                <w:sz w:val="14"/>
                <w:szCs w:val="14"/>
                <w:color w:val="auto"/>
              </w:rPr>
              <w:t>46,427</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2,367,253</w:t>
            </w:r>
          </w:p>
        </w:tc>
      </w:tr>
      <w:tr>
        <w:trPr>
          <w:trHeight w:val="171"/>
        </w:trPr>
        <w:tc>
          <w:tcPr>
            <w:tcW w:w="2540" w:type="dxa"/>
            <w:vAlign w:val="bottom"/>
          </w:tcPr>
          <w:p>
            <w:pPr>
              <w:ind w:left="80"/>
              <w:spacing w:after="0"/>
              <w:rPr>
                <w:sz w:val="20"/>
                <w:szCs w:val="20"/>
                <w:color w:val="auto"/>
              </w:rPr>
            </w:pPr>
            <w:r>
              <w:rPr>
                <w:rFonts w:ascii="Arial" w:cs="Arial" w:eastAsia="Arial" w:hAnsi="Arial"/>
                <w:sz w:val="14"/>
                <w:szCs w:val="14"/>
                <w:color w:val="333333"/>
              </w:rPr>
              <w:t>Chief People and Culture Officer</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5"/>
        </w:trPr>
        <w:tc>
          <w:tcPr>
            <w:tcW w:w="2540" w:type="dxa"/>
            <w:vAlign w:val="bottom"/>
            <w:tcBorders>
              <w:bottom w:val="single" w:sz="8" w:color="5D89B4"/>
            </w:tcBorders>
          </w:tcPr>
          <w:p>
            <w:pPr>
              <w:spacing w:after="0"/>
              <w:rPr>
                <w:sz w:val="5"/>
                <w:szCs w:val="5"/>
                <w:color w:val="auto"/>
              </w:rPr>
            </w:pPr>
          </w:p>
        </w:tc>
        <w:tc>
          <w:tcPr>
            <w:tcW w:w="620" w:type="dxa"/>
            <w:vAlign w:val="bottom"/>
            <w:tcBorders>
              <w:bottom w:val="single" w:sz="8" w:color="5D89B4"/>
            </w:tcBorders>
          </w:tcPr>
          <w:p>
            <w:pPr>
              <w:spacing w:after="0"/>
              <w:rPr>
                <w:sz w:val="5"/>
                <w:szCs w:val="5"/>
                <w:color w:val="auto"/>
              </w:rPr>
            </w:pPr>
          </w:p>
        </w:tc>
        <w:tc>
          <w:tcPr>
            <w:tcW w:w="840" w:type="dxa"/>
            <w:vAlign w:val="bottom"/>
            <w:tcBorders>
              <w:bottom w:val="single" w:sz="8" w:color="5D89B4"/>
            </w:tcBorders>
          </w:tcPr>
          <w:p>
            <w:pPr>
              <w:spacing w:after="0"/>
              <w:rPr>
                <w:sz w:val="5"/>
                <w:szCs w:val="5"/>
                <w:color w:val="auto"/>
              </w:rPr>
            </w:pPr>
          </w:p>
        </w:tc>
        <w:tc>
          <w:tcPr>
            <w:tcW w:w="680" w:type="dxa"/>
            <w:vAlign w:val="bottom"/>
            <w:tcBorders>
              <w:bottom w:val="single" w:sz="8" w:color="5D89B4"/>
            </w:tcBorders>
          </w:tcPr>
          <w:p>
            <w:pPr>
              <w:spacing w:after="0"/>
              <w:rPr>
                <w:sz w:val="5"/>
                <w:szCs w:val="5"/>
                <w:color w:val="auto"/>
              </w:rPr>
            </w:pPr>
          </w:p>
        </w:tc>
        <w:tc>
          <w:tcPr>
            <w:tcW w:w="860" w:type="dxa"/>
            <w:vAlign w:val="bottom"/>
            <w:tcBorders>
              <w:bottom w:val="single" w:sz="8" w:color="5D89B4"/>
            </w:tcBorders>
          </w:tcPr>
          <w:p>
            <w:pPr>
              <w:spacing w:after="0"/>
              <w:rPr>
                <w:sz w:val="5"/>
                <w:szCs w:val="5"/>
                <w:color w:val="auto"/>
              </w:rPr>
            </w:pPr>
          </w:p>
        </w:tc>
        <w:tc>
          <w:tcPr>
            <w:tcW w:w="840" w:type="dxa"/>
            <w:vAlign w:val="bottom"/>
            <w:tcBorders>
              <w:bottom w:val="single" w:sz="8" w:color="5D89B4"/>
            </w:tcBorders>
          </w:tcPr>
          <w:p>
            <w:pPr>
              <w:spacing w:after="0"/>
              <w:rPr>
                <w:sz w:val="5"/>
                <w:szCs w:val="5"/>
                <w:color w:val="auto"/>
              </w:rPr>
            </w:pPr>
          </w:p>
        </w:tc>
        <w:tc>
          <w:tcPr>
            <w:tcW w:w="1240" w:type="dxa"/>
            <w:vAlign w:val="bottom"/>
            <w:tcBorders>
              <w:bottom w:val="single" w:sz="8" w:color="5D89B4"/>
            </w:tcBorders>
          </w:tcPr>
          <w:p>
            <w:pPr>
              <w:spacing w:after="0"/>
              <w:rPr>
                <w:sz w:val="5"/>
                <w:szCs w:val="5"/>
                <w:color w:val="auto"/>
              </w:rPr>
            </w:pPr>
          </w:p>
        </w:tc>
        <w:tc>
          <w:tcPr>
            <w:tcW w:w="1200" w:type="dxa"/>
            <w:vAlign w:val="bottom"/>
            <w:tcBorders>
              <w:bottom w:val="single" w:sz="8" w:color="5D89B4"/>
            </w:tcBorders>
          </w:tcPr>
          <w:p>
            <w:pPr>
              <w:spacing w:after="0"/>
              <w:rPr>
                <w:sz w:val="5"/>
                <w:szCs w:val="5"/>
                <w:color w:val="auto"/>
              </w:rPr>
            </w:pPr>
          </w:p>
        </w:tc>
        <w:tc>
          <w:tcPr>
            <w:tcW w:w="1220" w:type="dxa"/>
            <w:vAlign w:val="bottom"/>
            <w:tcBorders>
              <w:bottom w:val="single" w:sz="8" w:color="5D89B4"/>
            </w:tcBorders>
          </w:tcPr>
          <w:p>
            <w:pPr>
              <w:spacing w:after="0"/>
              <w:rPr>
                <w:sz w:val="5"/>
                <w:szCs w:val="5"/>
                <w:color w:val="auto"/>
              </w:rPr>
            </w:pPr>
          </w:p>
        </w:tc>
        <w:tc>
          <w:tcPr>
            <w:tcW w:w="880" w:type="dxa"/>
            <w:vAlign w:val="bottom"/>
            <w:tcBorders>
              <w:bottom w:val="single" w:sz="8" w:color="5D89B4"/>
            </w:tcBorders>
          </w:tcPr>
          <w:p>
            <w:pPr>
              <w:spacing w:after="0"/>
              <w:rPr>
                <w:sz w:val="5"/>
                <w:szCs w:val="5"/>
                <w:color w:val="auto"/>
              </w:rPr>
            </w:pPr>
          </w:p>
        </w:tc>
      </w:tr>
      <w:tr>
        <w:trPr>
          <w:trHeight w:val="159"/>
        </w:trPr>
        <w:tc>
          <w:tcPr>
            <w:tcW w:w="25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Richard Buchband</w:t>
            </w:r>
          </w:p>
        </w:tc>
        <w:tc>
          <w:tcPr>
            <w:tcW w:w="620" w:type="dxa"/>
            <w:vAlign w:val="bottom"/>
          </w:tcPr>
          <w:p>
            <w:pPr>
              <w:jc w:val="right"/>
              <w:ind w:right="50"/>
              <w:spacing w:after="0" w:line="159" w:lineRule="exact"/>
              <w:rPr>
                <w:sz w:val="20"/>
                <w:szCs w:val="20"/>
                <w:color w:val="auto"/>
              </w:rPr>
            </w:pPr>
            <w:r>
              <w:rPr>
                <w:rFonts w:ascii="Arial" w:cs="Arial" w:eastAsia="Arial" w:hAnsi="Arial"/>
                <w:sz w:val="14"/>
                <w:szCs w:val="14"/>
                <w:color w:val="auto"/>
              </w:rPr>
              <w:t>2021</w:t>
            </w: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540,750</w:t>
            </w:r>
          </w:p>
        </w:tc>
        <w:tc>
          <w:tcPr>
            <w:tcW w:w="6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3"/>
              <w:spacing w:after="0" w:line="159" w:lineRule="exact"/>
              <w:rPr>
                <w:sz w:val="20"/>
                <w:szCs w:val="20"/>
                <w:color w:val="auto"/>
              </w:rPr>
            </w:pPr>
            <w:r>
              <w:rPr>
                <w:rFonts w:ascii="Arial" w:cs="Arial" w:eastAsia="Arial" w:hAnsi="Arial"/>
                <w:sz w:val="14"/>
                <w:szCs w:val="14"/>
                <w:color w:val="auto"/>
              </w:rPr>
              <w:t>640,031</w:t>
            </w:r>
          </w:p>
        </w:tc>
        <w:tc>
          <w:tcPr>
            <w:tcW w:w="840" w:type="dxa"/>
            <w:vAlign w:val="bottom"/>
          </w:tcPr>
          <w:p>
            <w:pPr>
              <w:jc w:val="right"/>
              <w:ind w:right="13"/>
              <w:spacing w:after="0" w:line="159" w:lineRule="exact"/>
              <w:rPr>
                <w:sz w:val="20"/>
                <w:szCs w:val="20"/>
                <w:color w:val="auto"/>
              </w:rPr>
            </w:pPr>
            <w:r>
              <w:rPr>
                <w:rFonts w:ascii="Arial" w:cs="Arial" w:eastAsia="Arial" w:hAnsi="Arial"/>
                <w:sz w:val="14"/>
                <w:szCs w:val="14"/>
                <w:color w:val="auto"/>
              </w:rPr>
              <w:t>160,015</w:t>
            </w:r>
          </w:p>
        </w:tc>
        <w:tc>
          <w:tcPr>
            <w:tcW w:w="1240" w:type="dxa"/>
            <w:vAlign w:val="bottom"/>
          </w:tcPr>
          <w:p>
            <w:pPr>
              <w:jc w:val="right"/>
              <w:ind w:right="33"/>
              <w:spacing w:after="0" w:line="159" w:lineRule="exact"/>
              <w:rPr>
                <w:sz w:val="20"/>
                <w:szCs w:val="20"/>
                <w:color w:val="auto"/>
              </w:rPr>
            </w:pPr>
            <w:r>
              <w:rPr>
                <w:rFonts w:ascii="Arial" w:cs="Arial" w:eastAsia="Arial" w:hAnsi="Arial"/>
                <w:sz w:val="14"/>
                <w:szCs w:val="14"/>
                <w:color w:val="auto"/>
              </w:rPr>
              <w:t>719,900</w:t>
            </w:r>
          </w:p>
        </w:tc>
        <w:tc>
          <w:tcPr>
            <w:tcW w:w="1200" w:type="dxa"/>
            <w:vAlign w:val="bottom"/>
          </w:tcPr>
          <w:p>
            <w:pPr>
              <w:jc w:val="right"/>
              <w:ind w:right="35"/>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59" w:lineRule="exact"/>
              <w:rPr>
                <w:sz w:val="20"/>
                <w:szCs w:val="20"/>
                <w:color w:val="auto"/>
              </w:rPr>
            </w:pPr>
            <w:r>
              <w:rPr>
                <w:rFonts w:ascii="Arial" w:cs="Arial" w:eastAsia="Arial" w:hAnsi="Arial"/>
                <w:sz w:val="14"/>
                <w:szCs w:val="14"/>
                <w:color w:val="auto"/>
              </w:rPr>
              <w:t>74,218</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2,134,914</w:t>
            </w:r>
          </w:p>
        </w:tc>
      </w:tr>
      <w:tr>
        <w:trPr>
          <w:trHeight w:val="160"/>
        </w:trPr>
        <w:tc>
          <w:tcPr>
            <w:tcW w:w="2540" w:type="dxa"/>
            <w:vAlign w:val="bottom"/>
          </w:tcPr>
          <w:p>
            <w:pPr>
              <w:ind w:left="80"/>
              <w:spacing w:after="0"/>
              <w:rPr>
                <w:sz w:val="20"/>
                <w:szCs w:val="20"/>
                <w:color w:val="auto"/>
              </w:rPr>
            </w:pPr>
            <w:r>
              <w:rPr>
                <w:rFonts w:ascii="Arial" w:cs="Arial" w:eastAsia="Arial" w:hAnsi="Arial"/>
                <w:sz w:val="14"/>
                <w:szCs w:val="14"/>
                <w:color w:val="333333"/>
              </w:rPr>
              <w:t>SVP, General Counsel and</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2540" w:type="dxa"/>
            <w:vAlign w:val="bottom"/>
          </w:tcPr>
          <w:p>
            <w:pPr>
              <w:ind w:left="80"/>
              <w:spacing w:after="0"/>
              <w:rPr>
                <w:sz w:val="20"/>
                <w:szCs w:val="20"/>
                <w:color w:val="auto"/>
              </w:rPr>
            </w:pPr>
            <w:r>
              <w:rPr>
                <w:rFonts w:ascii="Arial" w:cs="Arial" w:eastAsia="Arial" w:hAnsi="Arial"/>
                <w:sz w:val="14"/>
                <w:szCs w:val="14"/>
                <w:color w:val="333333"/>
              </w:rPr>
              <w:t>Secretary</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5"/>
        </w:trPr>
        <w:tc>
          <w:tcPr>
            <w:tcW w:w="2540" w:type="dxa"/>
            <w:vAlign w:val="bottom"/>
            <w:tcBorders>
              <w:bottom w:val="single" w:sz="8" w:color="5D89B4"/>
            </w:tcBorders>
          </w:tcPr>
          <w:p>
            <w:pPr>
              <w:spacing w:after="0"/>
              <w:rPr>
                <w:sz w:val="5"/>
                <w:szCs w:val="5"/>
                <w:color w:val="auto"/>
              </w:rPr>
            </w:pPr>
          </w:p>
        </w:tc>
        <w:tc>
          <w:tcPr>
            <w:tcW w:w="620" w:type="dxa"/>
            <w:vAlign w:val="bottom"/>
            <w:tcBorders>
              <w:bottom w:val="single" w:sz="8" w:color="5D89B4"/>
            </w:tcBorders>
          </w:tcPr>
          <w:p>
            <w:pPr>
              <w:spacing w:after="0"/>
              <w:rPr>
                <w:sz w:val="5"/>
                <w:szCs w:val="5"/>
                <w:color w:val="auto"/>
              </w:rPr>
            </w:pPr>
          </w:p>
        </w:tc>
        <w:tc>
          <w:tcPr>
            <w:tcW w:w="840" w:type="dxa"/>
            <w:vAlign w:val="bottom"/>
            <w:tcBorders>
              <w:bottom w:val="single" w:sz="8" w:color="5D89B4"/>
            </w:tcBorders>
          </w:tcPr>
          <w:p>
            <w:pPr>
              <w:spacing w:after="0"/>
              <w:rPr>
                <w:sz w:val="5"/>
                <w:szCs w:val="5"/>
                <w:color w:val="auto"/>
              </w:rPr>
            </w:pPr>
          </w:p>
        </w:tc>
        <w:tc>
          <w:tcPr>
            <w:tcW w:w="680" w:type="dxa"/>
            <w:vAlign w:val="bottom"/>
            <w:tcBorders>
              <w:bottom w:val="single" w:sz="8" w:color="5D89B4"/>
            </w:tcBorders>
          </w:tcPr>
          <w:p>
            <w:pPr>
              <w:spacing w:after="0"/>
              <w:rPr>
                <w:sz w:val="5"/>
                <w:szCs w:val="5"/>
                <w:color w:val="auto"/>
              </w:rPr>
            </w:pPr>
          </w:p>
        </w:tc>
        <w:tc>
          <w:tcPr>
            <w:tcW w:w="860" w:type="dxa"/>
            <w:vAlign w:val="bottom"/>
            <w:tcBorders>
              <w:bottom w:val="single" w:sz="8" w:color="5D89B4"/>
            </w:tcBorders>
          </w:tcPr>
          <w:p>
            <w:pPr>
              <w:spacing w:after="0"/>
              <w:rPr>
                <w:sz w:val="5"/>
                <w:szCs w:val="5"/>
                <w:color w:val="auto"/>
              </w:rPr>
            </w:pPr>
          </w:p>
        </w:tc>
        <w:tc>
          <w:tcPr>
            <w:tcW w:w="840" w:type="dxa"/>
            <w:vAlign w:val="bottom"/>
            <w:tcBorders>
              <w:bottom w:val="single" w:sz="8" w:color="5D89B4"/>
            </w:tcBorders>
          </w:tcPr>
          <w:p>
            <w:pPr>
              <w:spacing w:after="0"/>
              <w:rPr>
                <w:sz w:val="5"/>
                <w:szCs w:val="5"/>
                <w:color w:val="auto"/>
              </w:rPr>
            </w:pPr>
          </w:p>
        </w:tc>
        <w:tc>
          <w:tcPr>
            <w:tcW w:w="1240" w:type="dxa"/>
            <w:vAlign w:val="bottom"/>
            <w:tcBorders>
              <w:bottom w:val="single" w:sz="8" w:color="5D89B4"/>
            </w:tcBorders>
          </w:tcPr>
          <w:p>
            <w:pPr>
              <w:spacing w:after="0"/>
              <w:rPr>
                <w:sz w:val="5"/>
                <w:szCs w:val="5"/>
                <w:color w:val="auto"/>
              </w:rPr>
            </w:pPr>
          </w:p>
        </w:tc>
        <w:tc>
          <w:tcPr>
            <w:tcW w:w="1200" w:type="dxa"/>
            <w:vAlign w:val="bottom"/>
            <w:tcBorders>
              <w:bottom w:val="single" w:sz="8" w:color="5D89B4"/>
            </w:tcBorders>
          </w:tcPr>
          <w:p>
            <w:pPr>
              <w:spacing w:after="0"/>
              <w:rPr>
                <w:sz w:val="5"/>
                <w:szCs w:val="5"/>
                <w:color w:val="auto"/>
              </w:rPr>
            </w:pPr>
          </w:p>
        </w:tc>
        <w:tc>
          <w:tcPr>
            <w:tcW w:w="1220" w:type="dxa"/>
            <w:vAlign w:val="bottom"/>
            <w:tcBorders>
              <w:bottom w:val="single" w:sz="8" w:color="5D89B4"/>
            </w:tcBorders>
          </w:tcPr>
          <w:p>
            <w:pPr>
              <w:spacing w:after="0"/>
              <w:rPr>
                <w:sz w:val="5"/>
                <w:szCs w:val="5"/>
                <w:color w:val="auto"/>
              </w:rPr>
            </w:pPr>
          </w:p>
        </w:tc>
        <w:tc>
          <w:tcPr>
            <w:tcW w:w="880" w:type="dxa"/>
            <w:vAlign w:val="bottom"/>
            <w:tcBorders>
              <w:bottom w:val="single" w:sz="8" w:color="5D89B4"/>
            </w:tcBorders>
          </w:tcPr>
          <w:p>
            <w:pPr>
              <w:spacing w:after="0"/>
              <w:rPr>
                <w:sz w:val="5"/>
                <w:szCs w:val="5"/>
                <w:color w:val="auto"/>
              </w:rPr>
            </w:pPr>
          </w:p>
        </w:tc>
      </w:tr>
      <w:tr>
        <w:trPr>
          <w:trHeight w:val="167"/>
        </w:trPr>
        <w:tc>
          <w:tcPr>
            <w:tcW w:w="2540" w:type="dxa"/>
            <w:vAlign w:val="bottom"/>
            <w:tcBorders>
              <w:bottom w:val="single" w:sz="8" w:color="5D89B4"/>
            </w:tcBorders>
          </w:tcPr>
          <w:p>
            <w:pPr>
              <w:spacing w:after="0"/>
              <w:rPr>
                <w:sz w:val="14"/>
                <w:szCs w:val="14"/>
                <w:color w:val="auto"/>
              </w:rPr>
            </w:pPr>
          </w:p>
        </w:tc>
        <w:tc>
          <w:tcPr>
            <w:tcW w:w="620" w:type="dxa"/>
            <w:vAlign w:val="bottom"/>
            <w:tcBorders>
              <w:bottom w:val="single" w:sz="8" w:color="5D89B4"/>
            </w:tcBorders>
          </w:tcPr>
          <w:p>
            <w:pPr>
              <w:spacing w:after="0"/>
              <w:rPr>
                <w:sz w:val="14"/>
                <w:szCs w:val="14"/>
                <w:color w:val="auto"/>
              </w:rPr>
            </w:pPr>
          </w:p>
        </w:tc>
        <w:tc>
          <w:tcPr>
            <w:tcW w:w="840" w:type="dxa"/>
            <w:vAlign w:val="bottom"/>
            <w:tcBorders>
              <w:bottom w:val="single" w:sz="8" w:color="5D89B4"/>
            </w:tcBorders>
          </w:tcPr>
          <w:p>
            <w:pPr>
              <w:spacing w:after="0"/>
              <w:rPr>
                <w:sz w:val="14"/>
                <w:szCs w:val="14"/>
                <w:color w:val="auto"/>
              </w:rPr>
            </w:pPr>
          </w:p>
        </w:tc>
        <w:tc>
          <w:tcPr>
            <w:tcW w:w="680" w:type="dxa"/>
            <w:vAlign w:val="bottom"/>
            <w:tcBorders>
              <w:bottom w:val="single" w:sz="8" w:color="5D89B4"/>
            </w:tcBorders>
          </w:tcPr>
          <w:p>
            <w:pPr>
              <w:spacing w:after="0"/>
              <w:rPr>
                <w:sz w:val="14"/>
                <w:szCs w:val="14"/>
                <w:color w:val="auto"/>
              </w:rPr>
            </w:pPr>
          </w:p>
        </w:tc>
        <w:tc>
          <w:tcPr>
            <w:tcW w:w="860" w:type="dxa"/>
            <w:vAlign w:val="bottom"/>
            <w:tcBorders>
              <w:bottom w:val="single" w:sz="8" w:color="5D89B4"/>
            </w:tcBorders>
          </w:tcPr>
          <w:p>
            <w:pPr>
              <w:spacing w:after="0"/>
              <w:rPr>
                <w:sz w:val="14"/>
                <w:szCs w:val="14"/>
                <w:color w:val="auto"/>
              </w:rPr>
            </w:pPr>
          </w:p>
        </w:tc>
        <w:tc>
          <w:tcPr>
            <w:tcW w:w="840" w:type="dxa"/>
            <w:vAlign w:val="bottom"/>
            <w:tcBorders>
              <w:bottom w:val="single" w:sz="8" w:color="5D89B4"/>
            </w:tcBorders>
          </w:tcPr>
          <w:p>
            <w:pPr>
              <w:spacing w:after="0"/>
              <w:rPr>
                <w:sz w:val="14"/>
                <w:szCs w:val="14"/>
                <w:color w:val="auto"/>
              </w:rPr>
            </w:pPr>
          </w:p>
        </w:tc>
        <w:tc>
          <w:tcPr>
            <w:tcW w:w="1240" w:type="dxa"/>
            <w:vAlign w:val="bottom"/>
            <w:tcBorders>
              <w:bottom w:val="single" w:sz="8" w:color="5D89B4"/>
            </w:tcBorders>
          </w:tcPr>
          <w:p>
            <w:pPr>
              <w:spacing w:after="0"/>
              <w:rPr>
                <w:sz w:val="14"/>
                <w:szCs w:val="14"/>
                <w:color w:val="auto"/>
              </w:rPr>
            </w:pPr>
          </w:p>
        </w:tc>
        <w:tc>
          <w:tcPr>
            <w:tcW w:w="1200" w:type="dxa"/>
            <w:vAlign w:val="bottom"/>
            <w:tcBorders>
              <w:bottom w:val="single" w:sz="8" w:color="5D89B4"/>
            </w:tcBorders>
          </w:tcPr>
          <w:p>
            <w:pPr>
              <w:spacing w:after="0"/>
              <w:rPr>
                <w:sz w:val="14"/>
                <w:szCs w:val="14"/>
                <w:color w:val="auto"/>
              </w:rPr>
            </w:pPr>
          </w:p>
        </w:tc>
        <w:tc>
          <w:tcPr>
            <w:tcW w:w="1220" w:type="dxa"/>
            <w:vAlign w:val="bottom"/>
            <w:tcBorders>
              <w:bottom w:val="single" w:sz="8" w:color="5D89B4"/>
            </w:tcBorders>
          </w:tcPr>
          <w:p>
            <w:pPr>
              <w:spacing w:after="0"/>
              <w:rPr>
                <w:sz w:val="14"/>
                <w:szCs w:val="14"/>
                <w:color w:val="auto"/>
              </w:rPr>
            </w:pPr>
          </w:p>
        </w:tc>
        <w:tc>
          <w:tcPr>
            <w:tcW w:w="880" w:type="dxa"/>
            <w:vAlign w:val="bottom"/>
            <w:tcBorders>
              <w:bottom w:val="single" w:sz="8" w:color="5D89B4"/>
            </w:tcBorders>
          </w:tcPr>
          <w:p>
            <w:pPr>
              <w:spacing w:after="0"/>
              <w:rPr>
                <w:sz w:val="14"/>
                <w:szCs w:val="14"/>
                <w:color w:val="auto"/>
              </w:rPr>
            </w:pPr>
          </w:p>
        </w:tc>
      </w:tr>
    </w:tbl>
    <w:p>
      <w:pPr>
        <w:spacing w:after="0" w:line="10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50</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Grants of Plan-Based Awards in 2021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72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58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560" w:type="dxa"/>
            <w:vAlign w:val="bottom"/>
            <w:shd w:val="clear" w:color="auto" w:fill="EAEAEA"/>
          </w:tcPr>
          <w:p>
            <w:pPr>
              <w:spacing w:after="0"/>
              <w:rPr>
                <w:sz w:val="14"/>
                <w:szCs w:val="14"/>
                <w:color w:val="auto"/>
              </w:rPr>
            </w:pPr>
          </w:p>
        </w:tc>
        <w:tc>
          <w:tcPr>
            <w:tcW w:w="600" w:type="dxa"/>
            <w:vAlign w:val="bottom"/>
            <w:shd w:val="clear" w:color="auto" w:fill="EAEAEA"/>
          </w:tcPr>
          <w:p>
            <w:pPr>
              <w:spacing w:after="0"/>
              <w:rPr>
                <w:sz w:val="14"/>
                <w:szCs w:val="14"/>
                <w:color w:val="auto"/>
              </w:rPr>
            </w:pPr>
          </w:p>
        </w:tc>
        <w:tc>
          <w:tcPr>
            <w:tcW w:w="60" w:type="dxa"/>
            <w:vAlign w:val="bottom"/>
            <w:shd w:val="clear" w:color="auto" w:fill="EAEAEA"/>
          </w:tcPr>
          <w:p>
            <w:pPr>
              <w:spacing w:after="0"/>
              <w:rPr>
                <w:sz w:val="14"/>
                <w:szCs w:val="14"/>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ALL</w:t>
            </w:r>
          </w:p>
        </w:tc>
        <w:tc>
          <w:tcPr>
            <w:tcW w:w="840" w:type="dxa"/>
            <w:vAlign w:val="bottom"/>
            <w:shd w:val="clear" w:color="auto" w:fill="EAEAEA"/>
          </w:tcPr>
          <w:p>
            <w:pPr>
              <w:spacing w:after="0"/>
              <w:rPr>
                <w:sz w:val="14"/>
                <w:szCs w:val="14"/>
                <w:color w:val="auto"/>
              </w:rPr>
            </w:pPr>
          </w:p>
        </w:tc>
        <w:tc>
          <w:tcPr>
            <w:tcW w:w="680" w:type="dxa"/>
            <w:vAlign w:val="bottom"/>
            <w:shd w:val="clear" w:color="auto" w:fill="EAEAEA"/>
          </w:tcPr>
          <w:p>
            <w:pPr>
              <w:spacing w:after="0"/>
              <w:rPr>
                <w:sz w:val="14"/>
                <w:szCs w:val="14"/>
                <w:color w:val="auto"/>
              </w:rPr>
            </w:pPr>
          </w:p>
        </w:tc>
        <w:tc>
          <w:tcPr>
            <w:tcW w:w="6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GRANT</w:t>
            </w:r>
          </w:p>
        </w:tc>
        <w:tc>
          <w:tcPr>
            <w:tcW w:w="0" w:type="dxa"/>
            <w:vAlign w:val="bottom"/>
          </w:tcPr>
          <w:p>
            <w:pPr>
              <w:spacing w:after="0"/>
              <w:rPr>
                <w:sz w:val="1"/>
                <w:szCs w:val="1"/>
                <w:color w:val="auto"/>
              </w:rPr>
            </w:pPr>
          </w:p>
        </w:tc>
      </w:tr>
      <w:tr>
        <w:trPr>
          <w:trHeight w:val="120"/>
        </w:trPr>
        <w:tc>
          <w:tcPr>
            <w:tcW w:w="29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5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OTHER</w:t>
            </w:r>
          </w:p>
        </w:tc>
        <w:tc>
          <w:tcPr>
            <w:tcW w:w="84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ALL OTHER</w:t>
            </w:r>
          </w:p>
        </w:tc>
        <w:tc>
          <w:tcPr>
            <w:tcW w:w="680" w:type="dxa"/>
            <w:vAlign w:val="bottom"/>
            <w:shd w:val="clear" w:color="auto" w:fill="EAEAEA"/>
          </w:tcPr>
          <w:p>
            <w:pPr>
              <w:spacing w:after="0"/>
              <w:rPr>
                <w:sz w:val="10"/>
                <w:szCs w:val="10"/>
                <w:color w:val="auto"/>
              </w:rPr>
            </w:pP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DATE</w:t>
            </w:r>
          </w:p>
        </w:tc>
        <w:tc>
          <w:tcPr>
            <w:tcW w:w="0" w:type="dxa"/>
            <w:vAlign w:val="bottom"/>
          </w:tcPr>
          <w:p>
            <w:pPr>
              <w:spacing w:after="0"/>
              <w:rPr>
                <w:sz w:val="1"/>
                <w:szCs w:val="1"/>
                <w:color w:val="auto"/>
              </w:rPr>
            </w:pPr>
          </w:p>
        </w:tc>
      </w:tr>
      <w:tr>
        <w:trPr>
          <w:trHeight w:val="120"/>
        </w:trPr>
        <w:tc>
          <w:tcPr>
            <w:tcW w:w="29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5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STOCK</w:t>
            </w:r>
          </w:p>
        </w:tc>
        <w:tc>
          <w:tcPr>
            <w:tcW w:w="84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OPTION</w:t>
            </w:r>
          </w:p>
        </w:tc>
        <w:tc>
          <w:tcPr>
            <w:tcW w:w="680" w:type="dxa"/>
            <w:vAlign w:val="bottom"/>
            <w:shd w:val="clear" w:color="auto" w:fill="EAEAEA"/>
          </w:tcPr>
          <w:p>
            <w:pPr>
              <w:spacing w:after="0"/>
              <w:rPr>
                <w:sz w:val="10"/>
                <w:szCs w:val="10"/>
                <w:color w:val="auto"/>
              </w:rPr>
            </w:pP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FAIR</w:t>
            </w:r>
          </w:p>
        </w:tc>
        <w:tc>
          <w:tcPr>
            <w:tcW w:w="0" w:type="dxa"/>
            <w:vAlign w:val="bottom"/>
          </w:tcPr>
          <w:p>
            <w:pPr>
              <w:spacing w:after="0"/>
              <w:rPr>
                <w:sz w:val="1"/>
                <w:szCs w:val="1"/>
                <w:color w:val="auto"/>
              </w:rPr>
            </w:pPr>
          </w:p>
        </w:tc>
      </w:tr>
      <w:tr>
        <w:trPr>
          <w:trHeight w:val="120"/>
        </w:trPr>
        <w:tc>
          <w:tcPr>
            <w:tcW w:w="29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5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560" w:type="dxa"/>
            <w:vAlign w:val="bottom"/>
            <w:shd w:val="clear" w:color="auto" w:fill="EAEAEA"/>
          </w:tcPr>
          <w:p>
            <w:pPr>
              <w:spacing w:after="0"/>
              <w:rPr>
                <w:sz w:val="10"/>
                <w:szCs w:val="10"/>
                <w:color w:val="auto"/>
              </w:rPr>
            </w:pPr>
          </w:p>
        </w:tc>
        <w:tc>
          <w:tcPr>
            <w:tcW w:w="6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AWARDS:</w:t>
            </w:r>
          </w:p>
        </w:tc>
        <w:tc>
          <w:tcPr>
            <w:tcW w:w="84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AWARDS:</w:t>
            </w:r>
          </w:p>
        </w:tc>
        <w:tc>
          <w:tcPr>
            <w:tcW w:w="68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EXERCISE</w:t>
            </w: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VALUE OF</w:t>
            </w:r>
          </w:p>
        </w:tc>
        <w:tc>
          <w:tcPr>
            <w:tcW w:w="0" w:type="dxa"/>
            <w:vAlign w:val="bottom"/>
          </w:tcPr>
          <w:p>
            <w:pPr>
              <w:spacing w:after="0"/>
              <w:rPr>
                <w:sz w:val="1"/>
                <w:szCs w:val="1"/>
                <w:color w:val="auto"/>
              </w:rPr>
            </w:pPr>
          </w:p>
        </w:tc>
      </w:tr>
      <w:tr>
        <w:trPr>
          <w:trHeight w:val="122"/>
        </w:trPr>
        <w:tc>
          <w:tcPr>
            <w:tcW w:w="29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2220" w:type="dxa"/>
            <w:vAlign w:val="bottom"/>
            <w:gridSpan w:val="4"/>
            <w:shd w:val="clear" w:color="auto" w:fill="EAEAEA"/>
          </w:tcPr>
          <w:p>
            <w:pPr>
              <w:jc w:val="center"/>
              <w:ind w:right="120"/>
              <w:spacing w:after="0" w:line="122" w:lineRule="exact"/>
              <w:rPr>
                <w:sz w:val="20"/>
                <w:szCs w:val="20"/>
                <w:color w:val="auto"/>
              </w:rPr>
            </w:pPr>
            <w:r>
              <w:rPr>
                <w:rFonts w:ascii="Arial" w:cs="Arial" w:eastAsia="Arial" w:hAnsi="Arial"/>
                <w:sz w:val="11"/>
                <w:szCs w:val="11"/>
                <w:b w:val="1"/>
                <w:bCs w:val="1"/>
                <w:color w:val="5D89B4"/>
                <w:w w:val="96"/>
              </w:rPr>
              <w:t>ESTIMATED FUTURE PAYOUTS</w:t>
            </w:r>
          </w:p>
        </w:tc>
        <w:tc>
          <w:tcPr>
            <w:tcW w:w="1960" w:type="dxa"/>
            <w:vAlign w:val="bottom"/>
            <w:gridSpan w:val="4"/>
            <w:shd w:val="clear" w:color="auto" w:fill="EAEAEA"/>
          </w:tcPr>
          <w:p>
            <w:pPr>
              <w:jc w:val="center"/>
              <w:ind w:right="60"/>
              <w:spacing w:after="0" w:line="122" w:lineRule="exact"/>
              <w:rPr>
                <w:sz w:val="20"/>
                <w:szCs w:val="20"/>
                <w:color w:val="auto"/>
              </w:rPr>
            </w:pPr>
            <w:r>
              <w:rPr>
                <w:rFonts w:ascii="Arial" w:cs="Arial" w:eastAsia="Arial" w:hAnsi="Arial"/>
                <w:sz w:val="11"/>
                <w:szCs w:val="11"/>
                <w:b w:val="1"/>
                <w:bCs w:val="1"/>
                <w:color w:val="5D89B4"/>
                <w:w w:val="96"/>
              </w:rPr>
              <w:t>ESTIMATED FUTURE PAYOUTS</w:t>
            </w:r>
          </w:p>
        </w:tc>
        <w:tc>
          <w:tcPr>
            <w:tcW w:w="740" w:type="dxa"/>
            <w:vAlign w:val="bottom"/>
            <w:shd w:val="clear" w:color="auto" w:fill="EAEAEA"/>
          </w:tcPr>
          <w:p>
            <w:pPr>
              <w:jc w:val="right"/>
              <w:spacing w:after="0" w:line="122" w:lineRule="exact"/>
              <w:rPr>
                <w:sz w:val="20"/>
                <w:szCs w:val="20"/>
                <w:color w:val="auto"/>
              </w:rPr>
            </w:pPr>
            <w:r>
              <w:rPr>
                <w:rFonts w:ascii="Arial" w:cs="Arial" w:eastAsia="Arial" w:hAnsi="Arial"/>
                <w:sz w:val="11"/>
                <w:szCs w:val="11"/>
                <w:b w:val="1"/>
                <w:bCs w:val="1"/>
                <w:color w:val="5D89B4"/>
              </w:rPr>
              <w:t>NUMBER</w:t>
            </w:r>
          </w:p>
        </w:tc>
        <w:tc>
          <w:tcPr>
            <w:tcW w:w="840" w:type="dxa"/>
            <w:vAlign w:val="bottom"/>
            <w:shd w:val="clear" w:color="auto" w:fill="EAEAEA"/>
          </w:tcPr>
          <w:p>
            <w:pPr>
              <w:jc w:val="right"/>
              <w:ind w:right="20"/>
              <w:spacing w:after="0" w:line="122" w:lineRule="exact"/>
              <w:rPr>
                <w:sz w:val="20"/>
                <w:szCs w:val="20"/>
                <w:color w:val="auto"/>
              </w:rPr>
            </w:pPr>
            <w:r>
              <w:rPr>
                <w:rFonts w:ascii="Arial" w:cs="Arial" w:eastAsia="Arial" w:hAnsi="Arial"/>
                <w:sz w:val="11"/>
                <w:szCs w:val="11"/>
                <w:b w:val="1"/>
                <w:bCs w:val="1"/>
                <w:color w:val="5D89B4"/>
              </w:rPr>
              <w:t>NUMBER OF</w:t>
            </w:r>
          </w:p>
        </w:tc>
        <w:tc>
          <w:tcPr>
            <w:tcW w:w="680" w:type="dxa"/>
            <w:vAlign w:val="bottom"/>
            <w:shd w:val="clear" w:color="auto" w:fill="EAEAEA"/>
          </w:tcPr>
          <w:p>
            <w:pPr>
              <w:jc w:val="right"/>
              <w:ind w:right="20"/>
              <w:spacing w:after="0" w:line="122" w:lineRule="exact"/>
              <w:rPr>
                <w:sz w:val="20"/>
                <w:szCs w:val="20"/>
                <w:color w:val="auto"/>
              </w:rPr>
            </w:pPr>
            <w:r>
              <w:rPr>
                <w:rFonts w:ascii="Arial" w:cs="Arial" w:eastAsia="Arial" w:hAnsi="Arial"/>
                <w:sz w:val="11"/>
                <w:szCs w:val="11"/>
                <w:b w:val="1"/>
                <w:bCs w:val="1"/>
                <w:color w:val="5D89B4"/>
              </w:rPr>
              <w:t>OR BASE</w:t>
            </w:r>
          </w:p>
        </w:tc>
        <w:tc>
          <w:tcPr>
            <w:tcW w:w="680" w:type="dxa"/>
            <w:vAlign w:val="bottom"/>
            <w:shd w:val="clear" w:color="auto" w:fill="EAEAEA"/>
          </w:tcPr>
          <w:p>
            <w:pPr>
              <w:jc w:val="right"/>
              <w:spacing w:after="0" w:line="122" w:lineRule="exact"/>
              <w:rPr>
                <w:sz w:val="20"/>
                <w:szCs w:val="20"/>
                <w:color w:val="auto"/>
              </w:rPr>
            </w:pPr>
            <w:r>
              <w:rPr>
                <w:rFonts w:ascii="Arial" w:cs="Arial" w:eastAsia="Arial" w:hAnsi="Arial"/>
                <w:sz w:val="11"/>
                <w:szCs w:val="11"/>
                <w:b w:val="1"/>
                <w:bCs w:val="1"/>
                <w:color w:val="5D89B4"/>
              </w:rPr>
              <w:t>STOCK</w:t>
            </w:r>
          </w:p>
        </w:tc>
        <w:tc>
          <w:tcPr>
            <w:tcW w:w="0" w:type="dxa"/>
            <w:vAlign w:val="bottom"/>
          </w:tcPr>
          <w:p>
            <w:pPr>
              <w:spacing w:after="0"/>
              <w:rPr>
                <w:sz w:val="1"/>
                <w:szCs w:val="1"/>
                <w:color w:val="auto"/>
              </w:rPr>
            </w:pPr>
          </w:p>
        </w:tc>
      </w:tr>
      <w:tr>
        <w:trPr>
          <w:trHeight w:val="120"/>
        </w:trPr>
        <w:tc>
          <w:tcPr>
            <w:tcW w:w="29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2220" w:type="dxa"/>
            <w:vAlign w:val="bottom"/>
            <w:gridSpan w:val="4"/>
            <w:shd w:val="clear" w:color="auto" w:fill="EAEAEA"/>
          </w:tcPr>
          <w:p>
            <w:pPr>
              <w:jc w:val="center"/>
              <w:ind w:right="120"/>
              <w:spacing w:after="0" w:line="121" w:lineRule="exact"/>
              <w:rPr>
                <w:sz w:val="20"/>
                <w:szCs w:val="20"/>
                <w:color w:val="auto"/>
              </w:rPr>
            </w:pPr>
            <w:r>
              <w:rPr>
                <w:rFonts w:ascii="Arial" w:cs="Arial" w:eastAsia="Arial" w:hAnsi="Arial"/>
                <w:sz w:val="11"/>
                <w:szCs w:val="11"/>
                <w:b w:val="1"/>
                <w:bCs w:val="1"/>
                <w:color w:val="5D89B4"/>
                <w:w w:val="98"/>
              </w:rPr>
              <w:t>UNDER NON-EQUITY INCENTIVE</w:t>
            </w:r>
          </w:p>
        </w:tc>
        <w:tc>
          <w:tcPr>
            <w:tcW w:w="1960" w:type="dxa"/>
            <w:vAlign w:val="bottom"/>
            <w:gridSpan w:val="4"/>
            <w:shd w:val="clear" w:color="auto" w:fill="EAEAEA"/>
          </w:tcPr>
          <w:p>
            <w:pPr>
              <w:jc w:val="center"/>
              <w:ind w:right="60"/>
              <w:spacing w:after="0" w:line="121" w:lineRule="exact"/>
              <w:rPr>
                <w:sz w:val="20"/>
                <w:szCs w:val="20"/>
                <w:color w:val="auto"/>
              </w:rPr>
            </w:pPr>
            <w:r>
              <w:rPr>
                <w:rFonts w:ascii="Arial" w:cs="Arial" w:eastAsia="Arial" w:hAnsi="Arial"/>
                <w:sz w:val="11"/>
                <w:szCs w:val="11"/>
                <w:b w:val="1"/>
                <w:bCs w:val="1"/>
                <w:color w:val="5D89B4"/>
                <w:w w:val="97"/>
              </w:rPr>
              <w:t>UNDER EQUITY INCENTIVE</w:t>
            </w:r>
          </w:p>
        </w:tc>
        <w:tc>
          <w:tcPr>
            <w:tcW w:w="74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OF SHARES</w:t>
            </w:r>
          </w:p>
        </w:tc>
        <w:tc>
          <w:tcPr>
            <w:tcW w:w="84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SECURITIES</w:t>
            </w:r>
          </w:p>
        </w:tc>
        <w:tc>
          <w:tcPr>
            <w:tcW w:w="680" w:type="dxa"/>
            <w:vAlign w:val="bottom"/>
            <w:shd w:val="clear" w:color="auto" w:fill="EAEAEA"/>
          </w:tcPr>
          <w:p>
            <w:pPr>
              <w:jc w:val="right"/>
              <w:ind w:right="20"/>
              <w:spacing w:after="0" w:line="121" w:lineRule="exact"/>
              <w:rPr>
                <w:sz w:val="20"/>
                <w:szCs w:val="20"/>
                <w:color w:val="auto"/>
              </w:rPr>
            </w:pPr>
            <w:r>
              <w:rPr>
                <w:rFonts w:ascii="Arial" w:cs="Arial" w:eastAsia="Arial" w:hAnsi="Arial"/>
                <w:sz w:val="11"/>
                <w:szCs w:val="11"/>
                <w:b w:val="1"/>
                <w:bCs w:val="1"/>
                <w:color w:val="5D89B4"/>
              </w:rPr>
              <w:t>PRICE OF</w:t>
            </w:r>
          </w:p>
        </w:tc>
        <w:tc>
          <w:tcPr>
            <w:tcW w:w="6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AND</w:t>
            </w:r>
          </w:p>
        </w:tc>
        <w:tc>
          <w:tcPr>
            <w:tcW w:w="0" w:type="dxa"/>
            <w:vAlign w:val="bottom"/>
          </w:tcPr>
          <w:p>
            <w:pPr>
              <w:spacing w:after="0"/>
              <w:rPr>
                <w:sz w:val="1"/>
                <w:szCs w:val="1"/>
                <w:color w:val="auto"/>
              </w:rPr>
            </w:pPr>
          </w:p>
        </w:tc>
      </w:tr>
      <w:tr>
        <w:trPr>
          <w:trHeight w:val="152"/>
        </w:trPr>
        <w:tc>
          <w:tcPr>
            <w:tcW w:w="29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720" w:type="dxa"/>
            <w:vAlign w:val="bottom"/>
            <w:shd w:val="clear" w:color="auto" w:fill="EAEAEA"/>
          </w:tcPr>
          <w:p>
            <w:pPr>
              <w:spacing w:after="0"/>
              <w:rPr>
                <w:sz w:val="13"/>
                <w:szCs w:val="13"/>
                <w:color w:val="auto"/>
              </w:rPr>
            </w:pPr>
          </w:p>
        </w:tc>
        <w:tc>
          <w:tcPr>
            <w:tcW w:w="1520" w:type="dxa"/>
            <w:vAlign w:val="bottom"/>
            <w:gridSpan w:val="2"/>
            <w:shd w:val="clear" w:color="auto" w:fill="EAEAEA"/>
          </w:tcPr>
          <w:p>
            <w:pPr>
              <w:jc w:val="center"/>
              <w:ind w:left="500"/>
              <w:spacing w:after="0"/>
              <w:rPr>
                <w:sz w:val="20"/>
                <w:szCs w:val="20"/>
                <w:color w:val="auto"/>
              </w:rPr>
            </w:pPr>
            <w:r>
              <w:rPr>
                <w:rFonts w:ascii="Arial" w:cs="Arial" w:eastAsia="Arial" w:hAnsi="Arial"/>
                <w:sz w:val="11"/>
                <w:szCs w:val="11"/>
                <w:b w:val="1"/>
                <w:bCs w:val="1"/>
                <w:color w:val="5D89B4"/>
                <w:w w:val="95"/>
              </w:rPr>
              <w:t>PLAN AWARDS(1)</w:t>
            </w:r>
          </w:p>
        </w:tc>
        <w:tc>
          <w:tcPr>
            <w:tcW w:w="580" w:type="dxa"/>
            <w:vAlign w:val="bottom"/>
            <w:shd w:val="clear" w:color="auto" w:fill="EAEAEA"/>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1960" w:type="dxa"/>
            <w:vAlign w:val="bottom"/>
            <w:gridSpan w:val="4"/>
            <w:shd w:val="clear" w:color="auto" w:fill="EAEAEA"/>
          </w:tcPr>
          <w:p>
            <w:pPr>
              <w:jc w:val="center"/>
              <w:ind w:right="80"/>
              <w:spacing w:after="0"/>
              <w:rPr>
                <w:sz w:val="20"/>
                <w:szCs w:val="20"/>
                <w:color w:val="auto"/>
              </w:rPr>
            </w:pPr>
            <w:r>
              <w:rPr>
                <w:rFonts w:ascii="Arial" w:cs="Arial" w:eastAsia="Arial" w:hAnsi="Arial"/>
                <w:sz w:val="11"/>
                <w:szCs w:val="11"/>
                <w:b w:val="1"/>
                <w:bCs w:val="1"/>
                <w:color w:val="5D89B4"/>
                <w:w w:val="95"/>
              </w:rPr>
              <w:t>PLAN AWARDS(2)</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OF STOCK</w:t>
            </w:r>
          </w:p>
        </w:tc>
        <w:tc>
          <w:tcPr>
            <w:tcW w:w="84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UNDERLYING</w:t>
            </w:r>
          </w:p>
        </w:tc>
        <w:tc>
          <w:tcPr>
            <w:tcW w:w="68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OPTION</w:t>
            </w:r>
          </w:p>
        </w:tc>
        <w:tc>
          <w:tcPr>
            <w:tcW w:w="6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OPTION</w:t>
            </w:r>
          </w:p>
        </w:tc>
        <w:tc>
          <w:tcPr>
            <w:tcW w:w="0" w:type="dxa"/>
            <w:vAlign w:val="bottom"/>
          </w:tcPr>
          <w:p>
            <w:pPr>
              <w:spacing w:after="0"/>
              <w:rPr>
                <w:sz w:val="1"/>
                <w:szCs w:val="1"/>
                <w:color w:val="auto"/>
              </w:rPr>
            </w:pPr>
          </w:p>
        </w:tc>
      </w:tr>
      <w:tr>
        <w:trPr>
          <w:trHeight w:val="62"/>
        </w:trPr>
        <w:tc>
          <w:tcPr>
            <w:tcW w:w="2980" w:type="dxa"/>
            <w:vAlign w:val="bottom"/>
            <w:tcBorders>
              <w:bottom w:val="single" w:sz="8" w:color="EAEAEA"/>
            </w:tcBorders>
            <w:vMerge w:val="restart"/>
            <w:shd w:val="clear" w:color="auto" w:fill="EAEAEA"/>
          </w:tcPr>
          <w:p>
            <w:pPr>
              <w:ind w:left="80"/>
              <w:spacing w:after="0"/>
              <w:rPr>
                <w:sz w:val="20"/>
                <w:szCs w:val="20"/>
                <w:color w:val="auto"/>
              </w:rPr>
            </w:pPr>
            <w:r>
              <w:rPr>
                <w:rFonts w:ascii="Arial" w:cs="Arial" w:eastAsia="Arial" w:hAnsi="Arial"/>
                <w:sz w:val="11"/>
                <w:szCs w:val="11"/>
                <w:b w:val="1"/>
                <w:bCs w:val="1"/>
                <w:color w:val="5D89B4"/>
              </w:rPr>
              <w:t>NAME &amp;</w:t>
            </w:r>
          </w:p>
        </w:tc>
        <w:tc>
          <w:tcPr>
            <w:tcW w:w="100" w:type="dxa"/>
            <w:vAlign w:val="bottom"/>
            <w:tcBorders>
              <w:bottom w:val="single" w:sz="8" w:color="EAEAEA"/>
            </w:tcBorders>
            <w:shd w:val="clear" w:color="auto" w:fill="EAEAEA"/>
          </w:tcPr>
          <w:p>
            <w:pPr>
              <w:spacing w:after="0"/>
              <w:rPr>
                <w:sz w:val="5"/>
                <w:szCs w:val="5"/>
                <w:color w:val="auto"/>
              </w:rPr>
            </w:pPr>
          </w:p>
        </w:tc>
        <w:tc>
          <w:tcPr>
            <w:tcW w:w="720" w:type="dxa"/>
            <w:vAlign w:val="bottom"/>
            <w:tcBorders>
              <w:bottom w:val="single" w:sz="8" w:color="EAEAEA"/>
            </w:tcBorders>
            <w:vMerge w:val="restart"/>
            <w:shd w:val="clear" w:color="auto" w:fill="EAEAEA"/>
          </w:tcPr>
          <w:p>
            <w:pPr>
              <w:jc w:val="right"/>
              <w:ind w:right="64"/>
              <w:spacing w:after="0"/>
              <w:rPr>
                <w:sz w:val="20"/>
                <w:szCs w:val="20"/>
                <w:color w:val="auto"/>
              </w:rPr>
            </w:pPr>
            <w:r>
              <w:rPr>
                <w:rFonts w:ascii="Arial" w:cs="Arial" w:eastAsia="Arial" w:hAnsi="Arial"/>
                <w:sz w:val="11"/>
                <w:szCs w:val="11"/>
                <w:b w:val="1"/>
                <w:bCs w:val="1"/>
                <w:color w:val="5D89B4"/>
              </w:rPr>
              <w:t>GRANT</w:t>
            </w:r>
          </w:p>
        </w:tc>
        <w:tc>
          <w:tcPr>
            <w:tcW w:w="740" w:type="dxa"/>
            <w:vAlign w:val="bottom"/>
            <w:tcBorders>
              <w:bottom w:val="single" w:sz="8" w:color="5D89B4"/>
            </w:tcBorders>
            <w:shd w:val="clear" w:color="auto" w:fill="EAEAEA"/>
          </w:tcPr>
          <w:p>
            <w:pPr>
              <w:spacing w:after="0"/>
              <w:rPr>
                <w:sz w:val="5"/>
                <w:szCs w:val="5"/>
                <w:color w:val="auto"/>
              </w:rPr>
            </w:pPr>
          </w:p>
        </w:tc>
        <w:tc>
          <w:tcPr>
            <w:tcW w:w="780" w:type="dxa"/>
            <w:vAlign w:val="bottom"/>
            <w:tcBorders>
              <w:bottom w:val="single" w:sz="8" w:color="5D89B4"/>
            </w:tcBorders>
            <w:shd w:val="clear" w:color="auto" w:fill="EAEAEA"/>
          </w:tcPr>
          <w:p>
            <w:pPr>
              <w:spacing w:after="0"/>
              <w:rPr>
                <w:sz w:val="5"/>
                <w:szCs w:val="5"/>
                <w:color w:val="auto"/>
              </w:rPr>
            </w:pPr>
          </w:p>
        </w:tc>
        <w:tc>
          <w:tcPr>
            <w:tcW w:w="580" w:type="dxa"/>
            <w:vAlign w:val="bottom"/>
            <w:tcBorders>
              <w:bottom w:val="single" w:sz="8" w:color="5D89B4"/>
            </w:tcBorders>
            <w:shd w:val="clear" w:color="auto" w:fill="EAEAEA"/>
          </w:tcPr>
          <w:p>
            <w:pPr>
              <w:spacing w:after="0"/>
              <w:rPr>
                <w:sz w:val="5"/>
                <w:szCs w:val="5"/>
                <w:color w:val="auto"/>
              </w:rPr>
            </w:pPr>
          </w:p>
        </w:tc>
        <w:tc>
          <w:tcPr>
            <w:tcW w:w="120" w:type="dxa"/>
            <w:vAlign w:val="bottom"/>
            <w:tcBorders>
              <w:bottom w:val="single" w:sz="8" w:color="EAEAEA"/>
            </w:tcBorders>
            <w:shd w:val="clear" w:color="auto" w:fill="EAEAEA"/>
          </w:tcPr>
          <w:p>
            <w:pPr>
              <w:spacing w:after="0"/>
              <w:rPr>
                <w:sz w:val="5"/>
                <w:szCs w:val="5"/>
                <w:color w:val="auto"/>
              </w:rPr>
            </w:pPr>
          </w:p>
        </w:tc>
        <w:tc>
          <w:tcPr>
            <w:tcW w:w="740" w:type="dxa"/>
            <w:vAlign w:val="bottom"/>
            <w:tcBorders>
              <w:bottom w:val="single" w:sz="8" w:color="5D89B4"/>
            </w:tcBorders>
            <w:shd w:val="clear" w:color="auto" w:fill="EAEAEA"/>
          </w:tcPr>
          <w:p>
            <w:pPr>
              <w:spacing w:after="0"/>
              <w:rPr>
                <w:sz w:val="5"/>
                <w:szCs w:val="5"/>
                <w:color w:val="auto"/>
              </w:rPr>
            </w:pPr>
          </w:p>
        </w:tc>
        <w:tc>
          <w:tcPr>
            <w:tcW w:w="560" w:type="dxa"/>
            <w:vAlign w:val="bottom"/>
            <w:tcBorders>
              <w:bottom w:val="single" w:sz="8" w:color="5D89B4"/>
            </w:tcBorders>
            <w:shd w:val="clear" w:color="auto" w:fill="EAEAEA"/>
          </w:tcPr>
          <w:p>
            <w:pPr>
              <w:spacing w:after="0"/>
              <w:rPr>
                <w:sz w:val="5"/>
                <w:szCs w:val="5"/>
                <w:color w:val="auto"/>
              </w:rPr>
            </w:pPr>
          </w:p>
        </w:tc>
        <w:tc>
          <w:tcPr>
            <w:tcW w:w="600" w:type="dxa"/>
            <w:vAlign w:val="bottom"/>
            <w:tcBorders>
              <w:bottom w:val="single" w:sz="8" w:color="5D89B4"/>
            </w:tcBorders>
            <w:shd w:val="clear" w:color="auto" w:fill="EAEAEA"/>
          </w:tcPr>
          <w:p>
            <w:pPr>
              <w:spacing w:after="0"/>
              <w:rPr>
                <w:sz w:val="5"/>
                <w:szCs w:val="5"/>
                <w:color w:val="auto"/>
              </w:rPr>
            </w:pPr>
          </w:p>
        </w:tc>
        <w:tc>
          <w:tcPr>
            <w:tcW w:w="60" w:type="dxa"/>
            <w:vAlign w:val="bottom"/>
            <w:tcBorders>
              <w:bottom w:val="single" w:sz="8" w:color="EAEAEA"/>
            </w:tcBorders>
            <w:shd w:val="clear" w:color="auto" w:fill="EAEAEA"/>
          </w:tcPr>
          <w:p>
            <w:pPr>
              <w:spacing w:after="0"/>
              <w:rPr>
                <w:sz w:val="5"/>
                <w:szCs w:val="5"/>
                <w:color w:val="auto"/>
              </w:rPr>
            </w:pPr>
          </w:p>
        </w:tc>
        <w:tc>
          <w:tcPr>
            <w:tcW w:w="740" w:type="dxa"/>
            <w:vAlign w:val="bottom"/>
            <w:tcBorders>
              <w:bottom w:val="single" w:sz="8" w:color="EAEAEA"/>
            </w:tcBorders>
            <w:vMerge w:val="restart"/>
            <w:shd w:val="clear" w:color="auto" w:fill="EAEAEA"/>
          </w:tcPr>
          <w:p>
            <w:pPr>
              <w:jc w:val="right"/>
              <w:spacing w:after="0"/>
              <w:rPr>
                <w:sz w:val="20"/>
                <w:szCs w:val="20"/>
                <w:color w:val="auto"/>
              </w:rPr>
            </w:pPr>
            <w:r>
              <w:rPr>
                <w:rFonts w:ascii="Arial" w:cs="Arial" w:eastAsia="Arial" w:hAnsi="Arial"/>
                <w:sz w:val="11"/>
                <w:szCs w:val="11"/>
                <w:b w:val="1"/>
                <w:bCs w:val="1"/>
                <w:color w:val="5D89B4"/>
              </w:rPr>
              <w:t>OR UNITS</w:t>
            </w:r>
          </w:p>
        </w:tc>
        <w:tc>
          <w:tcPr>
            <w:tcW w:w="840" w:type="dxa"/>
            <w:vAlign w:val="bottom"/>
            <w:tcBorders>
              <w:bottom w:val="single" w:sz="8" w:color="EAEAEA"/>
            </w:tcBorders>
            <w:vMerge w:val="restart"/>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OPTIONS</w:t>
            </w:r>
          </w:p>
        </w:tc>
        <w:tc>
          <w:tcPr>
            <w:tcW w:w="680" w:type="dxa"/>
            <w:vAlign w:val="bottom"/>
            <w:tcBorders>
              <w:bottom w:val="single" w:sz="8" w:color="EAEAEA"/>
            </w:tcBorders>
            <w:vMerge w:val="restart"/>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AWARDS</w:t>
            </w:r>
          </w:p>
        </w:tc>
        <w:tc>
          <w:tcPr>
            <w:tcW w:w="680" w:type="dxa"/>
            <w:vAlign w:val="bottom"/>
            <w:tcBorders>
              <w:bottom w:val="single" w:sz="8" w:color="EAEAEA"/>
            </w:tcBorders>
            <w:vMerge w:val="restart"/>
            <w:shd w:val="clear" w:color="auto" w:fill="EAEAEA"/>
          </w:tcPr>
          <w:p>
            <w:pPr>
              <w:jc w:val="right"/>
              <w:spacing w:after="0"/>
              <w:rPr>
                <w:sz w:val="20"/>
                <w:szCs w:val="20"/>
                <w:color w:val="auto"/>
              </w:rPr>
            </w:pPr>
            <w:r>
              <w:rPr>
                <w:rFonts w:ascii="Arial" w:cs="Arial" w:eastAsia="Arial" w:hAnsi="Arial"/>
                <w:sz w:val="11"/>
                <w:szCs w:val="11"/>
                <w:b w:val="1"/>
                <w:bCs w:val="1"/>
                <w:color w:val="5D89B4"/>
              </w:rPr>
              <w:t>AWARDS</w:t>
            </w:r>
          </w:p>
        </w:tc>
        <w:tc>
          <w:tcPr>
            <w:tcW w:w="0" w:type="dxa"/>
            <w:vAlign w:val="bottom"/>
          </w:tcPr>
          <w:p>
            <w:pPr>
              <w:spacing w:after="0"/>
              <w:rPr>
                <w:sz w:val="1"/>
                <w:szCs w:val="1"/>
                <w:color w:val="auto"/>
              </w:rPr>
            </w:pPr>
          </w:p>
        </w:tc>
      </w:tr>
      <w:tr>
        <w:trPr>
          <w:trHeight w:val="99"/>
        </w:trPr>
        <w:tc>
          <w:tcPr>
            <w:tcW w:w="2980" w:type="dxa"/>
            <w:vAlign w:val="bottom"/>
            <w:vMerge w:val="continue"/>
            <w:shd w:val="clear" w:color="auto" w:fill="EAEAEA"/>
          </w:tcPr>
          <w:p>
            <w:pPr>
              <w:spacing w:after="0"/>
              <w:rPr>
                <w:sz w:val="8"/>
                <w:szCs w:val="8"/>
                <w:color w:val="auto"/>
              </w:rPr>
            </w:pPr>
          </w:p>
        </w:tc>
        <w:tc>
          <w:tcPr>
            <w:tcW w:w="100" w:type="dxa"/>
            <w:vAlign w:val="bottom"/>
            <w:shd w:val="clear" w:color="auto" w:fill="EAEAEA"/>
          </w:tcPr>
          <w:p>
            <w:pPr>
              <w:spacing w:after="0"/>
              <w:rPr>
                <w:sz w:val="8"/>
                <w:szCs w:val="8"/>
                <w:color w:val="auto"/>
              </w:rPr>
            </w:pPr>
          </w:p>
        </w:tc>
        <w:tc>
          <w:tcPr>
            <w:tcW w:w="720" w:type="dxa"/>
            <w:vAlign w:val="bottom"/>
            <w:vMerge w:val="continue"/>
            <w:shd w:val="clear" w:color="auto" w:fill="EAEAEA"/>
          </w:tcPr>
          <w:p>
            <w:pPr>
              <w:spacing w:after="0"/>
              <w:rPr>
                <w:sz w:val="8"/>
                <w:szCs w:val="8"/>
                <w:color w:val="auto"/>
              </w:rPr>
            </w:pPr>
          </w:p>
        </w:tc>
        <w:tc>
          <w:tcPr>
            <w:tcW w:w="740" w:type="dxa"/>
            <w:vAlign w:val="bottom"/>
            <w:shd w:val="clear" w:color="auto" w:fill="EAEAEA"/>
          </w:tcPr>
          <w:p>
            <w:pPr>
              <w:jc w:val="right"/>
              <w:ind w:right="20"/>
              <w:spacing w:after="0" w:line="99" w:lineRule="exact"/>
              <w:rPr>
                <w:sz w:val="20"/>
                <w:szCs w:val="20"/>
                <w:color w:val="auto"/>
              </w:rPr>
            </w:pPr>
            <w:r>
              <w:rPr>
                <w:rFonts w:ascii="Arial" w:cs="Arial" w:eastAsia="Arial" w:hAnsi="Arial"/>
                <w:sz w:val="11"/>
                <w:szCs w:val="11"/>
                <w:b w:val="1"/>
                <w:bCs w:val="1"/>
                <w:color w:val="5D89B4"/>
                <w:w w:val="93"/>
              </w:rPr>
              <w:t>THRESHOLD</w:t>
            </w:r>
          </w:p>
        </w:tc>
        <w:tc>
          <w:tcPr>
            <w:tcW w:w="780" w:type="dxa"/>
            <w:vAlign w:val="bottom"/>
            <w:shd w:val="clear" w:color="auto" w:fill="EAEAEA"/>
          </w:tcPr>
          <w:p>
            <w:pPr>
              <w:jc w:val="right"/>
              <w:ind w:right="79"/>
              <w:spacing w:after="0" w:line="99" w:lineRule="exact"/>
              <w:rPr>
                <w:sz w:val="20"/>
                <w:szCs w:val="20"/>
                <w:color w:val="auto"/>
              </w:rPr>
            </w:pPr>
            <w:r>
              <w:rPr>
                <w:rFonts w:ascii="Arial" w:cs="Arial" w:eastAsia="Arial" w:hAnsi="Arial"/>
                <w:sz w:val="11"/>
                <w:szCs w:val="11"/>
                <w:b w:val="1"/>
                <w:bCs w:val="1"/>
                <w:color w:val="5D89B4"/>
              </w:rPr>
              <w:t>TARGET</w:t>
            </w:r>
          </w:p>
        </w:tc>
        <w:tc>
          <w:tcPr>
            <w:tcW w:w="580" w:type="dxa"/>
            <w:vAlign w:val="bottom"/>
            <w:shd w:val="clear" w:color="auto" w:fill="EAEAEA"/>
          </w:tcPr>
          <w:p>
            <w:pPr>
              <w:ind w:left="60"/>
              <w:spacing w:after="0" w:line="99" w:lineRule="exact"/>
              <w:rPr>
                <w:sz w:val="20"/>
                <w:szCs w:val="20"/>
                <w:color w:val="auto"/>
              </w:rPr>
            </w:pPr>
            <w:r>
              <w:rPr>
                <w:rFonts w:ascii="Arial" w:cs="Arial" w:eastAsia="Arial" w:hAnsi="Arial"/>
                <w:sz w:val="11"/>
                <w:szCs w:val="11"/>
                <w:b w:val="1"/>
                <w:bCs w:val="1"/>
                <w:color w:val="5D89B4"/>
                <w:w w:val="92"/>
              </w:rPr>
              <w:t>MAXIMUM</w:t>
            </w:r>
          </w:p>
        </w:tc>
        <w:tc>
          <w:tcPr>
            <w:tcW w:w="120" w:type="dxa"/>
            <w:vAlign w:val="bottom"/>
            <w:shd w:val="clear" w:color="auto" w:fill="EAEAEA"/>
          </w:tcPr>
          <w:p>
            <w:pPr>
              <w:spacing w:after="0"/>
              <w:rPr>
                <w:sz w:val="8"/>
                <w:szCs w:val="8"/>
                <w:color w:val="auto"/>
              </w:rPr>
            </w:pPr>
          </w:p>
        </w:tc>
        <w:tc>
          <w:tcPr>
            <w:tcW w:w="740" w:type="dxa"/>
            <w:vAlign w:val="bottom"/>
            <w:shd w:val="clear" w:color="auto" w:fill="EAEAEA"/>
          </w:tcPr>
          <w:p>
            <w:pPr>
              <w:jc w:val="right"/>
              <w:spacing w:after="0" w:line="99" w:lineRule="exact"/>
              <w:rPr>
                <w:sz w:val="20"/>
                <w:szCs w:val="20"/>
                <w:color w:val="auto"/>
              </w:rPr>
            </w:pPr>
            <w:r>
              <w:rPr>
                <w:rFonts w:ascii="Arial" w:cs="Arial" w:eastAsia="Arial" w:hAnsi="Arial"/>
                <w:sz w:val="11"/>
                <w:szCs w:val="11"/>
                <w:b w:val="1"/>
                <w:bCs w:val="1"/>
                <w:color w:val="5D89B4"/>
                <w:w w:val="96"/>
              </w:rPr>
              <w:t>THRESHOLD</w:t>
            </w:r>
          </w:p>
        </w:tc>
        <w:tc>
          <w:tcPr>
            <w:tcW w:w="560" w:type="dxa"/>
            <w:vAlign w:val="bottom"/>
            <w:shd w:val="clear" w:color="auto" w:fill="EAEAEA"/>
          </w:tcPr>
          <w:p>
            <w:pPr>
              <w:jc w:val="right"/>
              <w:spacing w:after="0" w:line="99" w:lineRule="exact"/>
              <w:rPr>
                <w:sz w:val="20"/>
                <w:szCs w:val="20"/>
                <w:color w:val="auto"/>
              </w:rPr>
            </w:pPr>
            <w:r>
              <w:rPr>
                <w:rFonts w:ascii="Arial" w:cs="Arial" w:eastAsia="Arial" w:hAnsi="Arial"/>
                <w:sz w:val="11"/>
                <w:szCs w:val="11"/>
                <w:b w:val="1"/>
                <w:bCs w:val="1"/>
                <w:color w:val="5D89B4"/>
              </w:rPr>
              <w:t>TARGET</w:t>
            </w:r>
          </w:p>
        </w:tc>
        <w:tc>
          <w:tcPr>
            <w:tcW w:w="600" w:type="dxa"/>
            <w:vAlign w:val="bottom"/>
            <w:shd w:val="clear" w:color="auto" w:fill="EAEAEA"/>
          </w:tcPr>
          <w:p>
            <w:pPr>
              <w:jc w:val="right"/>
              <w:spacing w:after="0" w:line="99" w:lineRule="exact"/>
              <w:rPr>
                <w:sz w:val="20"/>
                <w:szCs w:val="20"/>
                <w:color w:val="auto"/>
              </w:rPr>
            </w:pPr>
            <w:r>
              <w:rPr>
                <w:rFonts w:ascii="Arial" w:cs="Arial" w:eastAsia="Arial" w:hAnsi="Arial"/>
                <w:sz w:val="11"/>
                <w:szCs w:val="11"/>
                <w:b w:val="1"/>
                <w:bCs w:val="1"/>
                <w:color w:val="5D89B4"/>
              </w:rPr>
              <w:t>MAXIMUM</w:t>
            </w:r>
          </w:p>
        </w:tc>
        <w:tc>
          <w:tcPr>
            <w:tcW w:w="60" w:type="dxa"/>
            <w:vAlign w:val="bottom"/>
            <w:shd w:val="clear" w:color="auto" w:fill="EAEAEA"/>
          </w:tcPr>
          <w:p>
            <w:pPr>
              <w:spacing w:after="0"/>
              <w:rPr>
                <w:sz w:val="8"/>
                <w:szCs w:val="8"/>
                <w:color w:val="auto"/>
              </w:rPr>
            </w:pPr>
          </w:p>
        </w:tc>
        <w:tc>
          <w:tcPr>
            <w:tcW w:w="740" w:type="dxa"/>
            <w:vAlign w:val="bottom"/>
            <w:vMerge w:val="continue"/>
            <w:shd w:val="clear" w:color="auto" w:fill="EAEAEA"/>
          </w:tcPr>
          <w:p>
            <w:pPr>
              <w:spacing w:after="0"/>
              <w:rPr>
                <w:sz w:val="8"/>
                <w:szCs w:val="8"/>
                <w:color w:val="auto"/>
              </w:rPr>
            </w:pPr>
          </w:p>
        </w:tc>
        <w:tc>
          <w:tcPr>
            <w:tcW w:w="840" w:type="dxa"/>
            <w:vAlign w:val="bottom"/>
            <w:vMerge w:val="continue"/>
            <w:shd w:val="clear" w:color="auto" w:fill="EAEAEA"/>
          </w:tcPr>
          <w:p>
            <w:pPr>
              <w:spacing w:after="0"/>
              <w:rPr>
                <w:sz w:val="8"/>
                <w:szCs w:val="8"/>
                <w:color w:val="auto"/>
              </w:rPr>
            </w:pPr>
          </w:p>
        </w:tc>
        <w:tc>
          <w:tcPr>
            <w:tcW w:w="680" w:type="dxa"/>
            <w:vAlign w:val="bottom"/>
            <w:vMerge w:val="continue"/>
            <w:shd w:val="clear" w:color="auto" w:fill="EAEAEA"/>
          </w:tcPr>
          <w:p>
            <w:pPr>
              <w:spacing w:after="0"/>
              <w:rPr>
                <w:sz w:val="8"/>
                <w:szCs w:val="8"/>
                <w:color w:val="auto"/>
              </w:rPr>
            </w:pPr>
          </w:p>
        </w:tc>
        <w:tc>
          <w:tcPr>
            <w:tcW w:w="680" w:type="dxa"/>
            <w:vAlign w:val="bottom"/>
            <w:vMerge w:val="continue"/>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PRINCIPAL POSITION</w:t>
            </w:r>
          </w:p>
        </w:tc>
        <w:tc>
          <w:tcPr>
            <w:tcW w:w="100" w:type="dxa"/>
            <w:vAlign w:val="bottom"/>
            <w:shd w:val="clear" w:color="auto" w:fill="EAEAEA"/>
          </w:tcPr>
          <w:p>
            <w:pPr>
              <w:spacing w:after="0"/>
              <w:rPr>
                <w:sz w:val="12"/>
                <w:szCs w:val="12"/>
                <w:color w:val="auto"/>
              </w:rPr>
            </w:pPr>
          </w:p>
        </w:tc>
        <w:tc>
          <w:tcPr>
            <w:tcW w:w="720" w:type="dxa"/>
            <w:vAlign w:val="bottom"/>
            <w:shd w:val="clear" w:color="auto" w:fill="EAEAEA"/>
          </w:tcPr>
          <w:p>
            <w:pPr>
              <w:jc w:val="right"/>
              <w:ind w:right="64"/>
              <w:spacing w:after="0"/>
              <w:rPr>
                <w:sz w:val="20"/>
                <w:szCs w:val="20"/>
                <w:color w:val="auto"/>
              </w:rPr>
            </w:pPr>
            <w:r>
              <w:rPr>
                <w:rFonts w:ascii="Arial" w:cs="Arial" w:eastAsia="Arial" w:hAnsi="Arial"/>
                <w:sz w:val="11"/>
                <w:szCs w:val="11"/>
                <w:b w:val="1"/>
                <w:bCs w:val="1"/>
                <w:color w:val="5D89B4"/>
              </w:rPr>
              <w:t>DATE</w:t>
            </w:r>
          </w:p>
        </w:tc>
        <w:tc>
          <w:tcPr>
            <w:tcW w:w="74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w:t>
            </w:r>
          </w:p>
        </w:tc>
        <w:tc>
          <w:tcPr>
            <w:tcW w:w="780" w:type="dxa"/>
            <w:vAlign w:val="bottom"/>
            <w:shd w:val="clear" w:color="auto" w:fill="EAEAEA"/>
          </w:tcPr>
          <w:p>
            <w:pPr>
              <w:jc w:val="right"/>
              <w:ind w:right="79"/>
              <w:spacing w:after="0"/>
              <w:rPr>
                <w:sz w:val="20"/>
                <w:szCs w:val="20"/>
                <w:color w:val="auto"/>
              </w:rPr>
            </w:pPr>
            <w:r>
              <w:rPr>
                <w:rFonts w:ascii="Arial" w:cs="Arial" w:eastAsia="Arial" w:hAnsi="Arial"/>
                <w:sz w:val="11"/>
                <w:szCs w:val="11"/>
                <w:b w:val="1"/>
                <w:bCs w:val="1"/>
                <w:color w:val="5D89B4"/>
              </w:rPr>
              <w:t>($)</w:t>
            </w:r>
          </w:p>
        </w:tc>
        <w:tc>
          <w:tcPr>
            <w:tcW w:w="700" w:type="dxa"/>
            <w:vAlign w:val="bottom"/>
            <w:gridSpan w:val="2"/>
            <w:shd w:val="clear" w:color="auto" w:fill="EAEAEA"/>
          </w:tcPr>
          <w:p>
            <w:pPr>
              <w:jc w:val="right"/>
              <w:ind w:right="120"/>
              <w:spacing w:after="0"/>
              <w:rPr>
                <w:sz w:val="20"/>
                <w:szCs w:val="20"/>
                <w:color w:val="auto"/>
              </w:rPr>
            </w:pPr>
            <w:r>
              <w:rPr>
                <w:rFonts w:ascii="Arial" w:cs="Arial" w:eastAsia="Arial" w:hAnsi="Arial"/>
                <w:sz w:val="11"/>
                <w:szCs w:val="11"/>
                <w:b w:val="1"/>
                <w:bCs w:val="1"/>
                <w:color w:val="5D89B4"/>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(#)(3)</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w:t>
            </w:r>
          </w:p>
        </w:tc>
        <w:tc>
          <w:tcPr>
            <w:tcW w:w="660" w:type="dxa"/>
            <w:vAlign w:val="bottom"/>
            <w:gridSpan w:val="2"/>
            <w:shd w:val="clear" w:color="auto" w:fill="EAEAEA"/>
          </w:tcPr>
          <w:p>
            <w:pPr>
              <w:jc w:val="right"/>
              <w:ind w:right="60"/>
              <w:spacing w:after="0"/>
              <w:rPr>
                <w:sz w:val="20"/>
                <w:szCs w:val="20"/>
                <w:color w:val="auto"/>
              </w:rPr>
            </w:pPr>
            <w:r>
              <w:rPr>
                <w:rFonts w:ascii="Arial" w:cs="Arial" w:eastAsia="Arial" w:hAnsi="Arial"/>
                <w:sz w:val="11"/>
                <w:szCs w:val="11"/>
                <w:b w:val="1"/>
                <w:bCs w:val="1"/>
                <w:color w:val="5D89B4"/>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(#)(4)</w:t>
            </w:r>
          </w:p>
        </w:tc>
        <w:tc>
          <w:tcPr>
            <w:tcW w:w="84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(#)(5)</w:t>
            </w:r>
          </w:p>
        </w:tc>
        <w:tc>
          <w:tcPr>
            <w:tcW w:w="68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($/SH)</w:t>
            </w:r>
          </w:p>
        </w:tc>
        <w:tc>
          <w:tcPr>
            <w:tcW w:w="6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($)(6)</w:t>
            </w:r>
          </w:p>
        </w:tc>
        <w:tc>
          <w:tcPr>
            <w:tcW w:w="0" w:type="dxa"/>
            <w:vAlign w:val="bottom"/>
          </w:tcPr>
          <w:p>
            <w:pPr>
              <w:spacing w:after="0"/>
              <w:rPr>
                <w:sz w:val="1"/>
                <w:szCs w:val="1"/>
                <w:color w:val="auto"/>
              </w:rPr>
            </w:pPr>
          </w:p>
        </w:tc>
      </w:tr>
      <w:tr>
        <w:trPr>
          <w:trHeight w:val="75"/>
        </w:trPr>
        <w:tc>
          <w:tcPr>
            <w:tcW w:w="2980" w:type="dxa"/>
            <w:vAlign w:val="bottom"/>
            <w:shd w:val="clear" w:color="auto" w:fill="EAEAEA"/>
          </w:tcPr>
          <w:p>
            <w:pPr>
              <w:spacing w:after="0"/>
              <w:rPr>
                <w:sz w:val="6"/>
                <w:szCs w:val="6"/>
                <w:color w:val="auto"/>
              </w:rPr>
            </w:pPr>
          </w:p>
        </w:tc>
        <w:tc>
          <w:tcPr>
            <w:tcW w:w="100" w:type="dxa"/>
            <w:vAlign w:val="bottom"/>
            <w:shd w:val="clear" w:color="auto" w:fill="EAEAEA"/>
          </w:tcPr>
          <w:p>
            <w:pPr>
              <w:spacing w:after="0"/>
              <w:rPr>
                <w:sz w:val="6"/>
                <w:szCs w:val="6"/>
                <w:color w:val="auto"/>
              </w:rPr>
            </w:pPr>
          </w:p>
        </w:tc>
        <w:tc>
          <w:tcPr>
            <w:tcW w:w="720" w:type="dxa"/>
            <w:vAlign w:val="bottom"/>
            <w:shd w:val="clear" w:color="auto" w:fill="EAEAEA"/>
          </w:tcPr>
          <w:p>
            <w:pPr>
              <w:spacing w:after="0"/>
              <w:rPr>
                <w:sz w:val="6"/>
                <w:szCs w:val="6"/>
                <w:color w:val="auto"/>
              </w:rPr>
            </w:pPr>
          </w:p>
        </w:tc>
        <w:tc>
          <w:tcPr>
            <w:tcW w:w="740" w:type="dxa"/>
            <w:vAlign w:val="bottom"/>
            <w:shd w:val="clear" w:color="auto" w:fill="EAEAEA"/>
          </w:tcPr>
          <w:p>
            <w:pPr>
              <w:spacing w:after="0"/>
              <w:rPr>
                <w:sz w:val="6"/>
                <w:szCs w:val="6"/>
                <w:color w:val="auto"/>
              </w:rPr>
            </w:pPr>
          </w:p>
        </w:tc>
        <w:tc>
          <w:tcPr>
            <w:tcW w:w="780" w:type="dxa"/>
            <w:vAlign w:val="bottom"/>
            <w:shd w:val="clear" w:color="auto" w:fill="EAEAEA"/>
          </w:tcPr>
          <w:p>
            <w:pPr>
              <w:spacing w:after="0"/>
              <w:rPr>
                <w:sz w:val="6"/>
                <w:szCs w:val="6"/>
                <w:color w:val="auto"/>
              </w:rPr>
            </w:pPr>
          </w:p>
        </w:tc>
        <w:tc>
          <w:tcPr>
            <w:tcW w:w="580" w:type="dxa"/>
            <w:vAlign w:val="bottom"/>
            <w:shd w:val="clear" w:color="auto" w:fill="EAEAEA"/>
          </w:tcPr>
          <w:p>
            <w:pPr>
              <w:spacing w:after="0"/>
              <w:rPr>
                <w:sz w:val="6"/>
                <w:szCs w:val="6"/>
                <w:color w:val="auto"/>
              </w:rPr>
            </w:pPr>
          </w:p>
        </w:tc>
        <w:tc>
          <w:tcPr>
            <w:tcW w:w="120" w:type="dxa"/>
            <w:vAlign w:val="bottom"/>
            <w:shd w:val="clear" w:color="auto" w:fill="EAEAEA"/>
          </w:tcPr>
          <w:p>
            <w:pPr>
              <w:spacing w:after="0"/>
              <w:rPr>
                <w:sz w:val="6"/>
                <w:szCs w:val="6"/>
                <w:color w:val="auto"/>
              </w:rPr>
            </w:pPr>
          </w:p>
        </w:tc>
        <w:tc>
          <w:tcPr>
            <w:tcW w:w="740" w:type="dxa"/>
            <w:vAlign w:val="bottom"/>
            <w:shd w:val="clear" w:color="auto" w:fill="EAEAEA"/>
          </w:tcPr>
          <w:p>
            <w:pPr>
              <w:spacing w:after="0"/>
              <w:rPr>
                <w:sz w:val="6"/>
                <w:szCs w:val="6"/>
                <w:color w:val="auto"/>
              </w:rPr>
            </w:pPr>
          </w:p>
        </w:tc>
        <w:tc>
          <w:tcPr>
            <w:tcW w:w="560" w:type="dxa"/>
            <w:vAlign w:val="bottom"/>
            <w:shd w:val="clear" w:color="auto" w:fill="EAEAEA"/>
          </w:tcPr>
          <w:p>
            <w:pPr>
              <w:spacing w:after="0"/>
              <w:rPr>
                <w:sz w:val="6"/>
                <w:szCs w:val="6"/>
                <w:color w:val="auto"/>
              </w:rPr>
            </w:pPr>
          </w:p>
        </w:tc>
        <w:tc>
          <w:tcPr>
            <w:tcW w:w="600" w:type="dxa"/>
            <w:vAlign w:val="bottom"/>
            <w:shd w:val="clear" w:color="auto" w:fill="EAEAEA"/>
          </w:tcPr>
          <w:p>
            <w:pPr>
              <w:spacing w:after="0"/>
              <w:rPr>
                <w:sz w:val="6"/>
                <w:szCs w:val="6"/>
                <w:color w:val="auto"/>
              </w:rPr>
            </w:pPr>
          </w:p>
        </w:tc>
        <w:tc>
          <w:tcPr>
            <w:tcW w:w="60" w:type="dxa"/>
            <w:vAlign w:val="bottom"/>
            <w:shd w:val="clear" w:color="auto" w:fill="EAEAEA"/>
          </w:tcPr>
          <w:p>
            <w:pPr>
              <w:spacing w:after="0"/>
              <w:rPr>
                <w:sz w:val="6"/>
                <w:szCs w:val="6"/>
                <w:color w:val="auto"/>
              </w:rPr>
            </w:pPr>
          </w:p>
        </w:tc>
        <w:tc>
          <w:tcPr>
            <w:tcW w:w="740" w:type="dxa"/>
            <w:vAlign w:val="bottom"/>
            <w:shd w:val="clear" w:color="auto" w:fill="EAEAEA"/>
          </w:tcPr>
          <w:p>
            <w:pPr>
              <w:spacing w:after="0"/>
              <w:rPr>
                <w:sz w:val="6"/>
                <w:szCs w:val="6"/>
                <w:color w:val="auto"/>
              </w:rPr>
            </w:pPr>
          </w:p>
        </w:tc>
        <w:tc>
          <w:tcPr>
            <w:tcW w:w="840" w:type="dxa"/>
            <w:vAlign w:val="bottom"/>
            <w:shd w:val="clear" w:color="auto" w:fill="EAEAEA"/>
          </w:tcPr>
          <w:p>
            <w:pPr>
              <w:spacing w:after="0"/>
              <w:rPr>
                <w:sz w:val="6"/>
                <w:szCs w:val="6"/>
                <w:color w:val="auto"/>
              </w:rPr>
            </w:pPr>
          </w:p>
        </w:tc>
        <w:tc>
          <w:tcPr>
            <w:tcW w:w="680" w:type="dxa"/>
            <w:vAlign w:val="bottom"/>
            <w:shd w:val="clear" w:color="auto" w:fill="EAEAEA"/>
          </w:tcPr>
          <w:p>
            <w:pPr>
              <w:spacing w:after="0"/>
              <w:rPr>
                <w:sz w:val="6"/>
                <w:szCs w:val="6"/>
                <w:color w:val="auto"/>
              </w:rPr>
            </w:pPr>
          </w:p>
        </w:tc>
        <w:tc>
          <w:tcPr>
            <w:tcW w:w="68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9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Jonas Prising</w:t>
            </w:r>
          </w:p>
        </w:tc>
        <w:tc>
          <w:tcPr>
            <w:tcW w:w="100" w:type="dxa"/>
            <w:vAlign w:val="bottom"/>
          </w:tcPr>
          <w:p>
            <w:pPr>
              <w:spacing w:after="0"/>
              <w:rPr>
                <w:sz w:val="11"/>
                <w:szCs w:val="11"/>
                <w:color w:val="auto"/>
              </w:rPr>
            </w:pPr>
          </w:p>
        </w:tc>
        <w:tc>
          <w:tcPr>
            <w:tcW w:w="720" w:type="dxa"/>
            <w:vAlign w:val="bottom"/>
          </w:tcPr>
          <w:p>
            <w:pPr>
              <w:jc w:val="right"/>
              <w:ind w:right="64"/>
              <w:spacing w:after="0" w:line="128" w:lineRule="exact"/>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line="128" w:lineRule="exact"/>
              <w:rPr>
                <w:sz w:val="20"/>
                <w:szCs w:val="20"/>
                <w:color w:val="auto"/>
              </w:rPr>
            </w:pPr>
            <w:r>
              <w:rPr>
                <w:rFonts w:ascii="Arial" w:cs="Arial" w:eastAsia="Arial" w:hAnsi="Arial"/>
                <w:sz w:val="12"/>
                <w:szCs w:val="12"/>
                <w:color w:val="auto"/>
              </w:rPr>
              <w:t>500,000</w:t>
            </w:r>
          </w:p>
        </w:tc>
        <w:tc>
          <w:tcPr>
            <w:tcW w:w="780" w:type="dxa"/>
            <w:vAlign w:val="bottom"/>
          </w:tcPr>
          <w:p>
            <w:pPr>
              <w:jc w:val="right"/>
              <w:ind w:right="79"/>
              <w:spacing w:after="0" w:line="128" w:lineRule="exact"/>
              <w:rPr>
                <w:sz w:val="20"/>
                <w:szCs w:val="20"/>
                <w:color w:val="auto"/>
              </w:rPr>
            </w:pPr>
            <w:r>
              <w:rPr>
                <w:rFonts w:ascii="Arial" w:cs="Arial" w:eastAsia="Arial" w:hAnsi="Arial"/>
                <w:sz w:val="12"/>
                <w:szCs w:val="12"/>
                <w:color w:val="auto"/>
              </w:rPr>
              <w:t>2,000,000</w:t>
            </w:r>
          </w:p>
        </w:tc>
        <w:tc>
          <w:tcPr>
            <w:tcW w:w="70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4,000,000</w:t>
            </w: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80" w:type="dxa"/>
            <w:vAlign w:val="bottom"/>
          </w:tcPr>
          <w:p>
            <w:pPr>
              <w:ind w:left="80"/>
              <w:spacing w:after="0"/>
              <w:rPr>
                <w:sz w:val="20"/>
                <w:szCs w:val="20"/>
                <w:color w:val="auto"/>
              </w:rPr>
            </w:pPr>
            <w:r>
              <w:rPr>
                <w:rFonts w:ascii="Arial" w:cs="Arial" w:eastAsia="Arial" w:hAnsi="Arial"/>
                <w:sz w:val="12"/>
                <w:szCs w:val="12"/>
                <w:color w:val="auto"/>
              </w:rPr>
              <w:t>CEO</w:t>
            </w:r>
          </w:p>
        </w:tc>
        <w:tc>
          <w:tcPr>
            <w:tcW w:w="820" w:type="dxa"/>
            <w:vAlign w:val="bottom"/>
            <w:gridSpan w:val="2"/>
            <w:vMerge w:val="restart"/>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0</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64,872</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129,744</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6,000,011</w:t>
            </w: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w:t>
            </w:r>
          </w:p>
        </w:tc>
        <w:tc>
          <w:tcPr>
            <w:tcW w:w="560" w:type="dxa"/>
            <w:vAlign w:val="bottom"/>
          </w:tcPr>
          <w:p>
            <w:pPr>
              <w:jc w:val="right"/>
              <w:spacing w:after="0"/>
              <w:rPr>
                <w:sz w:val="20"/>
                <w:szCs w:val="20"/>
                <w:color w:val="auto"/>
              </w:rPr>
            </w:pPr>
            <w:r>
              <w:rPr>
                <w:rFonts w:ascii="Arial" w:cs="Arial" w:eastAsia="Arial" w:hAnsi="Arial"/>
                <w:sz w:val="12"/>
                <w:szCs w:val="12"/>
                <w:color w:val="auto"/>
              </w:rPr>
              <w:t>43,248</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86,496</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4,000,008</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21,624</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2,000,004</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87,605</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92.49</w:t>
            </w:r>
          </w:p>
        </w:tc>
        <w:tc>
          <w:tcPr>
            <w:tcW w:w="680" w:type="dxa"/>
            <w:vAlign w:val="bottom"/>
          </w:tcPr>
          <w:p>
            <w:pPr>
              <w:jc w:val="right"/>
              <w:spacing w:after="0"/>
              <w:rPr>
                <w:sz w:val="20"/>
                <w:szCs w:val="20"/>
                <w:color w:val="auto"/>
              </w:rPr>
            </w:pPr>
            <w:r>
              <w:rPr>
                <w:rFonts w:ascii="Arial" w:cs="Arial" w:eastAsia="Arial" w:hAnsi="Arial"/>
                <w:sz w:val="12"/>
                <w:szCs w:val="12"/>
                <w:color w:val="auto"/>
              </w:rPr>
              <w:t>2,000,022</w:t>
            </w:r>
          </w:p>
        </w:tc>
        <w:tc>
          <w:tcPr>
            <w:tcW w:w="0" w:type="dxa"/>
            <w:vAlign w:val="bottom"/>
          </w:tcPr>
          <w:p>
            <w:pPr>
              <w:spacing w:after="0"/>
              <w:rPr>
                <w:sz w:val="1"/>
                <w:szCs w:val="1"/>
                <w:color w:val="auto"/>
              </w:rPr>
            </w:pPr>
          </w:p>
        </w:tc>
      </w:tr>
      <w:tr>
        <w:trPr>
          <w:trHeight w:val="44"/>
        </w:trPr>
        <w:tc>
          <w:tcPr>
            <w:tcW w:w="29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gridSpan w:val="2"/>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1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56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6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9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John T. McGinnis</w:t>
            </w:r>
          </w:p>
        </w:tc>
        <w:tc>
          <w:tcPr>
            <w:tcW w:w="820" w:type="dxa"/>
            <w:vAlign w:val="bottom"/>
            <w:gridSpan w:val="2"/>
          </w:tcPr>
          <w:p>
            <w:pPr>
              <w:jc w:val="right"/>
              <w:ind w:right="64"/>
              <w:spacing w:after="0" w:line="121" w:lineRule="exact"/>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205,356</w:t>
            </w:r>
          </w:p>
        </w:tc>
        <w:tc>
          <w:tcPr>
            <w:tcW w:w="780" w:type="dxa"/>
            <w:vAlign w:val="bottom"/>
          </w:tcPr>
          <w:p>
            <w:pPr>
              <w:jc w:val="right"/>
              <w:ind w:right="79"/>
              <w:spacing w:after="0" w:line="121" w:lineRule="exact"/>
              <w:rPr>
                <w:sz w:val="20"/>
                <w:szCs w:val="20"/>
                <w:color w:val="auto"/>
              </w:rPr>
            </w:pPr>
            <w:r>
              <w:rPr>
                <w:rFonts w:ascii="Arial" w:cs="Arial" w:eastAsia="Arial" w:hAnsi="Arial"/>
                <w:sz w:val="12"/>
                <w:szCs w:val="12"/>
                <w:color w:val="auto"/>
              </w:rPr>
              <w:t>821,425</w:t>
            </w:r>
          </w:p>
        </w:tc>
        <w:tc>
          <w:tcPr>
            <w:tcW w:w="70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1,642,850</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80" w:type="dxa"/>
            <w:vAlign w:val="bottom"/>
          </w:tcPr>
          <w:p>
            <w:pPr>
              <w:ind w:left="80"/>
              <w:spacing w:after="0"/>
              <w:rPr>
                <w:sz w:val="20"/>
                <w:szCs w:val="20"/>
                <w:color w:val="auto"/>
              </w:rPr>
            </w:pPr>
            <w:r>
              <w:rPr>
                <w:rFonts w:ascii="Arial" w:cs="Arial" w:eastAsia="Arial" w:hAnsi="Arial"/>
                <w:sz w:val="12"/>
                <w:szCs w:val="12"/>
                <w:color w:val="auto"/>
              </w:rPr>
              <w:t>CFO</w:t>
            </w:r>
          </w:p>
        </w:tc>
        <w:tc>
          <w:tcPr>
            <w:tcW w:w="820" w:type="dxa"/>
            <w:vAlign w:val="bottom"/>
            <w:gridSpan w:val="2"/>
            <w:vMerge w:val="restart"/>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0</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19,462</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38,924</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1,800,040</w:t>
            </w: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w:t>
            </w:r>
          </w:p>
        </w:tc>
        <w:tc>
          <w:tcPr>
            <w:tcW w:w="560" w:type="dxa"/>
            <w:vAlign w:val="bottom"/>
          </w:tcPr>
          <w:p>
            <w:pPr>
              <w:jc w:val="right"/>
              <w:spacing w:after="0"/>
              <w:rPr>
                <w:sz w:val="20"/>
                <w:szCs w:val="20"/>
                <w:color w:val="auto"/>
              </w:rPr>
            </w:pPr>
            <w:r>
              <w:rPr>
                <w:rFonts w:ascii="Arial" w:cs="Arial" w:eastAsia="Arial" w:hAnsi="Arial"/>
                <w:sz w:val="12"/>
                <w:szCs w:val="12"/>
                <w:color w:val="auto"/>
              </w:rPr>
              <w:t>12,975</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25,950</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1,200,058</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6,488</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600,075</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26,282</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92.49</w:t>
            </w:r>
          </w:p>
        </w:tc>
        <w:tc>
          <w:tcPr>
            <w:tcW w:w="680" w:type="dxa"/>
            <w:vAlign w:val="bottom"/>
          </w:tcPr>
          <w:p>
            <w:pPr>
              <w:jc w:val="right"/>
              <w:spacing w:after="0"/>
              <w:rPr>
                <w:sz w:val="20"/>
                <w:szCs w:val="20"/>
                <w:color w:val="auto"/>
              </w:rPr>
            </w:pPr>
            <w:r>
              <w:rPr>
                <w:rFonts w:ascii="Arial" w:cs="Arial" w:eastAsia="Arial" w:hAnsi="Arial"/>
                <w:sz w:val="12"/>
                <w:szCs w:val="12"/>
                <w:color w:val="auto"/>
              </w:rPr>
              <w:t>600,018</w:t>
            </w:r>
          </w:p>
        </w:tc>
        <w:tc>
          <w:tcPr>
            <w:tcW w:w="0" w:type="dxa"/>
            <w:vAlign w:val="bottom"/>
          </w:tcPr>
          <w:p>
            <w:pPr>
              <w:spacing w:after="0"/>
              <w:rPr>
                <w:sz w:val="1"/>
                <w:szCs w:val="1"/>
                <w:color w:val="auto"/>
              </w:rPr>
            </w:pPr>
          </w:p>
        </w:tc>
      </w:tr>
      <w:tr>
        <w:trPr>
          <w:trHeight w:val="44"/>
        </w:trPr>
        <w:tc>
          <w:tcPr>
            <w:tcW w:w="29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gridSpan w:val="2"/>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1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56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6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9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Michelle S. Nettles</w:t>
            </w:r>
          </w:p>
        </w:tc>
        <w:tc>
          <w:tcPr>
            <w:tcW w:w="820" w:type="dxa"/>
            <w:vAlign w:val="bottom"/>
            <w:gridSpan w:val="2"/>
          </w:tcPr>
          <w:p>
            <w:pPr>
              <w:jc w:val="right"/>
              <w:ind w:right="64"/>
              <w:spacing w:after="0" w:line="121" w:lineRule="exact"/>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141,625</w:t>
            </w:r>
          </w:p>
        </w:tc>
        <w:tc>
          <w:tcPr>
            <w:tcW w:w="780" w:type="dxa"/>
            <w:vAlign w:val="bottom"/>
          </w:tcPr>
          <w:p>
            <w:pPr>
              <w:jc w:val="right"/>
              <w:ind w:right="79"/>
              <w:spacing w:after="0" w:line="121" w:lineRule="exact"/>
              <w:rPr>
                <w:sz w:val="20"/>
                <w:szCs w:val="20"/>
                <w:color w:val="auto"/>
              </w:rPr>
            </w:pPr>
            <w:r>
              <w:rPr>
                <w:rFonts w:ascii="Arial" w:cs="Arial" w:eastAsia="Arial" w:hAnsi="Arial"/>
                <w:sz w:val="12"/>
                <w:szCs w:val="12"/>
                <w:color w:val="auto"/>
              </w:rPr>
              <w:t>424,875</w:t>
            </w:r>
          </w:p>
        </w:tc>
        <w:tc>
          <w:tcPr>
            <w:tcW w:w="70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849,750</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980" w:type="dxa"/>
            <w:vAlign w:val="bottom"/>
          </w:tcPr>
          <w:p>
            <w:pPr>
              <w:ind w:left="80"/>
              <w:spacing w:after="0" w:line="134" w:lineRule="exact"/>
              <w:rPr>
                <w:sz w:val="20"/>
                <w:szCs w:val="20"/>
                <w:color w:val="auto"/>
              </w:rPr>
            </w:pPr>
            <w:r>
              <w:rPr>
                <w:rFonts w:ascii="Arial" w:cs="Arial" w:eastAsia="Arial" w:hAnsi="Arial"/>
                <w:sz w:val="12"/>
                <w:szCs w:val="12"/>
                <w:color w:val="auto"/>
              </w:rPr>
              <w:t>Chief People</w:t>
            </w:r>
          </w:p>
        </w:tc>
        <w:tc>
          <w:tcPr>
            <w:tcW w:w="820" w:type="dxa"/>
            <w:vAlign w:val="bottom"/>
            <w:gridSpan w:val="2"/>
            <w:vMerge w:val="restart"/>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0</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6,488</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12,976</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600,075</w:t>
            </w:r>
          </w:p>
        </w:tc>
        <w:tc>
          <w:tcPr>
            <w:tcW w:w="0" w:type="dxa"/>
            <w:vAlign w:val="bottom"/>
          </w:tcPr>
          <w:p>
            <w:pPr>
              <w:spacing w:after="0"/>
              <w:rPr>
                <w:sz w:val="1"/>
                <w:szCs w:val="1"/>
                <w:color w:val="auto"/>
              </w:rPr>
            </w:pPr>
          </w:p>
        </w:tc>
      </w:tr>
      <w:tr>
        <w:trPr>
          <w:trHeight w:val="69"/>
        </w:trPr>
        <w:tc>
          <w:tcPr>
            <w:tcW w:w="2980" w:type="dxa"/>
            <w:vAlign w:val="bottom"/>
            <w:vMerge w:val="restart"/>
          </w:tcPr>
          <w:p>
            <w:pPr>
              <w:ind w:left="80"/>
              <w:spacing w:after="0"/>
              <w:rPr>
                <w:sz w:val="20"/>
                <w:szCs w:val="20"/>
                <w:color w:val="auto"/>
              </w:rPr>
            </w:pPr>
            <w:r>
              <w:rPr>
                <w:rFonts w:ascii="Arial" w:cs="Arial" w:eastAsia="Arial" w:hAnsi="Arial"/>
                <w:sz w:val="12"/>
                <w:szCs w:val="12"/>
                <w:color w:val="auto"/>
              </w:rPr>
              <w:t>and Culture Officer</w:t>
            </w: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980" w:type="dxa"/>
            <w:vAlign w:val="bottom"/>
            <w:vMerge w:val="continue"/>
          </w:tcPr>
          <w:p>
            <w:pPr>
              <w:spacing w:after="0"/>
              <w:rPr>
                <w:sz w:val="6"/>
                <w:szCs w:val="6"/>
                <w:color w:val="auto"/>
              </w:rPr>
            </w:pPr>
          </w:p>
        </w:tc>
        <w:tc>
          <w:tcPr>
            <w:tcW w:w="820" w:type="dxa"/>
            <w:vAlign w:val="bottom"/>
            <w:gridSpan w:val="2"/>
            <w:vMerge w:val="restart"/>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0</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4,325</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8,650</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400,019</w:t>
            </w:r>
          </w:p>
        </w:tc>
        <w:tc>
          <w:tcPr>
            <w:tcW w:w="0" w:type="dxa"/>
            <w:vAlign w:val="bottom"/>
          </w:tcPr>
          <w:p>
            <w:pPr>
              <w:spacing w:after="0"/>
              <w:rPr>
                <w:sz w:val="1"/>
                <w:szCs w:val="1"/>
                <w:color w:val="auto"/>
              </w:rPr>
            </w:pPr>
          </w:p>
        </w:tc>
      </w:tr>
      <w:tr>
        <w:trPr>
          <w:trHeight w:val="107"/>
        </w:trPr>
        <w:tc>
          <w:tcPr>
            <w:tcW w:w="29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2,163</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200,056</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8,761</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92.49</w:t>
            </w:r>
          </w:p>
        </w:tc>
        <w:tc>
          <w:tcPr>
            <w:tcW w:w="680" w:type="dxa"/>
            <w:vAlign w:val="bottom"/>
          </w:tcPr>
          <w:p>
            <w:pPr>
              <w:jc w:val="right"/>
              <w:spacing w:after="0"/>
              <w:rPr>
                <w:sz w:val="20"/>
                <w:szCs w:val="20"/>
                <w:color w:val="auto"/>
              </w:rPr>
            </w:pPr>
            <w:r>
              <w:rPr>
                <w:rFonts w:ascii="Arial" w:cs="Arial" w:eastAsia="Arial" w:hAnsi="Arial"/>
                <w:sz w:val="12"/>
                <w:szCs w:val="12"/>
                <w:color w:val="auto"/>
              </w:rPr>
              <w:t>200,014</w:t>
            </w:r>
          </w:p>
        </w:tc>
        <w:tc>
          <w:tcPr>
            <w:tcW w:w="0" w:type="dxa"/>
            <w:vAlign w:val="bottom"/>
          </w:tcPr>
          <w:p>
            <w:pPr>
              <w:spacing w:after="0"/>
              <w:rPr>
                <w:sz w:val="1"/>
                <w:szCs w:val="1"/>
                <w:color w:val="auto"/>
              </w:rPr>
            </w:pPr>
          </w:p>
        </w:tc>
      </w:tr>
      <w:tr>
        <w:trPr>
          <w:trHeight w:val="44"/>
        </w:trPr>
        <w:tc>
          <w:tcPr>
            <w:tcW w:w="29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gridSpan w:val="2"/>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1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56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6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9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Richard Buchband</w:t>
            </w:r>
          </w:p>
        </w:tc>
        <w:tc>
          <w:tcPr>
            <w:tcW w:w="820" w:type="dxa"/>
            <w:vAlign w:val="bottom"/>
            <w:gridSpan w:val="2"/>
          </w:tcPr>
          <w:p>
            <w:pPr>
              <w:jc w:val="right"/>
              <w:ind w:right="64"/>
              <w:spacing w:after="0" w:line="121" w:lineRule="exact"/>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135,188</w:t>
            </w:r>
          </w:p>
        </w:tc>
        <w:tc>
          <w:tcPr>
            <w:tcW w:w="780" w:type="dxa"/>
            <w:vAlign w:val="bottom"/>
          </w:tcPr>
          <w:p>
            <w:pPr>
              <w:jc w:val="right"/>
              <w:ind w:right="79"/>
              <w:spacing w:after="0" w:line="121" w:lineRule="exact"/>
              <w:rPr>
                <w:sz w:val="20"/>
                <w:szCs w:val="20"/>
                <w:color w:val="auto"/>
              </w:rPr>
            </w:pPr>
            <w:r>
              <w:rPr>
                <w:rFonts w:ascii="Arial" w:cs="Arial" w:eastAsia="Arial" w:hAnsi="Arial"/>
                <w:sz w:val="12"/>
                <w:szCs w:val="12"/>
                <w:color w:val="auto"/>
              </w:rPr>
              <w:t>405,563</w:t>
            </w:r>
          </w:p>
        </w:tc>
        <w:tc>
          <w:tcPr>
            <w:tcW w:w="70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811,125</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980" w:type="dxa"/>
            <w:vAlign w:val="bottom"/>
          </w:tcPr>
          <w:p>
            <w:pPr>
              <w:ind w:left="80"/>
              <w:spacing w:after="0" w:line="134" w:lineRule="exact"/>
              <w:rPr>
                <w:sz w:val="20"/>
                <w:szCs w:val="20"/>
                <w:color w:val="auto"/>
              </w:rPr>
            </w:pPr>
            <w:r>
              <w:rPr>
                <w:rFonts w:ascii="Arial" w:cs="Arial" w:eastAsia="Arial" w:hAnsi="Arial"/>
                <w:sz w:val="12"/>
                <w:szCs w:val="12"/>
                <w:color w:val="auto"/>
              </w:rPr>
              <w:t>SVP, General</w:t>
            </w:r>
          </w:p>
        </w:tc>
        <w:tc>
          <w:tcPr>
            <w:tcW w:w="820" w:type="dxa"/>
            <w:vAlign w:val="bottom"/>
            <w:gridSpan w:val="2"/>
            <w:vMerge w:val="restart"/>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0</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5,190</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10,380</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480,023</w:t>
            </w:r>
          </w:p>
        </w:tc>
        <w:tc>
          <w:tcPr>
            <w:tcW w:w="0" w:type="dxa"/>
            <w:vAlign w:val="bottom"/>
          </w:tcPr>
          <w:p>
            <w:pPr>
              <w:spacing w:after="0"/>
              <w:rPr>
                <w:sz w:val="1"/>
                <w:szCs w:val="1"/>
                <w:color w:val="auto"/>
              </w:rPr>
            </w:pPr>
          </w:p>
        </w:tc>
      </w:tr>
      <w:tr>
        <w:trPr>
          <w:trHeight w:val="69"/>
        </w:trPr>
        <w:tc>
          <w:tcPr>
            <w:tcW w:w="2980" w:type="dxa"/>
            <w:vAlign w:val="bottom"/>
            <w:vMerge w:val="restart"/>
          </w:tcPr>
          <w:p>
            <w:pPr>
              <w:ind w:left="80"/>
              <w:spacing w:after="0" w:line="134" w:lineRule="exact"/>
              <w:rPr>
                <w:sz w:val="20"/>
                <w:szCs w:val="20"/>
                <w:color w:val="auto"/>
              </w:rPr>
            </w:pPr>
            <w:r>
              <w:rPr>
                <w:rFonts w:ascii="Arial" w:cs="Arial" w:eastAsia="Arial" w:hAnsi="Arial"/>
                <w:sz w:val="12"/>
                <w:szCs w:val="12"/>
                <w:color w:val="auto"/>
              </w:rPr>
              <w:t>Counsel and</w:t>
            </w: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980" w:type="dxa"/>
            <w:vAlign w:val="bottom"/>
            <w:vMerge w:val="continue"/>
          </w:tcPr>
          <w:p>
            <w:pPr>
              <w:spacing w:after="0"/>
              <w:rPr>
                <w:sz w:val="5"/>
                <w:szCs w:val="5"/>
                <w:color w:val="auto"/>
              </w:rPr>
            </w:pPr>
          </w:p>
        </w:tc>
        <w:tc>
          <w:tcPr>
            <w:tcW w:w="820" w:type="dxa"/>
            <w:vAlign w:val="bottom"/>
            <w:gridSpan w:val="2"/>
            <w:vMerge w:val="restart"/>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0</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3,460</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6,920</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320,015</w:t>
            </w:r>
          </w:p>
        </w:tc>
        <w:tc>
          <w:tcPr>
            <w:tcW w:w="0" w:type="dxa"/>
            <w:vAlign w:val="bottom"/>
          </w:tcPr>
          <w:p>
            <w:pPr>
              <w:spacing w:after="0"/>
              <w:rPr>
                <w:sz w:val="1"/>
                <w:szCs w:val="1"/>
                <w:color w:val="auto"/>
              </w:rPr>
            </w:pPr>
          </w:p>
        </w:tc>
      </w:tr>
      <w:tr>
        <w:trPr>
          <w:trHeight w:val="149"/>
        </w:trPr>
        <w:tc>
          <w:tcPr>
            <w:tcW w:w="2980" w:type="dxa"/>
            <w:vAlign w:val="bottom"/>
          </w:tcPr>
          <w:p>
            <w:pPr>
              <w:ind w:left="80"/>
              <w:spacing w:after="0"/>
              <w:rPr>
                <w:sz w:val="20"/>
                <w:szCs w:val="20"/>
                <w:color w:val="auto"/>
              </w:rPr>
            </w:pPr>
            <w:r>
              <w:rPr>
                <w:rFonts w:ascii="Arial" w:cs="Arial" w:eastAsia="Arial" w:hAnsi="Arial"/>
                <w:sz w:val="12"/>
                <w:szCs w:val="12"/>
                <w:color w:val="auto"/>
              </w:rPr>
              <w:t>Secretary</w:t>
            </w:r>
          </w:p>
        </w:tc>
        <w:tc>
          <w:tcPr>
            <w:tcW w:w="8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1,730</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160,008</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20" w:type="dxa"/>
            <w:vAlign w:val="bottom"/>
            <w:gridSpan w:val="2"/>
          </w:tcPr>
          <w:p>
            <w:pPr>
              <w:jc w:val="right"/>
              <w:ind w:right="64"/>
              <w:spacing w:after="0"/>
              <w:rPr>
                <w:sz w:val="20"/>
                <w:szCs w:val="20"/>
                <w:color w:val="auto"/>
              </w:rPr>
            </w:pPr>
            <w:r>
              <w:rPr>
                <w:rFonts w:ascii="Arial" w:cs="Arial" w:eastAsia="Arial" w:hAnsi="Arial"/>
                <w:sz w:val="12"/>
                <w:szCs w:val="12"/>
                <w:color w:val="auto"/>
              </w:rPr>
              <w:t>2/12/2021</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7,009</w:t>
            </w: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92.49</w:t>
            </w:r>
          </w:p>
        </w:tc>
        <w:tc>
          <w:tcPr>
            <w:tcW w:w="680" w:type="dxa"/>
            <w:vAlign w:val="bottom"/>
          </w:tcPr>
          <w:p>
            <w:pPr>
              <w:jc w:val="right"/>
              <w:spacing w:after="0"/>
              <w:rPr>
                <w:sz w:val="20"/>
                <w:szCs w:val="20"/>
                <w:color w:val="auto"/>
              </w:rPr>
            </w:pPr>
            <w:r>
              <w:rPr>
                <w:rFonts w:ascii="Arial" w:cs="Arial" w:eastAsia="Arial" w:hAnsi="Arial"/>
                <w:sz w:val="12"/>
                <w:szCs w:val="12"/>
                <w:color w:val="auto"/>
              </w:rPr>
              <w:t>160,015</w:t>
            </w:r>
          </w:p>
        </w:tc>
        <w:tc>
          <w:tcPr>
            <w:tcW w:w="0" w:type="dxa"/>
            <w:vAlign w:val="bottom"/>
          </w:tcPr>
          <w:p>
            <w:pPr>
              <w:spacing w:after="0"/>
              <w:rPr>
                <w:sz w:val="1"/>
                <w:szCs w:val="1"/>
                <w:color w:val="auto"/>
              </w:rPr>
            </w:pPr>
          </w:p>
        </w:tc>
      </w:tr>
      <w:tr>
        <w:trPr>
          <w:trHeight w:val="44"/>
        </w:trPr>
        <w:tc>
          <w:tcPr>
            <w:tcW w:w="2980" w:type="dxa"/>
            <w:vAlign w:val="bottom"/>
            <w:tcBorders>
              <w:bottom w:val="single" w:sz="8" w:color="5D89B4"/>
            </w:tcBorders>
          </w:tcPr>
          <w:p>
            <w:pPr>
              <w:spacing w:after="0"/>
              <w:rPr>
                <w:sz w:val="3"/>
                <w:szCs w:val="3"/>
                <w:color w:val="auto"/>
              </w:rPr>
            </w:pPr>
          </w:p>
        </w:tc>
        <w:tc>
          <w:tcPr>
            <w:tcW w:w="100" w:type="dxa"/>
            <w:vAlign w:val="bottom"/>
            <w:tcBorders>
              <w:bottom w:val="single" w:sz="8" w:color="5D89B4"/>
            </w:tcBorders>
          </w:tcPr>
          <w:p>
            <w:pPr>
              <w:spacing w:after="0"/>
              <w:rPr>
                <w:sz w:val="3"/>
                <w:szCs w:val="3"/>
                <w:color w:val="auto"/>
              </w:rPr>
            </w:pPr>
          </w:p>
        </w:tc>
        <w:tc>
          <w:tcPr>
            <w:tcW w:w="7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1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56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6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84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40" w:hanging="433"/>
        <w:spacing w:after="0"/>
        <w:tabs>
          <w:tab w:leader="none" w:pos="4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These amounts represent the threshold, target, and maximum annual cash incentive awards established under the Annual Incentive Plan.</w:t>
      </w:r>
    </w:p>
    <w:p>
      <w:pPr>
        <w:spacing w:after="0" w:line="66" w:lineRule="exact"/>
        <w:rPr>
          <w:rFonts w:ascii="Arial" w:cs="Arial" w:eastAsia="Arial" w:hAnsi="Arial"/>
          <w:sz w:val="14"/>
          <w:szCs w:val="14"/>
          <w:color w:val="auto"/>
        </w:rPr>
      </w:pPr>
    </w:p>
    <w:p>
      <w:pPr>
        <w:ind w:left="440" w:right="160" w:hanging="433"/>
        <w:spacing w:after="0" w:line="254" w:lineRule="auto"/>
        <w:tabs>
          <w:tab w:leader="none" w:pos="4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These amounts represent the number of PSUs that could be earned related to the PSUs granted in 2021 under the 2011 Equity Incentive Plan. The first grant in this column for each of the NEOs represents the “regular” annual PSU grant. The second grant in this column for each of the NEOs represents the 2021 Special Grant.</w:t>
      </w:r>
    </w:p>
    <w:p>
      <w:pPr>
        <w:spacing w:after="0" w:line="47" w:lineRule="exact"/>
        <w:rPr>
          <w:rFonts w:ascii="Arial" w:cs="Arial" w:eastAsia="Arial" w:hAnsi="Arial"/>
          <w:sz w:val="14"/>
          <w:szCs w:val="14"/>
          <w:color w:val="auto"/>
        </w:rPr>
      </w:pPr>
    </w:p>
    <w:p>
      <w:pPr>
        <w:ind w:left="440" w:hanging="433"/>
        <w:spacing w:after="0"/>
        <w:tabs>
          <w:tab w:leader="none" w:pos="4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previously mentioned, the payout at the threshold level for PSU grants was reduced from 50% to 0% of the award beginning with the 2021 PSU grants.</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Amounts represent the number of RSUs granted in 2021 under the 2011 Equity Incentive Plan.</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These amounts represent the number of shares underlying stock options that were granted in 2021 under the 2011 Equity Incentive Plan.</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grant date fair value of stock and option awards granted in 2021 that are reported in this column have been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51</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Compensation Agreements and Arrangements</w:t>
      </w:r>
    </w:p>
    <w:p>
      <w:pPr>
        <w:spacing w:after="0" w:line="139"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auto"/>
        </w:rPr>
        <w:t>Messrs. Prising, McGinnis, Buchband and Ms. Nettles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Grants Under the 2011 Equity Incentive Plan</w:t>
      </w:r>
    </w:p>
    <w:p>
      <w:pPr>
        <w:spacing w:after="0" w:line="161"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b w:val="1"/>
          <w:bCs w:val="1"/>
          <w:color w:val="5D89B4"/>
        </w:rPr>
        <w:t xml:space="preserve">Stock options. </w:t>
      </w:r>
      <w:r>
        <w:rPr>
          <w:rFonts w:ascii="Arial" w:cs="Arial" w:eastAsia="Arial" w:hAnsi="Arial"/>
          <w:sz w:val="15"/>
          <w:szCs w:val="15"/>
          <w:color w:val="000000"/>
        </w:rPr>
        <w:t>ManpowerGroup made grants of stock options to all of the executive officers under the 2011 Equity Incentive Plan in February 2021. The stock</w:t>
      </w:r>
      <w:r>
        <w:rPr>
          <w:rFonts w:ascii="Arial" w:cs="Arial" w:eastAsia="Arial" w:hAnsi="Arial"/>
          <w:sz w:val="15"/>
          <w:szCs w:val="15"/>
          <w:b w:val="1"/>
          <w:bCs w:val="1"/>
          <w:color w:val="5D89B4"/>
        </w:rPr>
        <w:t xml:space="preserve"> </w:t>
      </w:r>
      <w:r>
        <w:rPr>
          <w:rFonts w:ascii="Arial" w:cs="Arial" w:eastAsia="Arial" w:hAnsi="Arial"/>
          <w:sz w:val="15"/>
          <w:szCs w:val="15"/>
          <w:color w:val="000000"/>
        </w:rPr>
        <w:t>options granted in 2021 vest 25% per year over a four-year period and if they are not exercised, they expire in ten years (or earlier following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5D89B4"/>
        </w:rPr>
        <w:t xml:space="preserve">PSUs. </w:t>
      </w:r>
      <w:r>
        <w:rPr>
          <w:rFonts w:ascii="Arial" w:cs="Arial" w:eastAsia="Arial" w:hAnsi="Arial"/>
          <w:sz w:val="15"/>
          <w:szCs w:val="15"/>
          <w:color w:val="000000"/>
        </w:rPr>
        <w:t>ManpowerGroup made grants of PSUs to all of the executive officers under the 2011 Equity Incentive Plan in February 2021. Each executive officer</w:t>
      </w:r>
      <w:r>
        <w:rPr>
          <w:rFonts w:ascii="Arial" w:cs="Arial" w:eastAsia="Arial" w:hAnsi="Arial"/>
          <w:sz w:val="15"/>
          <w:szCs w:val="15"/>
          <w:b w:val="1"/>
          <w:bCs w:val="1"/>
          <w:color w:val="5D89B4"/>
        </w:rPr>
        <w:t xml:space="preserve"> </w:t>
      </w:r>
      <w:r>
        <w:rPr>
          <w:rFonts w:ascii="Arial" w:cs="Arial" w:eastAsia="Arial" w:hAnsi="Arial"/>
          <w:sz w:val="15"/>
          <w:szCs w:val="15"/>
          <w:color w:val="000000"/>
        </w:rPr>
        <w:t>received a “regular” annual PSU grant that will vest over three years. Vesting for these grants is based on achievement of a pre-established goal for annual OPMP, over a one-year period ending December 31, 2021. However, these are still three-year grants insofar as vesting does not occur until the completion of a three-year holding period following the date of grant, and the discretionary application of a modifier. The Committee included a modifier to the final PSU payout that can increase or decrease the final PSU payout (that was determined based on the OPMP for the 1-year performance period and a dollar gate) by up to 30% but the modifier cannot be used to adjust the payout below threshold or above outstanding. The modifier is based on an evaluation of pre-established strategic growth initiatives over three years. An operating profit “gate” was also established for the PSUs to ensure operating profit margins are achieved without significantly decreasing revenues. Participants cannot receive more than 100% of the target level payout unless average operating profit for the performance period exceeds the gate.</w:t>
      </w:r>
    </w:p>
    <w:p>
      <w:pPr>
        <w:spacing w:after="0" w:line="216"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In addition to the regular grant of PSUs above, ManpowerGroup made a one-time special grant of PSUs to the NEOs in February 2021, which was designed to incentivize the NEOs to drive Company performance for the critical periods of 2021 and 2022. The payout is keyed to performance over the years 2021 and 2022, the remaining two years in the 2020-2022 PSU cycle that was set immediately before the onset of the pandemic in early 2020. Similar to the “regular” PSU grants, the Committee included a gate and a modifier to the final PSU payout that can increase or decrease the final PSU payout (that is determined based on the OPMP for the 2-year performance period and the dollar gate) by up to 30%. The modifier is based on an evaluation of the pre-established strategic growth initiatives over two years. These strategic growth initiatives are the same as those for the annual PSU grant.</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See page 42 for descriptions of the goals and initiatives established by the Committee for the 2021 PSU grants.</w:t>
      </w:r>
    </w:p>
    <w:p>
      <w:pPr>
        <w:spacing w:after="0" w:line="135" w:lineRule="exact"/>
        <w:rPr>
          <w:sz w:val="20"/>
          <w:szCs w:val="20"/>
          <w:color w:val="auto"/>
        </w:rPr>
      </w:pPr>
    </w:p>
    <w:p>
      <w:pPr>
        <w:jc w:val="both"/>
        <w:ind w:right="40"/>
        <w:spacing w:after="0" w:line="232" w:lineRule="auto"/>
        <w:rPr>
          <w:sz w:val="20"/>
          <w:szCs w:val="20"/>
          <w:color w:val="auto"/>
        </w:rPr>
      </w:pPr>
      <w:r>
        <w:rPr>
          <w:rFonts w:ascii="Arial" w:cs="Arial" w:eastAsia="Arial" w:hAnsi="Arial"/>
          <w:sz w:val="15"/>
          <w:szCs w:val="15"/>
          <w:color w:val="auto"/>
        </w:rPr>
        <w:t>No dividends are paid or accumulated on the 2021 PSU grants unless and until actual shares are issued to the executive officer upon the vesting of the PSUs and in such case, dividends would be paid only for record dates occurring after the issuance date. Additional vesting terms applicable to these grants are described in further detail in the section entitled “Termination of Employment and Change of Control Arrangements” following the Nonqualified Deferred Compensation Table.</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5"/>
          <w:szCs w:val="15"/>
          <w:b w:val="1"/>
          <w:bCs w:val="1"/>
          <w:color w:val="5D89B4"/>
        </w:rPr>
        <w:t xml:space="preserve">RSUs. </w:t>
      </w:r>
      <w:r>
        <w:rPr>
          <w:rFonts w:ascii="Arial" w:cs="Arial" w:eastAsia="Arial" w:hAnsi="Arial"/>
          <w:sz w:val="15"/>
          <w:szCs w:val="15"/>
          <w:color w:val="000000"/>
        </w:rPr>
        <w:t>The RSUs granted to the executive officers under the 2011 Equity Incentive Plan in February 2021 have a three-year cliff vest and are earned as long as</w:t>
      </w:r>
      <w:r>
        <w:rPr>
          <w:rFonts w:ascii="Arial" w:cs="Arial" w:eastAsia="Arial" w:hAnsi="Arial"/>
          <w:sz w:val="15"/>
          <w:szCs w:val="15"/>
          <w:b w:val="1"/>
          <w:bCs w:val="1"/>
          <w:color w:val="5D89B4"/>
        </w:rPr>
        <w:t xml:space="preserve"> </w:t>
      </w:r>
      <w:r>
        <w:rPr>
          <w:rFonts w:ascii="Arial" w:cs="Arial" w:eastAsia="Arial" w:hAnsi="Arial"/>
          <w:sz w:val="15"/>
          <w:szCs w:val="15"/>
          <w:color w:val="000000"/>
        </w:rPr>
        <w:t>the executive officer continues to be employed by the Company. Dividend equivalents are accumulated on the RSUs under these awards and vest on the same basis as the underlying award. Additional vesting terms applicable to these grants are described in further detail in the section entitled “Termination of Employment and Change of Control Arrangements” following the Nonqualified Deferred Compensation Table.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5D89B4"/>
        </w:rPr>
        <w:t xml:space="preserve">Career shares. </w:t>
      </w:r>
      <w:r>
        <w:rPr>
          <w:rFonts w:ascii="Arial" w:cs="Arial" w:eastAsia="Arial" w:hAnsi="Arial"/>
          <w:sz w:val="15"/>
          <w:szCs w:val="15"/>
          <w:color w:val="000000"/>
        </w:rPr>
        <w:t>ManpowerGroup did not make any career share grants to any of the NEOs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69297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00"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52</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165" w:right="5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Outstanding Equity Awards at December 31, 2021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880" w:type="dxa"/>
            <w:vAlign w:val="bottom"/>
            <w:shd w:val="clear" w:color="auto" w:fill="EAEAEA"/>
          </w:tcPr>
          <w:p>
            <w:pPr>
              <w:spacing w:after="0"/>
              <w:rPr>
                <w:sz w:val="16"/>
                <w:szCs w:val="16"/>
                <w:color w:val="auto"/>
              </w:rPr>
            </w:pPr>
          </w:p>
        </w:tc>
        <w:tc>
          <w:tcPr>
            <w:tcW w:w="2280" w:type="dxa"/>
            <w:vAlign w:val="bottom"/>
            <w:gridSpan w:val="2"/>
            <w:shd w:val="clear" w:color="auto" w:fill="EAEAEA"/>
          </w:tcPr>
          <w:p>
            <w:pPr>
              <w:jc w:val="right"/>
              <w:ind w:right="316"/>
              <w:spacing w:after="0"/>
              <w:rPr>
                <w:sz w:val="20"/>
                <w:szCs w:val="20"/>
                <w:color w:val="auto"/>
              </w:rPr>
            </w:pPr>
            <w:r>
              <w:rPr>
                <w:rFonts w:ascii="Arial" w:cs="Arial" w:eastAsia="Arial" w:hAnsi="Arial"/>
                <w:sz w:val="11"/>
                <w:szCs w:val="11"/>
                <w:b w:val="1"/>
                <w:bCs w:val="1"/>
                <w:color w:val="5D89B4"/>
              </w:rPr>
              <w:t>OPTION AWARDS</w:t>
            </w:r>
          </w:p>
        </w:tc>
        <w:tc>
          <w:tcPr>
            <w:tcW w:w="200" w:type="dxa"/>
            <w:vAlign w:val="bottom"/>
            <w:shd w:val="clear" w:color="auto" w:fill="EAEAEA"/>
          </w:tcPr>
          <w:p>
            <w:pPr>
              <w:spacing w:after="0"/>
              <w:rPr>
                <w:sz w:val="16"/>
                <w:szCs w:val="16"/>
                <w:color w:val="auto"/>
              </w:rPr>
            </w:pPr>
          </w:p>
        </w:tc>
        <w:tc>
          <w:tcPr>
            <w:tcW w:w="540" w:type="dxa"/>
            <w:vAlign w:val="bottom"/>
            <w:shd w:val="clear" w:color="auto" w:fill="EAEAEA"/>
          </w:tcPr>
          <w:p>
            <w:pPr>
              <w:spacing w:after="0"/>
              <w:rPr>
                <w:sz w:val="16"/>
                <w:szCs w:val="16"/>
                <w:color w:val="auto"/>
              </w:rPr>
            </w:pPr>
          </w:p>
        </w:tc>
        <w:tc>
          <w:tcPr>
            <w:tcW w:w="78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0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2000" w:type="dxa"/>
            <w:vAlign w:val="bottom"/>
            <w:gridSpan w:val="2"/>
            <w:shd w:val="clear" w:color="auto" w:fill="EAEAEA"/>
          </w:tcPr>
          <w:p>
            <w:pPr>
              <w:jc w:val="right"/>
              <w:ind w:right="616"/>
              <w:spacing w:after="0"/>
              <w:rPr>
                <w:sz w:val="20"/>
                <w:szCs w:val="20"/>
                <w:color w:val="auto"/>
              </w:rPr>
            </w:pPr>
            <w:r>
              <w:rPr>
                <w:rFonts w:ascii="Arial" w:cs="Arial" w:eastAsia="Arial" w:hAnsi="Arial"/>
                <w:sz w:val="11"/>
                <w:szCs w:val="11"/>
                <w:b w:val="1"/>
                <w:bCs w:val="1"/>
                <w:color w:val="5D89B4"/>
              </w:rPr>
              <w:t>STOCK AWARDS</w:t>
            </w:r>
          </w:p>
        </w:tc>
        <w:tc>
          <w:tcPr>
            <w:tcW w:w="18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740" w:type="dxa"/>
            <w:vAlign w:val="bottom"/>
            <w:tcBorders>
              <w:bottom w:val="single" w:sz="8" w:color="EAEAEA"/>
            </w:tcBorders>
            <w:shd w:val="clear" w:color="auto" w:fill="EAEAEA"/>
          </w:tcPr>
          <w:p>
            <w:pPr>
              <w:spacing w:after="0"/>
              <w:rPr>
                <w:sz w:val="5"/>
                <w:szCs w:val="5"/>
                <w:color w:val="auto"/>
              </w:rPr>
            </w:pPr>
          </w:p>
        </w:tc>
        <w:tc>
          <w:tcPr>
            <w:tcW w:w="140" w:type="dxa"/>
            <w:vAlign w:val="bottom"/>
            <w:tcBorders>
              <w:bottom w:val="single" w:sz="8" w:color="EAEAEA"/>
            </w:tcBorders>
            <w:shd w:val="clear" w:color="auto" w:fill="EAEAEA"/>
          </w:tcPr>
          <w:p>
            <w:pPr>
              <w:spacing w:after="0"/>
              <w:rPr>
                <w:sz w:val="5"/>
                <w:szCs w:val="5"/>
                <w:color w:val="auto"/>
              </w:rPr>
            </w:pPr>
          </w:p>
        </w:tc>
        <w:tc>
          <w:tcPr>
            <w:tcW w:w="880" w:type="dxa"/>
            <w:vAlign w:val="bottom"/>
            <w:tcBorders>
              <w:bottom w:val="single" w:sz="8" w:color="5D89B4"/>
            </w:tcBorders>
            <w:shd w:val="clear" w:color="auto" w:fill="EAEAEA"/>
          </w:tcPr>
          <w:p>
            <w:pPr>
              <w:spacing w:after="0"/>
              <w:rPr>
                <w:sz w:val="5"/>
                <w:szCs w:val="5"/>
                <w:color w:val="auto"/>
              </w:rPr>
            </w:pPr>
          </w:p>
        </w:tc>
        <w:tc>
          <w:tcPr>
            <w:tcW w:w="1260" w:type="dxa"/>
            <w:vAlign w:val="bottom"/>
            <w:tcBorders>
              <w:bottom w:val="single" w:sz="8" w:color="5D89B4"/>
            </w:tcBorders>
            <w:shd w:val="clear" w:color="auto" w:fill="EAEAEA"/>
          </w:tcPr>
          <w:p>
            <w:pPr>
              <w:spacing w:after="0"/>
              <w:rPr>
                <w:sz w:val="5"/>
                <w:szCs w:val="5"/>
                <w:color w:val="auto"/>
              </w:rPr>
            </w:pPr>
          </w:p>
        </w:tc>
        <w:tc>
          <w:tcPr>
            <w:tcW w:w="102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540" w:type="dxa"/>
            <w:vAlign w:val="bottom"/>
            <w:tcBorders>
              <w:bottom w:val="single" w:sz="8" w:color="5D89B4"/>
            </w:tcBorders>
            <w:shd w:val="clear" w:color="auto" w:fill="EAEAEA"/>
          </w:tcPr>
          <w:p>
            <w:pPr>
              <w:spacing w:after="0"/>
              <w:rPr>
                <w:sz w:val="5"/>
                <w:szCs w:val="5"/>
                <w:color w:val="auto"/>
              </w:rPr>
            </w:pPr>
          </w:p>
        </w:tc>
        <w:tc>
          <w:tcPr>
            <w:tcW w:w="780" w:type="dxa"/>
            <w:vAlign w:val="bottom"/>
            <w:tcBorders>
              <w:bottom w:val="single" w:sz="8" w:color="5D89B4"/>
            </w:tcBorders>
            <w:shd w:val="clear" w:color="auto" w:fill="EAEAEA"/>
          </w:tcPr>
          <w:p>
            <w:pPr>
              <w:spacing w:after="0"/>
              <w:rPr>
                <w:sz w:val="5"/>
                <w:szCs w:val="5"/>
                <w:color w:val="auto"/>
              </w:rPr>
            </w:pPr>
          </w:p>
        </w:tc>
        <w:tc>
          <w:tcPr>
            <w:tcW w:w="140" w:type="dxa"/>
            <w:vAlign w:val="bottom"/>
            <w:tcBorders>
              <w:bottom w:val="single" w:sz="8" w:color="EAEAEA"/>
            </w:tcBorders>
            <w:shd w:val="clear" w:color="auto" w:fill="EAEAEA"/>
          </w:tcPr>
          <w:p>
            <w:pPr>
              <w:spacing w:after="0"/>
              <w:rPr>
                <w:sz w:val="5"/>
                <w:szCs w:val="5"/>
                <w:color w:val="auto"/>
              </w:rPr>
            </w:pPr>
          </w:p>
        </w:tc>
        <w:tc>
          <w:tcPr>
            <w:tcW w:w="1040" w:type="dxa"/>
            <w:vAlign w:val="bottom"/>
            <w:tcBorders>
              <w:bottom w:val="single" w:sz="8" w:color="5D89B4"/>
            </w:tcBorders>
            <w:shd w:val="clear" w:color="auto" w:fill="EAEAEA"/>
          </w:tcPr>
          <w:p>
            <w:pPr>
              <w:spacing w:after="0"/>
              <w:rPr>
                <w:sz w:val="5"/>
                <w:szCs w:val="5"/>
                <w:color w:val="auto"/>
              </w:rPr>
            </w:pPr>
          </w:p>
        </w:tc>
        <w:tc>
          <w:tcPr>
            <w:tcW w:w="180" w:type="dxa"/>
            <w:vAlign w:val="bottom"/>
            <w:tcBorders>
              <w:bottom w:val="single" w:sz="8" w:color="5D89B4"/>
            </w:tcBorders>
            <w:shd w:val="clear" w:color="auto" w:fill="EAEAEA"/>
          </w:tcPr>
          <w:p>
            <w:pPr>
              <w:spacing w:after="0"/>
              <w:rPr>
                <w:sz w:val="5"/>
                <w:szCs w:val="5"/>
                <w:color w:val="auto"/>
              </w:rPr>
            </w:pPr>
          </w:p>
        </w:tc>
        <w:tc>
          <w:tcPr>
            <w:tcW w:w="700" w:type="dxa"/>
            <w:vAlign w:val="bottom"/>
            <w:tcBorders>
              <w:bottom w:val="single" w:sz="8" w:color="5D89B4"/>
            </w:tcBorders>
            <w:shd w:val="clear" w:color="auto" w:fill="EAEAEA"/>
          </w:tcPr>
          <w:p>
            <w:pPr>
              <w:spacing w:after="0"/>
              <w:rPr>
                <w:sz w:val="5"/>
                <w:szCs w:val="5"/>
                <w:color w:val="auto"/>
              </w:rPr>
            </w:pPr>
          </w:p>
        </w:tc>
        <w:tc>
          <w:tcPr>
            <w:tcW w:w="1300" w:type="dxa"/>
            <w:vAlign w:val="bottom"/>
            <w:tcBorders>
              <w:bottom w:val="single" w:sz="8" w:color="5D89B4"/>
            </w:tcBorders>
            <w:shd w:val="clear" w:color="auto" w:fill="EAEAEA"/>
          </w:tcPr>
          <w:p>
            <w:pPr>
              <w:spacing w:after="0"/>
              <w:rPr>
                <w:sz w:val="5"/>
                <w:szCs w:val="5"/>
                <w:color w:val="auto"/>
              </w:rPr>
            </w:pPr>
          </w:p>
        </w:tc>
        <w:tc>
          <w:tcPr>
            <w:tcW w:w="180" w:type="dxa"/>
            <w:vAlign w:val="bottom"/>
            <w:tcBorders>
              <w:bottom w:val="single" w:sz="8" w:color="5D89B4"/>
            </w:tcBorders>
            <w:shd w:val="clear" w:color="auto" w:fill="EAEAEA"/>
          </w:tcPr>
          <w:p>
            <w:pPr>
              <w:spacing w:after="0"/>
              <w:rPr>
                <w:sz w:val="5"/>
                <w:szCs w:val="5"/>
                <w:color w:val="auto"/>
              </w:rPr>
            </w:pPr>
          </w:p>
        </w:tc>
        <w:tc>
          <w:tcPr>
            <w:tcW w:w="820" w:type="dxa"/>
            <w:vAlign w:val="bottom"/>
            <w:tcBorders>
              <w:bottom w:val="single" w:sz="8" w:color="5D89B4"/>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74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54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104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EQUITY</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130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EQUITY</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INCENTIVE</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130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INCENTIVE</w:t>
            </w:r>
          </w:p>
        </w:tc>
        <w:tc>
          <w:tcPr>
            <w:tcW w:w="100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PLAN AWARDS:</w:t>
            </w:r>
          </w:p>
        </w:tc>
        <w:tc>
          <w:tcPr>
            <w:tcW w:w="0" w:type="dxa"/>
            <w:vAlign w:val="bottom"/>
          </w:tcPr>
          <w:p>
            <w:pPr>
              <w:spacing w:after="0"/>
              <w:rPr>
                <w:sz w:val="1"/>
                <w:szCs w:val="1"/>
                <w:color w:val="auto"/>
              </w:rPr>
            </w:pPr>
          </w:p>
        </w:tc>
      </w:tr>
      <w:tr>
        <w:trPr>
          <w:trHeight w:val="122"/>
        </w:trPr>
        <w:tc>
          <w:tcPr>
            <w:tcW w:w="174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6"/>
              <w:spacing w:after="0" w:line="122"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1300" w:type="dxa"/>
            <w:vAlign w:val="bottom"/>
            <w:shd w:val="clear" w:color="auto" w:fill="EAEAEA"/>
          </w:tcPr>
          <w:p>
            <w:pPr>
              <w:jc w:val="right"/>
              <w:ind w:right="276"/>
              <w:spacing w:after="0" w:line="122" w:lineRule="exact"/>
              <w:rPr>
                <w:sz w:val="20"/>
                <w:szCs w:val="20"/>
                <w:color w:val="auto"/>
              </w:rPr>
            </w:pPr>
            <w:r>
              <w:rPr>
                <w:rFonts w:ascii="Arial" w:cs="Arial" w:eastAsia="Arial" w:hAnsi="Arial"/>
                <w:sz w:val="11"/>
                <w:szCs w:val="11"/>
                <w:b w:val="1"/>
                <w:bCs w:val="1"/>
                <w:color w:val="5D89B4"/>
              </w:rPr>
              <w:t>PLAN AWARDS:</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2" w:lineRule="exact"/>
              <w:rPr>
                <w:sz w:val="20"/>
                <w:szCs w:val="20"/>
                <w:color w:val="auto"/>
              </w:rPr>
            </w:pPr>
            <w:r>
              <w:rPr>
                <w:rFonts w:ascii="Arial" w:cs="Arial" w:eastAsia="Arial" w:hAnsi="Arial"/>
                <w:sz w:val="11"/>
                <w:szCs w:val="11"/>
                <w:b w:val="1"/>
                <w:bCs w:val="1"/>
                <w:color w:val="5D89B4"/>
              </w:rPr>
              <w:t>MARKET OR</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INCENTIVE</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MARKET</w:t>
            </w:r>
          </w:p>
        </w:tc>
        <w:tc>
          <w:tcPr>
            <w:tcW w:w="130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NUMBER OF</w:t>
            </w:r>
          </w:p>
        </w:tc>
        <w:tc>
          <w:tcPr>
            <w:tcW w:w="100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PAYOUT VALUE</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NUMBER OF</w:t>
            </w:r>
          </w:p>
        </w:tc>
        <w:tc>
          <w:tcPr>
            <w:tcW w:w="126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NUMBER OF</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5"/>
              <w:spacing w:after="0" w:line="121" w:lineRule="exact"/>
              <w:rPr>
                <w:sz w:val="20"/>
                <w:szCs w:val="20"/>
                <w:color w:val="auto"/>
              </w:rPr>
            </w:pPr>
            <w:r>
              <w:rPr>
                <w:rFonts w:ascii="Arial" w:cs="Arial" w:eastAsia="Arial" w:hAnsi="Arial"/>
                <w:sz w:val="11"/>
                <w:szCs w:val="11"/>
                <w:b w:val="1"/>
                <w:bCs w:val="1"/>
                <w:color w:val="5D89B4"/>
              </w:rPr>
              <w:t>NUMBER</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VALUE</w:t>
            </w:r>
          </w:p>
        </w:tc>
        <w:tc>
          <w:tcPr>
            <w:tcW w:w="130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UNEARNED</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4"/>
              </w:rPr>
              <w:t>OF UNEARNED</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SECURITIES</w:t>
            </w:r>
          </w:p>
        </w:tc>
        <w:tc>
          <w:tcPr>
            <w:tcW w:w="126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SECURITIES</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NUMBER OF</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5"/>
              <w:spacing w:after="0" w:line="121" w:lineRule="exact"/>
              <w:rPr>
                <w:sz w:val="20"/>
                <w:szCs w:val="20"/>
                <w:color w:val="auto"/>
              </w:rPr>
            </w:pPr>
            <w:r>
              <w:rPr>
                <w:rFonts w:ascii="Arial" w:cs="Arial" w:eastAsia="Arial" w:hAnsi="Arial"/>
                <w:sz w:val="11"/>
                <w:szCs w:val="11"/>
                <w:b w:val="1"/>
                <w:bCs w:val="1"/>
                <w:color w:val="5D89B4"/>
              </w:rPr>
              <w:t>OF SHARES</w:t>
            </w:r>
          </w:p>
        </w:tc>
        <w:tc>
          <w:tcPr>
            <w:tcW w:w="880" w:type="dxa"/>
            <w:vAlign w:val="bottom"/>
            <w:gridSpan w:val="2"/>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OF SHARES</w:t>
            </w:r>
          </w:p>
        </w:tc>
        <w:tc>
          <w:tcPr>
            <w:tcW w:w="130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SHARES, UNITS,</w:t>
            </w:r>
          </w:p>
        </w:tc>
        <w:tc>
          <w:tcPr>
            <w:tcW w:w="100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SHARES, UNITS,</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UNDERLYING</w:t>
            </w:r>
          </w:p>
        </w:tc>
        <w:tc>
          <w:tcPr>
            <w:tcW w:w="126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UNDERLYING</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SECURITIES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5"/>
              <w:spacing w:after="0" w:line="121" w:lineRule="exact"/>
              <w:rPr>
                <w:sz w:val="20"/>
                <w:szCs w:val="20"/>
                <w:color w:val="auto"/>
              </w:rPr>
            </w:pPr>
            <w:r>
              <w:rPr>
                <w:rFonts w:ascii="Arial" w:cs="Arial" w:eastAsia="Arial" w:hAnsi="Arial"/>
                <w:sz w:val="11"/>
                <w:szCs w:val="11"/>
                <w:b w:val="1"/>
                <w:bCs w:val="1"/>
                <w:color w:val="5D89B4"/>
              </w:rPr>
              <w:t>OR UNITS</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OR UNITS</w:t>
            </w:r>
          </w:p>
        </w:tc>
        <w:tc>
          <w:tcPr>
            <w:tcW w:w="130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OR OTHER</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OR OTHER</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w w:val="95"/>
              </w:rPr>
              <w:t>UNEXERCISED</w:t>
            </w:r>
          </w:p>
        </w:tc>
        <w:tc>
          <w:tcPr>
            <w:tcW w:w="126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UNEXERCISED</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UNDERLYING</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4"/>
              <w:spacing w:after="0" w:line="121" w:lineRule="exact"/>
              <w:rPr>
                <w:sz w:val="20"/>
                <w:szCs w:val="20"/>
                <w:color w:val="auto"/>
              </w:rPr>
            </w:pPr>
            <w:r>
              <w:rPr>
                <w:rFonts w:ascii="Arial" w:cs="Arial" w:eastAsia="Arial" w:hAnsi="Arial"/>
                <w:sz w:val="11"/>
                <w:szCs w:val="11"/>
                <w:b w:val="1"/>
                <w:bCs w:val="1"/>
                <w:color w:val="5D89B4"/>
                <w:w w:val="99"/>
              </w:rPr>
              <w:t>OPTION</w:t>
            </w:r>
          </w:p>
        </w:tc>
        <w:tc>
          <w:tcPr>
            <w:tcW w:w="7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5"/>
              <w:spacing w:after="0" w:line="121" w:lineRule="exact"/>
              <w:rPr>
                <w:sz w:val="20"/>
                <w:szCs w:val="20"/>
                <w:color w:val="auto"/>
              </w:rPr>
            </w:pPr>
            <w:r>
              <w:rPr>
                <w:rFonts w:ascii="Arial" w:cs="Arial" w:eastAsia="Arial" w:hAnsi="Arial"/>
                <w:sz w:val="11"/>
                <w:szCs w:val="11"/>
                <w:b w:val="1"/>
                <w:bCs w:val="1"/>
                <w:color w:val="5D89B4"/>
              </w:rPr>
              <w:t>OF STOCK</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OF STOCK</w:t>
            </w:r>
          </w:p>
        </w:tc>
        <w:tc>
          <w:tcPr>
            <w:tcW w:w="130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RIGHTS</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RIGHTS</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OPTIONS</w:t>
            </w:r>
          </w:p>
        </w:tc>
        <w:tc>
          <w:tcPr>
            <w:tcW w:w="126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OPTIONS</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UNEXERCISED</w:t>
            </w:r>
          </w:p>
        </w:tc>
        <w:tc>
          <w:tcPr>
            <w:tcW w:w="740" w:type="dxa"/>
            <w:vAlign w:val="bottom"/>
            <w:gridSpan w:val="2"/>
            <w:shd w:val="clear" w:color="auto" w:fill="EAEAEA"/>
          </w:tcPr>
          <w:p>
            <w:pPr>
              <w:ind w:left="100"/>
              <w:spacing w:after="0" w:line="121" w:lineRule="exact"/>
              <w:rPr>
                <w:sz w:val="20"/>
                <w:szCs w:val="20"/>
                <w:color w:val="auto"/>
              </w:rPr>
            </w:pPr>
            <w:r>
              <w:rPr>
                <w:rFonts w:ascii="Arial" w:cs="Arial" w:eastAsia="Arial" w:hAnsi="Arial"/>
                <w:sz w:val="11"/>
                <w:szCs w:val="11"/>
                <w:b w:val="1"/>
                <w:bCs w:val="1"/>
                <w:color w:val="5D89B4"/>
              </w:rPr>
              <w:t>EXERCISE</w:t>
            </w:r>
          </w:p>
        </w:tc>
        <w:tc>
          <w:tcPr>
            <w:tcW w:w="920" w:type="dxa"/>
            <w:vAlign w:val="bottom"/>
            <w:gridSpan w:val="2"/>
            <w:shd w:val="clear" w:color="auto" w:fill="EAEAEA"/>
          </w:tcPr>
          <w:p>
            <w:pPr>
              <w:jc w:val="right"/>
              <w:ind w:right="180"/>
              <w:spacing w:after="0" w:line="121" w:lineRule="exact"/>
              <w:rPr>
                <w:sz w:val="20"/>
                <w:szCs w:val="20"/>
                <w:color w:val="auto"/>
              </w:rPr>
            </w:pPr>
            <w:r>
              <w:rPr>
                <w:rFonts w:ascii="Arial" w:cs="Arial" w:eastAsia="Arial" w:hAnsi="Arial"/>
                <w:sz w:val="11"/>
                <w:szCs w:val="11"/>
                <w:b w:val="1"/>
                <w:bCs w:val="1"/>
                <w:color w:val="5D89B4"/>
              </w:rPr>
              <w:t>OPTION</w:t>
            </w:r>
          </w:p>
        </w:tc>
        <w:tc>
          <w:tcPr>
            <w:tcW w:w="1040" w:type="dxa"/>
            <w:vAlign w:val="bottom"/>
            <w:shd w:val="clear" w:color="auto" w:fill="EAEAEA"/>
          </w:tcPr>
          <w:p>
            <w:pPr>
              <w:jc w:val="right"/>
              <w:ind w:right="275"/>
              <w:spacing w:after="0" w:line="121" w:lineRule="exact"/>
              <w:rPr>
                <w:sz w:val="20"/>
                <w:szCs w:val="20"/>
                <w:color w:val="auto"/>
              </w:rPr>
            </w:pPr>
            <w:r>
              <w:rPr>
                <w:rFonts w:ascii="Arial" w:cs="Arial" w:eastAsia="Arial" w:hAnsi="Arial"/>
                <w:sz w:val="11"/>
                <w:szCs w:val="11"/>
                <w:b w:val="1"/>
                <w:bCs w:val="1"/>
                <w:color w:val="5D89B4"/>
              </w:rPr>
              <w:t>THAT HAVE</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w w:val="92"/>
              </w:rPr>
              <w:t>THAT HAVE</w:t>
            </w:r>
          </w:p>
        </w:tc>
        <w:tc>
          <w:tcPr>
            <w:tcW w:w="130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THAT HAVE</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THAT HAVE</w:t>
            </w:r>
          </w:p>
        </w:tc>
        <w:tc>
          <w:tcPr>
            <w:tcW w:w="0" w:type="dxa"/>
            <w:vAlign w:val="bottom"/>
          </w:tcPr>
          <w:p>
            <w:pPr>
              <w:spacing w:after="0"/>
              <w:rPr>
                <w:sz w:val="1"/>
                <w:szCs w:val="1"/>
                <w:color w:val="auto"/>
              </w:rPr>
            </w:pPr>
          </w:p>
        </w:tc>
      </w:tr>
      <w:tr>
        <w:trPr>
          <w:trHeight w:val="120"/>
        </w:trPr>
        <w:tc>
          <w:tcPr>
            <w:tcW w:w="1740" w:type="dxa"/>
            <w:vAlign w:val="bottom"/>
            <w:shd w:val="clear" w:color="auto" w:fill="EAEAEA"/>
          </w:tcPr>
          <w:p>
            <w:pPr>
              <w:ind w:left="80"/>
              <w:spacing w:after="0" w:line="121" w:lineRule="exact"/>
              <w:rPr>
                <w:sz w:val="20"/>
                <w:szCs w:val="20"/>
                <w:color w:val="auto"/>
              </w:rPr>
            </w:pPr>
            <w:r>
              <w:rPr>
                <w:rFonts w:ascii="Arial" w:cs="Arial" w:eastAsia="Arial" w:hAnsi="Arial"/>
                <w:sz w:val="11"/>
                <w:szCs w:val="11"/>
                <w:b w:val="1"/>
                <w:bCs w:val="1"/>
                <w:color w:val="5D89B4"/>
              </w:rPr>
              <w:t>NAME &amp; PRINCIPAL</w:t>
            </w:r>
          </w:p>
        </w:tc>
        <w:tc>
          <w:tcPr>
            <w:tcW w:w="1020" w:type="dxa"/>
            <w:vAlign w:val="bottom"/>
            <w:gridSpan w:val="2"/>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w:t>
            </w:r>
          </w:p>
        </w:tc>
        <w:tc>
          <w:tcPr>
            <w:tcW w:w="126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w:t>
            </w:r>
          </w:p>
        </w:tc>
        <w:tc>
          <w:tcPr>
            <w:tcW w:w="102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4"/>
              <w:spacing w:after="0" w:line="121" w:lineRule="exact"/>
              <w:rPr>
                <w:sz w:val="20"/>
                <w:szCs w:val="20"/>
                <w:color w:val="auto"/>
              </w:rPr>
            </w:pPr>
            <w:r>
              <w:rPr>
                <w:rFonts w:ascii="Arial" w:cs="Arial" w:eastAsia="Arial" w:hAnsi="Arial"/>
                <w:sz w:val="11"/>
                <w:szCs w:val="11"/>
                <w:b w:val="1"/>
                <w:bCs w:val="1"/>
                <w:color w:val="5D89B4"/>
              </w:rPr>
              <w:t>PRICE</w:t>
            </w:r>
          </w:p>
        </w:tc>
        <w:tc>
          <w:tcPr>
            <w:tcW w:w="920" w:type="dxa"/>
            <w:vAlign w:val="bottom"/>
            <w:gridSpan w:val="2"/>
            <w:shd w:val="clear" w:color="auto" w:fill="EAEAEA"/>
          </w:tcPr>
          <w:p>
            <w:pPr>
              <w:jc w:val="right"/>
              <w:ind w:right="180"/>
              <w:spacing w:after="0" w:line="121" w:lineRule="exact"/>
              <w:rPr>
                <w:sz w:val="20"/>
                <w:szCs w:val="20"/>
                <w:color w:val="auto"/>
              </w:rPr>
            </w:pPr>
            <w:r>
              <w:rPr>
                <w:rFonts w:ascii="Arial" w:cs="Arial" w:eastAsia="Arial" w:hAnsi="Arial"/>
                <w:sz w:val="11"/>
                <w:szCs w:val="11"/>
                <w:b w:val="1"/>
                <w:bCs w:val="1"/>
                <w:color w:val="5D89B4"/>
              </w:rPr>
              <w:t>EXPIRATION</w:t>
            </w:r>
          </w:p>
        </w:tc>
        <w:tc>
          <w:tcPr>
            <w:tcW w:w="1040" w:type="dxa"/>
            <w:vAlign w:val="bottom"/>
            <w:shd w:val="clear" w:color="auto" w:fill="EAEAEA"/>
          </w:tcPr>
          <w:p>
            <w:pPr>
              <w:jc w:val="right"/>
              <w:ind w:right="275"/>
              <w:spacing w:after="0" w:line="121" w:lineRule="exact"/>
              <w:rPr>
                <w:sz w:val="20"/>
                <w:szCs w:val="20"/>
                <w:color w:val="auto"/>
              </w:rPr>
            </w:pPr>
            <w:r>
              <w:rPr>
                <w:rFonts w:ascii="Arial" w:cs="Arial" w:eastAsia="Arial" w:hAnsi="Arial"/>
                <w:sz w:val="11"/>
                <w:szCs w:val="11"/>
                <w:b w:val="1"/>
                <w:bCs w:val="1"/>
                <w:color w:val="5D89B4"/>
                <w:w w:val="96"/>
              </w:rPr>
              <w:t>NOT VESTED</w:t>
            </w:r>
          </w:p>
        </w:tc>
        <w:tc>
          <w:tcPr>
            <w:tcW w:w="880" w:type="dxa"/>
            <w:vAlign w:val="bottom"/>
            <w:gridSpan w:val="2"/>
            <w:shd w:val="clear" w:color="auto" w:fill="EAEAEA"/>
          </w:tcPr>
          <w:p>
            <w:pPr>
              <w:ind w:left="100"/>
              <w:spacing w:after="0" w:line="121" w:lineRule="exact"/>
              <w:rPr>
                <w:sz w:val="20"/>
                <w:szCs w:val="20"/>
                <w:color w:val="auto"/>
              </w:rPr>
            </w:pPr>
            <w:r>
              <w:rPr>
                <w:rFonts w:ascii="Arial" w:cs="Arial" w:eastAsia="Arial" w:hAnsi="Arial"/>
                <w:sz w:val="11"/>
                <w:szCs w:val="11"/>
                <w:b w:val="1"/>
                <w:bCs w:val="1"/>
                <w:color w:val="5D89B4"/>
              </w:rPr>
              <w:t>NOT VESTED</w:t>
            </w:r>
          </w:p>
        </w:tc>
        <w:tc>
          <w:tcPr>
            <w:tcW w:w="1300" w:type="dxa"/>
            <w:vAlign w:val="bottom"/>
            <w:shd w:val="clear" w:color="auto" w:fill="EAEAEA"/>
          </w:tcPr>
          <w:p>
            <w:pPr>
              <w:jc w:val="right"/>
              <w:ind w:right="276"/>
              <w:spacing w:after="0" w:line="121" w:lineRule="exact"/>
              <w:rPr>
                <w:sz w:val="20"/>
                <w:szCs w:val="20"/>
                <w:color w:val="auto"/>
              </w:rPr>
            </w:pPr>
            <w:r>
              <w:rPr>
                <w:rFonts w:ascii="Arial" w:cs="Arial" w:eastAsia="Arial" w:hAnsi="Arial"/>
                <w:sz w:val="11"/>
                <w:szCs w:val="11"/>
                <w:b w:val="1"/>
                <w:bCs w:val="1"/>
                <w:color w:val="5D89B4"/>
              </w:rPr>
              <w:t>NOT VESTED</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NOT VESTED</w:t>
            </w:r>
          </w:p>
        </w:tc>
        <w:tc>
          <w:tcPr>
            <w:tcW w:w="0" w:type="dxa"/>
            <w:vAlign w:val="bottom"/>
          </w:tcPr>
          <w:p>
            <w:pPr>
              <w:spacing w:after="0"/>
              <w:rPr>
                <w:sz w:val="1"/>
                <w:szCs w:val="1"/>
                <w:color w:val="auto"/>
              </w:rPr>
            </w:pPr>
          </w:p>
        </w:tc>
      </w:tr>
      <w:tr>
        <w:trPr>
          <w:trHeight w:val="152"/>
        </w:trPr>
        <w:tc>
          <w:tcPr>
            <w:tcW w:w="174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POSITION</w:t>
            </w:r>
          </w:p>
        </w:tc>
        <w:tc>
          <w:tcPr>
            <w:tcW w:w="140" w:type="dxa"/>
            <w:vAlign w:val="bottom"/>
            <w:shd w:val="clear" w:color="auto" w:fill="EAEAEA"/>
          </w:tcPr>
          <w:p>
            <w:pPr>
              <w:spacing w:after="0"/>
              <w:rPr>
                <w:sz w:val="13"/>
                <w:szCs w:val="13"/>
                <w:color w:val="auto"/>
              </w:rPr>
            </w:pPr>
          </w:p>
        </w:tc>
        <w:tc>
          <w:tcPr>
            <w:tcW w:w="880" w:type="dxa"/>
            <w:vAlign w:val="bottom"/>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w w:val="97"/>
              </w:rPr>
              <w:t>EXERCISABLE</w:t>
            </w:r>
          </w:p>
        </w:tc>
        <w:tc>
          <w:tcPr>
            <w:tcW w:w="1260" w:type="dxa"/>
            <w:vAlign w:val="bottom"/>
            <w:shd w:val="clear" w:color="auto" w:fill="EAEAEA"/>
          </w:tcPr>
          <w:p>
            <w:pPr>
              <w:jc w:val="right"/>
              <w:ind w:right="195"/>
              <w:spacing w:after="0"/>
              <w:rPr>
                <w:sz w:val="20"/>
                <w:szCs w:val="20"/>
                <w:color w:val="auto"/>
              </w:rPr>
            </w:pPr>
            <w:r>
              <w:rPr>
                <w:rFonts w:ascii="Arial" w:cs="Arial" w:eastAsia="Arial" w:hAnsi="Arial"/>
                <w:sz w:val="11"/>
                <w:szCs w:val="11"/>
                <w:b w:val="1"/>
                <w:bCs w:val="1"/>
                <w:color w:val="5D89B4"/>
              </w:rPr>
              <w:t>UNEXERCISABLE</w:t>
            </w:r>
          </w:p>
        </w:tc>
        <w:tc>
          <w:tcPr>
            <w:tcW w:w="1020" w:type="dxa"/>
            <w:vAlign w:val="bottom"/>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rPr>
              <w:t>OPTIONS (#)</w:t>
            </w:r>
          </w:p>
        </w:tc>
        <w:tc>
          <w:tcPr>
            <w:tcW w:w="200" w:type="dxa"/>
            <w:vAlign w:val="bottom"/>
            <w:shd w:val="clear" w:color="auto" w:fill="EAEAEA"/>
          </w:tcPr>
          <w:p>
            <w:pPr>
              <w:spacing w:after="0"/>
              <w:rPr>
                <w:sz w:val="13"/>
                <w:szCs w:val="13"/>
                <w:color w:val="auto"/>
              </w:rPr>
            </w:pPr>
          </w:p>
        </w:tc>
        <w:tc>
          <w:tcPr>
            <w:tcW w:w="540" w:type="dxa"/>
            <w:vAlign w:val="bottom"/>
            <w:shd w:val="clear" w:color="auto" w:fill="EAEAEA"/>
          </w:tcPr>
          <w:p>
            <w:pPr>
              <w:jc w:val="right"/>
              <w:ind w:right="34"/>
              <w:spacing w:after="0"/>
              <w:rPr>
                <w:sz w:val="20"/>
                <w:szCs w:val="20"/>
                <w:color w:val="auto"/>
              </w:rPr>
            </w:pPr>
            <w:r>
              <w:rPr>
                <w:rFonts w:ascii="Arial" w:cs="Arial" w:eastAsia="Arial" w:hAnsi="Arial"/>
                <w:sz w:val="11"/>
                <w:szCs w:val="11"/>
                <w:b w:val="1"/>
                <w:bCs w:val="1"/>
                <w:color w:val="5D89B4"/>
              </w:rPr>
              <w:t>($)</w:t>
            </w:r>
          </w:p>
        </w:tc>
        <w:tc>
          <w:tcPr>
            <w:tcW w:w="920" w:type="dxa"/>
            <w:vAlign w:val="bottom"/>
            <w:gridSpan w:val="2"/>
            <w:shd w:val="clear" w:color="auto" w:fill="EAEAEA"/>
          </w:tcPr>
          <w:p>
            <w:pPr>
              <w:jc w:val="right"/>
              <w:ind w:right="180"/>
              <w:spacing w:after="0"/>
              <w:rPr>
                <w:sz w:val="20"/>
                <w:szCs w:val="20"/>
                <w:color w:val="auto"/>
              </w:rPr>
            </w:pPr>
            <w:r>
              <w:rPr>
                <w:rFonts w:ascii="Arial" w:cs="Arial" w:eastAsia="Arial" w:hAnsi="Arial"/>
                <w:sz w:val="11"/>
                <w:szCs w:val="11"/>
                <w:b w:val="1"/>
                <w:bCs w:val="1"/>
                <w:color w:val="5D89B4"/>
              </w:rPr>
              <w:t>DATE</w:t>
            </w:r>
          </w:p>
        </w:tc>
        <w:tc>
          <w:tcPr>
            <w:tcW w:w="1040" w:type="dxa"/>
            <w:vAlign w:val="bottom"/>
            <w:shd w:val="clear" w:color="auto" w:fill="EAEAEA"/>
          </w:tcPr>
          <w:p>
            <w:pPr>
              <w:jc w:val="right"/>
              <w:ind w:right="275"/>
              <w:spacing w:after="0"/>
              <w:rPr>
                <w:sz w:val="20"/>
                <w:szCs w:val="20"/>
                <w:color w:val="auto"/>
              </w:rPr>
            </w:pPr>
            <w:r>
              <w:rPr>
                <w:rFonts w:ascii="Arial" w:cs="Arial" w:eastAsia="Arial" w:hAnsi="Arial"/>
                <w:sz w:val="11"/>
                <w:szCs w:val="11"/>
                <w:b w:val="1"/>
                <w:bCs w:val="1"/>
                <w:color w:val="5D89B4"/>
              </w:rPr>
              <w:t>(#)(1)</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ind w:right="35"/>
              <w:spacing w:after="0"/>
              <w:rPr>
                <w:sz w:val="20"/>
                <w:szCs w:val="20"/>
                <w:color w:val="auto"/>
              </w:rPr>
            </w:pPr>
            <w:r>
              <w:rPr>
                <w:rFonts w:ascii="Arial" w:cs="Arial" w:eastAsia="Arial" w:hAnsi="Arial"/>
                <w:sz w:val="11"/>
                <w:szCs w:val="11"/>
                <w:b w:val="1"/>
                <w:bCs w:val="1"/>
                <w:color w:val="5D89B4"/>
              </w:rPr>
              <w:t>($)(2)</w:t>
            </w:r>
          </w:p>
        </w:tc>
        <w:tc>
          <w:tcPr>
            <w:tcW w:w="1300" w:type="dxa"/>
            <w:vAlign w:val="bottom"/>
            <w:shd w:val="clear" w:color="auto" w:fill="EAEAEA"/>
          </w:tcPr>
          <w:p>
            <w:pPr>
              <w:jc w:val="right"/>
              <w:ind w:right="276"/>
              <w:spacing w:after="0"/>
              <w:rPr>
                <w:sz w:val="20"/>
                <w:szCs w:val="20"/>
                <w:color w:val="auto"/>
              </w:rPr>
            </w:pPr>
            <w:r>
              <w:rPr>
                <w:rFonts w:ascii="Arial" w:cs="Arial" w:eastAsia="Arial" w:hAnsi="Arial"/>
                <w:sz w:val="11"/>
                <w:szCs w:val="11"/>
                <w:b w:val="1"/>
                <w:bCs w:val="1"/>
                <w:color w:val="5D89B4"/>
              </w:rPr>
              <w:t>(#)(3)</w:t>
            </w:r>
          </w:p>
        </w:tc>
        <w:tc>
          <w:tcPr>
            <w:tcW w:w="18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($)(2)</w:t>
            </w:r>
          </w:p>
        </w:tc>
        <w:tc>
          <w:tcPr>
            <w:tcW w:w="0" w:type="dxa"/>
            <w:vAlign w:val="bottom"/>
          </w:tcPr>
          <w:p>
            <w:pPr>
              <w:spacing w:after="0"/>
              <w:rPr>
                <w:sz w:val="1"/>
                <w:szCs w:val="1"/>
                <w:color w:val="auto"/>
              </w:rPr>
            </w:pPr>
          </w:p>
        </w:tc>
      </w:tr>
      <w:tr>
        <w:trPr>
          <w:trHeight w:val="62"/>
        </w:trPr>
        <w:tc>
          <w:tcPr>
            <w:tcW w:w="1740" w:type="dxa"/>
            <w:vAlign w:val="bottom"/>
            <w:shd w:val="clear" w:color="auto" w:fill="EAEAEA"/>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1260" w:type="dxa"/>
            <w:vAlign w:val="bottom"/>
            <w:shd w:val="clear" w:color="auto" w:fill="EAEAEA"/>
          </w:tcPr>
          <w:p>
            <w:pPr>
              <w:spacing w:after="0"/>
              <w:rPr>
                <w:sz w:val="5"/>
                <w:szCs w:val="5"/>
                <w:color w:val="auto"/>
              </w:rPr>
            </w:pPr>
          </w:p>
        </w:tc>
        <w:tc>
          <w:tcPr>
            <w:tcW w:w="1020" w:type="dxa"/>
            <w:vAlign w:val="bottom"/>
            <w:shd w:val="clear" w:color="auto" w:fill="EAEAEA"/>
          </w:tcPr>
          <w:p>
            <w:pPr>
              <w:spacing w:after="0"/>
              <w:rPr>
                <w:sz w:val="5"/>
                <w:szCs w:val="5"/>
                <w:color w:val="auto"/>
              </w:rPr>
            </w:pPr>
          </w:p>
        </w:tc>
        <w:tc>
          <w:tcPr>
            <w:tcW w:w="200" w:type="dxa"/>
            <w:vAlign w:val="bottom"/>
            <w:shd w:val="clear" w:color="auto" w:fill="EAEAEA"/>
          </w:tcPr>
          <w:p>
            <w:pPr>
              <w:spacing w:after="0"/>
              <w:rPr>
                <w:sz w:val="5"/>
                <w:szCs w:val="5"/>
                <w:color w:val="auto"/>
              </w:rPr>
            </w:pPr>
          </w:p>
        </w:tc>
        <w:tc>
          <w:tcPr>
            <w:tcW w:w="540" w:type="dxa"/>
            <w:vAlign w:val="bottom"/>
            <w:shd w:val="clear" w:color="auto" w:fill="EAEAEA"/>
          </w:tcPr>
          <w:p>
            <w:pPr>
              <w:spacing w:after="0"/>
              <w:rPr>
                <w:sz w:val="5"/>
                <w:szCs w:val="5"/>
                <w:color w:val="auto"/>
              </w:rPr>
            </w:pPr>
          </w:p>
        </w:tc>
        <w:tc>
          <w:tcPr>
            <w:tcW w:w="780" w:type="dxa"/>
            <w:vAlign w:val="bottom"/>
            <w:shd w:val="clear" w:color="auto" w:fill="EAEAEA"/>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18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1300" w:type="dxa"/>
            <w:vAlign w:val="bottom"/>
            <w:shd w:val="clear" w:color="auto" w:fill="EAEAEA"/>
          </w:tcPr>
          <w:p>
            <w:pPr>
              <w:spacing w:after="0"/>
              <w:rPr>
                <w:sz w:val="5"/>
                <w:szCs w:val="5"/>
                <w:color w:val="auto"/>
              </w:rPr>
            </w:pPr>
          </w:p>
        </w:tc>
        <w:tc>
          <w:tcPr>
            <w:tcW w:w="18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740" w:type="dxa"/>
            <w:vAlign w:val="bottom"/>
          </w:tcPr>
          <w:p>
            <w:pPr>
              <w:ind w:left="80"/>
              <w:spacing w:after="0" w:line="147" w:lineRule="exact"/>
              <w:rPr>
                <w:sz w:val="20"/>
                <w:szCs w:val="20"/>
                <w:color w:val="auto"/>
              </w:rPr>
            </w:pPr>
            <w:r>
              <w:rPr>
                <w:rFonts w:ascii="Arial" w:cs="Arial" w:eastAsia="Arial" w:hAnsi="Arial"/>
                <w:sz w:val="13"/>
                <w:szCs w:val="13"/>
                <w:b w:val="1"/>
                <w:bCs w:val="1"/>
                <w:color w:val="auto"/>
              </w:rPr>
              <w:t>Jonas Prising</w:t>
            </w:r>
          </w:p>
        </w:tc>
        <w:tc>
          <w:tcPr>
            <w:tcW w:w="1020" w:type="dxa"/>
            <w:vAlign w:val="bottom"/>
            <w:gridSpan w:val="2"/>
          </w:tcPr>
          <w:p>
            <w:pPr>
              <w:jc w:val="right"/>
              <w:ind w:right="36"/>
              <w:spacing w:after="0" w:line="147" w:lineRule="exact"/>
              <w:rPr>
                <w:sz w:val="20"/>
                <w:szCs w:val="20"/>
                <w:color w:val="auto"/>
              </w:rPr>
            </w:pPr>
            <w:r>
              <w:rPr>
                <w:rFonts w:ascii="Arial" w:cs="Arial" w:eastAsia="Arial" w:hAnsi="Arial"/>
                <w:sz w:val="13"/>
                <w:szCs w:val="13"/>
                <w:color w:val="auto"/>
              </w:rPr>
              <w:t>15,681</w:t>
            </w:r>
          </w:p>
        </w:tc>
        <w:tc>
          <w:tcPr>
            <w:tcW w:w="1260" w:type="dxa"/>
            <w:vAlign w:val="bottom"/>
          </w:tcPr>
          <w:p>
            <w:pPr>
              <w:jc w:val="right"/>
              <w:ind w:right="195"/>
              <w:spacing w:after="0" w:line="147"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line="147" w:lineRule="exact"/>
              <w:rPr>
                <w:sz w:val="20"/>
                <w:szCs w:val="20"/>
                <w:color w:val="auto"/>
              </w:rPr>
            </w:pPr>
            <w:r>
              <w:rPr>
                <w:rFonts w:ascii="Arial" w:cs="Arial" w:eastAsia="Arial" w:hAnsi="Arial"/>
                <w:sz w:val="13"/>
                <w:szCs w:val="13"/>
                <w:color w:val="auto"/>
              </w:rPr>
              <w:t>—</w:t>
            </w:r>
          </w:p>
        </w:tc>
        <w:tc>
          <w:tcPr>
            <w:tcW w:w="200" w:type="dxa"/>
            <w:vAlign w:val="bottom"/>
          </w:tcPr>
          <w:p>
            <w:pPr>
              <w:ind w:left="80"/>
              <w:spacing w:after="0" w:line="147"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line="147" w:lineRule="exact"/>
              <w:rPr>
                <w:sz w:val="20"/>
                <w:szCs w:val="20"/>
                <w:color w:val="auto"/>
              </w:rPr>
            </w:pPr>
            <w:r>
              <w:rPr>
                <w:rFonts w:ascii="Arial" w:cs="Arial" w:eastAsia="Arial" w:hAnsi="Arial"/>
                <w:sz w:val="13"/>
                <w:szCs w:val="13"/>
                <w:color w:val="auto"/>
              </w:rPr>
              <w:t>76.13</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2/11/2024</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1740" w:type="dxa"/>
            <w:vAlign w:val="bottom"/>
          </w:tcPr>
          <w:p>
            <w:pPr>
              <w:ind w:left="80"/>
              <w:spacing w:after="0"/>
              <w:rPr>
                <w:sz w:val="20"/>
                <w:szCs w:val="20"/>
                <w:color w:val="auto"/>
              </w:rPr>
            </w:pPr>
            <w:r>
              <w:rPr>
                <w:rFonts w:ascii="Arial" w:cs="Arial" w:eastAsia="Arial" w:hAnsi="Arial"/>
                <w:sz w:val="13"/>
                <w:szCs w:val="13"/>
                <w:color w:val="auto"/>
              </w:rPr>
              <w:t>CEO</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26,510</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82.24</w:t>
            </w:r>
          </w:p>
        </w:tc>
        <w:tc>
          <w:tcPr>
            <w:tcW w:w="780" w:type="dxa"/>
            <w:vAlign w:val="bottom"/>
          </w:tcPr>
          <w:p>
            <w:pPr>
              <w:jc w:val="right"/>
              <w:spacing w:after="0"/>
              <w:rPr>
                <w:sz w:val="20"/>
                <w:szCs w:val="20"/>
                <w:color w:val="auto"/>
              </w:rPr>
            </w:pPr>
            <w:r>
              <w:rPr>
                <w:rFonts w:ascii="Arial" w:cs="Arial" w:eastAsia="Arial" w:hAnsi="Arial"/>
                <w:sz w:val="13"/>
                <w:szCs w:val="13"/>
                <w:color w:val="auto"/>
              </w:rPr>
              <w:t>5/1/2024</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52,078</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76.97</w:t>
            </w:r>
          </w:p>
        </w:tc>
        <w:tc>
          <w:tcPr>
            <w:tcW w:w="780" w:type="dxa"/>
            <w:vAlign w:val="bottom"/>
          </w:tcPr>
          <w:p>
            <w:pPr>
              <w:jc w:val="right"/>
              <w:spacing w:after="0"/>
              <w:rPr>
                <w:sz w:val="20"/>
                <w:szCs w:val="20"/>
                <w:color w:val="auto"/>
              </w:rPr>
            </w:pPr>
            <w:r>
              <w:rPr>
                <w:rFonts w:ascii="Arial" w:cs="Arial" w:eastAsia="Arial" w:hAnsi="Arial"/>
                <w:sz w:val="13"/>
                <w:szCs w:val="13"/>
                <w:color w:val="auto"/>
              </w:rPr>
              <w:t>2/10/2025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76,220</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75.07</w:t>
            </w:r>
          </w:p>
        </w:tc>
        <w:tc>
          <w:tcPr>
            <w:tcW w:w="780" w:type="dxa"/>
            <w:vAlign w:val="bottom"/>
          </w:tcPr>
          <w:p>
            <w:pPr>
              <w:jc w:val="right"/>
              <w:spacing w:after="0"/>
              <w:rPr>
                <w:sz w:val="20"/>
                <w:szCs w:val="20"/>
                <w:color w:val="auto"/>
              </w:rPr>
            </w:pPr>
            <w:r>
              <w:rPr>
                <w:rFonts w:ascii="Arial" w:cs="Arial" w:eastAsia="Arial" w:hAnsi="Arial"/>
                <w:sz w:val="13"/>
                <w:szCs w:val="13"/>
                <w:color w:val="auto"/>
              </w:rPr>
              <w:t>2/16/2026</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66,068</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96.94</w:t>
            </w:r>
          </w:p>
        </w:tc>
        <w:tc>
          <w:tcPr>
            <w:tcW w:w="780" w:type="dxa"/>
            <w:vAlign w:val="bottom"/>
          </w:tcPr>
          <w:p>
            <w:pPr>
              <w:jc w:val="right"/>
              <w:spacing w:after="0"/>
              <w:rPr>
                <w:sz w:val="20"/>
                <w:szCs w:val="20"/>
                <w:color w:val="auto"/>
              </w:rPr>
            </w:pPr>
            <w:r>
              <w:rPr>
                <w:rFonts w:ascii="Arial" w:cs="Arial" w:eastAsia="Arial" w:hAnsi="Arial"/>
                <w:sz w:val="13"/>
                <w:szCs w:val="13"/>
                <w:color w:val="auto"/>
              </w:rPr>
              <w:t>2/9/2027</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42,912</w:t>
            </w: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14,304(4)</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122.87</w:t>
            </w:r>
          </w:p>
        </w:tc>
        <w:tc>
          <w:tcPr>
            <w:tcW w:w="780" w:type="dxa"/>
            <w:vAlign w:val="bottom"/>
          </w:tcPr>
          <w:p>
            <w:pPr>
              <w:jc w:val="right"/>
              <w:spacing w:after="0"/>
              <w:rPr>
                <w:sz w:val="20"/>
                <w:szCs w:val="20"/>
                <w:color w:val="auto"/>
              </w:rPr>
            </w:pPr>
            <w:r>
              <w:rPr>
                <w:rFonts w:ascii="Arial" w:cs="Arial" w:eastAsia="Arial" w:hAnsi="Arial"/>
                <w:sz w:val="13"/>
                <w:szCs w:val="13"/>
                <w:color w:val="auto"/>
              </w:rPr>
              <w:t>2/15/2028</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52,025</w:t>
            </w: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52,025(5)</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84.43</w:t>
            </w:r>
          </w:p>
        </w:tc>
        <w:tc>
          <w:tcPr>
            <w:tcW w:w="780" w:type="dxa"/>
            <w:vAlign w:val="bottom"/>
          </w:tcPr>
          <w:p>
            <w:pPr>
              <w:jc w:val="right"/>
              <w:spacing w:after="0"/>
              <w:rPr>
                <w:sz w:val="20"/>
                <w:szCs w:val="20"/>
                <w:color w:val="auto"/>
              </w:rPr>
            </w:pPr>
            <w:r>
              <w:rPr>
                <w:rFonts w:ascii="Arial" w:cs="Arial" w:eastAsia="Arial" w:hAnsi="Arial"/>
                <w:sz w:val="13"/>
                <w:szCs w:val="13"/>
                <w:color w:val="auto"/>
              </w:rPr>
              <w:t>2/15/2029</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26,385</w:t>
            </w: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79,156(6)</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780" w:type="dxa"/>
            <w:vAlign w:val="bottom"/>
          </w:tcPr>
          <w:p>
            <w:pPr>
              <w:jc w:val="right"/>
              <w:spacing w:after="0"/>
              <w:rPr>
                <w:sz w:val="20"/>
                <w:szCs w:val="20"/>
                <w:color w:val="auto"/>
              </w:rPr>
            </w:pPr>
            <w:r>
              <w:rPr>
                <w:rFonts w:ascii="Arial" w:cs="Arial" w:eastAsia="Arial" w:hAnsi="Arial"/>
                <w:sz w:val="13"/>
                <w:szCs w:val="13"/>
                <w:color w:val="auto"/>
              </w:rPr>
              <w:t>2/14/2030</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87,605(7)</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92.49</w:t>
            </w:r>
          </w:p>
        </w:tc>
        <w:tc>
          <w:tcPr>
            <w:tcW w:w="780" w:type="dxa"/>
            <w:vAlign w:val="bottom"/>
          </w:tcPr>
          <w:p>
            <w:pPr>
              <w:jc w:val="right"/>
              <w:spacing w:after="0"/>
              <w:rPr>
                <w:sz w:val="20"/>
                <w:szCs w:val="20"/>
                <w:color w:val="auto"/>
              </w:rPr>
            </w:pPr>
            <w:r>
              <w:rPr>
                <w:rFonts w:ascii="Arial" w:cs="Arial" w:eastAsia="Arial" w:hAnsi="Arial"/>
                <w:sz w:val="13"/>
                <w:szCs w:val="13"/>
                <w:color w:val="auto"/>
              </w:rPr>
              <w:t>2/12/2031</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5"/>
              <w:spacing w:after="0"/>
              <w:rPr>
                <w:sz w:val="20"/>
                <w:szCs w:val="20"/>
                <w:color w:val="auto"/>
              </w:rPr>
            </w:pPr>
            <w:r>
              <w:rPr>
                <w:rFonts w:ascii="Arial" w:cs="Arial" w:eastAsia="Arial" w:hAnsi="Arial"/>
                <w:sz w:val="13"/>
                <w:szCs w:val="13"/>
                <w:color w:val="auto"/>
              </w:rPr>
              <w:t>23,704(9)</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2,307,110</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22,789(10)</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2,218,053</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22,139(13)</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2,154,789</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41,414(14)</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4,030,825</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64,725(15)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6,299,684</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64,872(16)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6,313,992</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43,248(17)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4,209,328</w:t>
            </w:r>
          </w:p>
        </w:tc>
        <w:tc>
          <w:tcPr>
            <w:tcW w:w="0" w:type="dxa"/>
            <w:vAlign w:val="bottom"/>
          </w:tcPr>
          <w:p>
            <w:pPr>
              <w:spacing w:after="0"/>
              <w:rPr>
                <w:sz w:val="1"/>
                <w:szCs w:val="1"/>
                <w:color w:val="auto"/>
              </w:rPr>
            </w:pPr>
          </w:p>
        </w:tc>
      </w:tr>
      <w:tr>
        <w:trPr>
          <w:trHeight w:val="54"/>
        </w:trPr>
        <w:tc>
          <w:tcPr>
            <w:tcW w:w="174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80"/>
              <w:spacing w:after="0"/>
              <w:rPr>
                <w:sz w:val="20"/>
                <w:szCs w:val="20"/>
                <w:color w:val="auto"/>
              </w:rPr>
            </w:pPr>
            <w:r>
              <w:rPr>
                <w:rFonts w:ascii="Arial" w:cs="Arial" w:eastAsia="Arial" w:hAnsi="Arial"/>
                <w:sz w:val="13"/>
                <w:szCs w:val="13"/>
                <w:b w:val="1"/>
                <w:bCs w:val="1"/>
                <w:color w:val="auto"/>
              </w:rPr>
              <w:t>John T. McGinnis</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20,326</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75.07</w:t>
            </w:r>
          </w:p>
        </w:tc>
        <w:tc>
          <w:tcPr>
            <w:tcW w:w="780" w:type="dxa"/>
            <w:vAlign w:val="bottom"/>
          </w:tcPr>
          <w:p>
            <w:pPr>
              <w:jc w:val="right"/>
              <w:spacing w:after="0"/>
              <w:rPr>
                <w:sz w:val="20"/>
                <w:szCs w:val="20"/>
                <w:color w:val="auto"/>
              </w:rPr>
            </w:pPr>
            <w:r>
              <w:rPr>
                <w:rFonts w:ascii="Arial" w:cs="Arial" w:eastAsia="Arial" w:hAnsi="Arial"/>
                <w:sz w:val="13"/>
                <w:szCs w:val="13"/>
                <w:color w:val="auto"/>
              </w:rPr>
              <w:t>2/16/2026</w:t>
            </w:r>
          </w:p>
        </w:tc>
        <w:tc>
          <w:tcPr>
            <w:tcW w:w="140" w:type="dxa"/>
            <w:vAlign w:val="bottom"/>
          </w:tcPr>
          <w:p>
            <w:pPr>
              <w:spacing w:after="0"/>
              <w:rPr>
                <w:sz w:val="14"/>
                <w:szCs w:val="14"/>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40" w:type="dxa"/>
            <w:vAlign w:val="bottom"/>
          </w:tcPr>
          <w:p>
            <w:pPr>
              <w:ind w:left="80"/>
              <w:spacing w:after="0"/>
              <w:rPr>
                <w:sz w:val="20"/>
                <w:szCs w:val="20"/>
                <w:color w:val="auto"/>
              </w:rPr>
            </w:pPr>
            <w:r>
              <w:rPr>
                <w:rFonts w:ascii="Arial" w:cs="Arial" w:eastAsia="Arial" w:hAnsi="Arial"/>
                <w:sz w:val="13"/>
                <w:szCs w:val="13"/>
                <w:color w:val="auto"/>
              </w:rPr>
              <w:t>CFO</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17,983</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96.94</w:t>
            </w:r>
          </w:p>
        </w:tc>
        <w:tc>
          <w:tcPr>
            <w:tcW w:w="780" w:type="dxa"/>
            <w:vAlign w:val="bottom"/>
          </w:tcPr>
          <w:p>
            <w:pPr>
              <w:jc w:val="right"/>
              <w:spacing w:after="0"/>
              <w:rPr>
                <w:sz w:val="20"/>
                <w:szCs w:val="20"/>
                <w:color w:val="auto"/>
              </w:rPr>
            </w:pPr>
            <w:r>
              <w:rPr>
                <w:rFonts w:ascii="Arial" w:cs="Arial" w:eastAsia="Arial" w:hAnsi="Arial"/>
                <w:sz w:val="13"/>
                <w:szCs w:val="13"/>
                <w:color w:val="auto"/>
              </w:rPr>
              <w:t>2/9/2027</w:t>
            </w:r>
          </w:p>
        </w:tc>
        <w:tc>
          <w:tcPr>
            <w:tcW w:w="140" w:type="dxa"/>
            <w:vAlign w:val="bottom"/>
          </w:tcPr>
          <w:p>
            <w:pPr>
              <w:spacing w:after="0"/>
              <w:rPr>
                <w:sz w:val="14"/>
                <w:szCs w:val="14"/>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11,443</w:t>
            </w: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3,815(4)</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122.87</w:t>
            </w:r>
          </w:p>
        </w:tc>
        <w:tc>
          <w:tcPr>
            <w:tcW w:w="780" w:type="dxa"/>
            <w:vAlign w:val="bottom"/>
          </w:tcPr>
          <w:p>
            <w:pPr>
              <w:jc w:val="right"/>
              <w:spacing w:after="0"/>
              <w:rPr>
                <w:sz w:val="20"/>
                <w:szCs w:val="20"/>
                <w:color w:val="auto"/>
              </w:rPr>
            </w:pPr>
            <w:r>
              <w:rPr>
                <w:rFonts w:ascii="Arial" w:cs="Arial" w:eastAsia="Arial" w:hAnsi="Arial"/>
                <w:sz w:val="13"/>
                <w:szCs w:val="13"/>
                <w:color w:val="auto"/>
              </w:rPr>
              <w:t>2/15/2028</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14,342</w:t>
            </w: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14,342(5)</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84.43</w:t>
            </w:r>
          </w:p>
        </w:tc>
        <w:tc>
          <w:tcPr>
            <w:tcW w:w="780" w:type="dxa"/>
            <w:vAlign w:val="bottom"/>
          </w:tcPr>
          <w:p>
            <w:pPr>
              <w:jc w:val="right"/>
              <w:spacing w:after="0"/>
              <w:rPr>
                <w:sz w:val="20"/>
                <w:szCs w:val="20"/>
                <w:color w:val="auto"/>
              </w:rPr>
            </w:pPr>
            <w:r>
              <w:rPr>
                <w:rFonts w:ascii="Arial" w:cs="Arial" w:eastAsia="Arial" w:hAnsi="Arial"/>
                <w:sz w:val="13"/>
                <w:szCs w:val="13"/>
                <w:color w:val="auto"/>
              </w:rPr>
              <w:t>2/15/2029</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7,915</w:t>
            </w: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23,748(6)</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780" w:type="dxa"/>
            <w:vAlign w:val="bottom"/>
          </w:tcPr>
          <w:p>
            <w:pPr>
              <w:jc w:val="right"/>
              <w:spacing w:after="0"/>
              <w:rPr>
                <w:sz w:val="20"/>
                <w:szCs w:val="20"/>
                <w:color w:val="auto"/>
              </w:rPr>
            </w:pPr>
            <w:r>
              <w:rPr>
                <w:rFonts w:ascii="Arial" w:cs="Arial" w:eastAsia="Arial" w:hAnsi="Arial"/>
                <w:sz w:val="13"/>
                <w:szCs w:val="13"/>
                <w:color w:val="auto"/>
              </w:rPr>
              <w:t>2/14/2030</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26,282(7)</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92.49</w:t>
            </w:r>
          </w:p>
        </w:tc>
        <w:tc>
          <w:tcPr>
            <w:tcW w:w="780" w:type="dxa"/>
            <w:vAlign w:val="bottom"/>
          </w:tcPr>
          <w:p>
            <w:pPr>
              <w:jc w:val="right"/>
              <w:spacing w:after="0"/>
              <w:rPr>
                <w:sz w:val="20"/>
                <w:szCs w:val="20"/>
                <w:color w:val="auto"/>
              </w:rPr>
            </w:pPr>
            <w:r>
              <w:rPr>
                <w:rFonts w:ascii="Arial" w:cs="Arial" w:eastAsia="Arial" w:hAnsi="Arial"/>
                <w:sz w:val="13"/>
                <w:szCs w:val="13"/>
                <w:color w:val="auto"/>
              </w:rPr>
              <w:t>2/12/2031</w:t>
            </w: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5"/>
              <w:spacing w:after="0"/>
              <w:rPr>
                <w:sz w:val="20"/>
                <w:szCs w:val="20"/>
                <w:color w:val="auto"/>
              </w:rPr>
            </w:pPr>
            <w:r>
              <w:rPr>
                <w:rFonts w:ascii="Arial" w:cs="Arial" w:eastAsia="Arial" w:hAnsi="Arial"/>
                <w:sz w:val="13"/>
                <w:szCs w:val="13"/>
                <w:color w:val="auto"/>
              </w:rPr>
              <w:t>6,535(9)</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636,052</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6,837(10)</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665,445</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6,642(13)</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646,466</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11,417(14)</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1,111,217</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19,418(15)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1,889,954</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19,462(16)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1,894,236</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12,975(17)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1,262,857</w:t>
            </w:r>
          </w:p>
        </w:tc>
        <w:tc>
          <w:tcPr>
            <w:tcW w:w="0" w:type="dxa"/>
            <w:vAlign w:val="bottom"/>
          </w:tcPr>
          <w:p>
            <w:pPr>
              <w:spacing w:after="0"/>
              <w:rPr>
                <w:sz w:val="1"/>
                <w:szCs w:val="1"/>
                <w:color w:val="auto"/>
              </w:rPr>
            </w:pPr>
          </w:p>
        </w:tc>
      </w:tr>
      <w:tr>
        <w:trPr>
          <w:trHeight w:val="54"/>
        </w:trPr>
        <w:tc>
          <w:tcPr>
            <w:tcW w:w="174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80"/>
              <w:spacing w:after="0" w:line="140" w:lineRule="exact"/>
              <w:rPr>
                <w:sz w:val="20"/>
                <w:szCs w:val="20"/>
                <w:color w:val="auto"/>
              </w:rPr>
            </w:pPr>
            <w:r>
              <w:rPr>
                <w:rFonts w:ascii="Arial" w:cs="Arial" w:eastAsia="Arial" w:hAnsi="Arial"/>
                <w:sz w:val="13"/>
                <w:szCs w:val="13"/>
                <w:b w:val="1"/>
                <w:bCs w:val="1"/>
                <w:color w:val="auto"/>
              </w:rPr>
              <w:t>Michelle S. Nettles</w:t>
            </w:r>
          </w:p>
        </w:tc>
        <w:tc>
          <w:tcPr>
            <w:tcW w:w="1020" w:type="dxa"/>
            <w:vAlign w:val="bottom"/>
            <w:gridSpan w:val="2"/>
          </w:tcPr>
          <w:p>
            <w:pPr>
              <w:jc w:val="right"/>
              <w:ind w:right="36"/>
              <w:spacing w:after="0" w:line="140" w:lineRule="exact"/>
              <w:rPr>
                <w:sz w:val="20"/>
                <w:szCs w:val="20"/>
                <w:color w:val="auto"/>
              </w:rPr>
            </w:pPr>
            <w:r>
              <w:rPr>
                <w:rFonts w:ascii="Arial" w:cs="Arial" w:eastAsia="Arial" w:hAnsi="Arial"/>
                <w:sz w:val="13"/>
                <w:szCs w:val="13"/>
                <w:color w:val="auto"/>
              </w:rPr>
              <w:t>5,627</w:t>
            </w:r>
          </w:p>
        </w:tc>
        <w:tc>
          <w:tcPr>
            <w:tcW w:w="1260" w:type="dxa"/>
            <w:vAlign w:val="bottom"/>
          </w:tcPr>
          <w:p>
            <w:pPr>
              <w:jc w:val="right"/>
              <w:ind w:right="35"/>
              <w:spacing w:after="0" w:line="140" w:lineRule="exact"/>
              <w:rPr>
                <w:sz w:val="20"/>
                <w:szCs w:val="20"/>
                <w:color w:val="auto"/>
              </w:rPr>
            </w:pPr>
            <w:r>
              <w:rPr>
                <w:rFonts w:ascii="Arial" w:cs="Arial" w:eastAsia="Arial" w:hAnsi="Arial"/>
                <w:sz w:val="13"/>
                <w:szCs w:val="13"/>
                <w:color w:val="auto"/>
              </w:rPr>
              <w:t>5,627(8)</w:t>
            </w:r>
          </w:p>
        </w:tc>
        <w:tc>
          <w:tcPr>
            <w:tcW w:w="1020" w:type="dxa"/>
            <w:vAlign w:val="bottom"/>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ind w:left="80"/>
              <w:spacing w:after="0" w:line="140"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line="140" w:lineRule="exact"/>
              <w:rPr>
                <w:sz w:val="20"/>
                <w:szCs w:val="20"/>
                <w:color w:val="auto"/>
              </w:rPr>
            </w:pPr>
            <w:r>
              <w:rPr>
                <w:rFonts w:ascii="Arial" w:cs="Arial" w:eastAsia="Arial" w:hAnsi="Arial"/>
                <w:sz w:val="13"/>
                <w:szCs w:val="13"/>
                <w:color w:val="auto"/>
              </w:rPr>
              <w:t>83.84</w:t>
            </w:r>
          </w:p>
        </w:tc>
        <w:tc>
          <w:tcPr>
            <w:tcW w:w="780" w:type="dxa"/>
            <w:vAlign w:val="bottom"/>
          </w:tcPr>
          <w:p>
            <w:pPr>
              <w:jc w:val="right"/>
              <w:spacing w:after="0" w:line="140" w:lineRule="exact"/>
              <w:rPr>
                <w:sz w:val="20"/>
                <w:szCs w:val="20"/>
                <w:color w:val="auto"/>
              </w:rPr>
            </w:pPr>
            <w:r>
              <w:rPr>
                <w:rFonts w:ascii="Arial" w:cs="Arial" w:eastAsia="Arial" w:hAnsi="Arial"/>
                <w:sz w:val="13"/>
                <w:szCs w:val="13"/>
                <w:color w:val="auto"/>
              </w:rPr>
              <w:t>8/14/2029</w:t>
            </w:r>
          </w:p>
        </w:tc>
        <w:tc>
          <w:tcPr>
            <w:tcW w:w="140" w:type="dxa"/>
            <w:vAlign w:val="bottom"/>
          </w:tcPr>
          <w:p>
            <w:pPr>
              <w:spacing w:after="0"/>
              <w:rPr>
                <w:sz w:val="12"/>
                <w:szCs w:val="12"/>
                <w:color w:val="auto"/>
              </w:rPr>
            </w:pPr>
          </w:p>
        </w:tc>
        <w:tc>
          <w:tcPr>
            <w:tcW w:w="1040" w:type="dxa"/>
            <w:vAlign w:val="bottom"/>
          </w:tcPr>
          <w:p>
            <w:pPr>
              <w:jc w:val="right"/>
              <w:ind w:right="275"/>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35"/>
              <w:spacing w:after="0" w:line="140"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line="140"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40" w:type="dxa"/>
            <w:vAlign w:val="bottom"/>
          </w:tcPr>
          <w:p>
            <w:pPr>
              <w:ind w:left="80"/>
              <w:spacing w:after="0" w:line="148" w:lineRule="exact"/>
              <w:rPr>
                <w:sz w:val="20"/>
                <w:szCs w:val="20"/>
                <w:color w:val="auto"/>
              </w:rPr>
            </w:pPr>
            <w:r>
              <w:rPr>
                <w:rFonts w:ascii="Arial" w:cs="Arial" w:eastAsia="Arial" w:hAnsi="Arial"/>
                <w:sz w:val="13"/>
                <w:szCs w:val="13"/>
                <w:color w:val="auto"/>
              </w:rPr>
              <w:t>Chief People</w:t>
            </w:r>
          </w:p>
        </w:tc>
        <w:tc>
          <w:tcPr>
            <w:tcW w:w="1020" w:type="dxa"/>
            <w:vAlign w:val="bottom"/>
            <w:gridSpan w:val="2"/>
          </w:tcPr>
          <w:p>
            <w:pPr>
              <w:jc w:val="right"/>
              <w:ind w:right="36"/>
              <w:spacing w:after="0" w:line="148" w:lineRule="exact"/>
              <w:rPr>
                <w:sz w:val="20"/>
                <w:szCs w:val="20"/>
                <w:color w:val="auto"/>
              </w:rPr>
            </w:pPr>
            <w:r>
              <w:rPr>
                <w:rFonts w:ascii="Arial" w:cs="Arial" w:eastAsia="Arial" w:hAnsi="Arial"/>
                <w:sz w:val="13"/>
                <w:szCs w:val="13"/>
                <w:color w:val="auto"/>
              </w:rPr>
              <w:t>2,638</w:t>
            </w:r>
          </w:p>
        </w:tc>
        <w:tc>
          <w:tcPr>
            <w:tcW w:w="1260" w:type="dxa"/>
            <w:vAlign w:val="bottom"/>
          </w:tcPr>
          <w:p>
            <w:pPr>
              <w:jc w:val="right"/>
              <w:ind w:right="35"/>
              <w:spacing w:after="0" w:line="148" w:lineRule="exact"/>
              <w:rPr>
                <w:sz w:val="20"/>
                <w:szCs w:val="20"/>
                <w:color w:val="auto"/>
              </w:rPr>
            </w:pPr>
            <w:r>
              <w:rPr>
                <w:rFonts w:ascii="Arial" w:cs="Arial" w:eastAsia="Arial" w:hAnsi="Arial"/>
                <w:sz w:val="13"/>
                <w:szCs w:val="13"/>
                <w:color w:val="auto"/>
              </w:rPr>
              <w:t>7,917(6)</w:t>
            </w:r>
          </w:p>
        </w:tc>
        <w:tc>
          <w:tcPr>
            <w:tcW w:w="1020" w:type="dxa"/>
            <w:vAlign w:val="bottom"/>
          </w:tcPr>
          <w:p>
            <w:pPr>
              <w:jc w:val="right"/>
              <w:ind w:right="36"/>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ind w:left="80"/>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line="148" w:lineRule="exact"/>
              <w:rPr>
                <w:sz w:val="20"/>
                <w:szCs w:val="20"/>
                <w:color w:val="auto"/>
              </w:rPr>
            </w:pPr>
            <w:r>
              <w:rPr>
                <w:rFonts w:ascii="Arial" w:cs="Arial" w:eastAsia="Arial" w:hAnsi="Arial"/>
                <w:sz w:val="13"/>
                <w:szCs w:val="13"/>
                <w:color w:val="auto"/>
              </w:rPr>
              <w:t>92.70</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2/15/2030</w:t>
            </w:r>
          </w:p>
        </w:tc>
        <w:tc>
          <w:tcPr>
            <w:tcW w:w="140" w:type="dxa"/>
            <w:vAlign w:val="bottom"/>
          </w:tcPr>
          <w:p>
            <w:pPr>
              <w:spacing w:after="0"/>
              <w:rPr>
                <w:sz w:val="12"/>
                <w:szCs w:val="12"/>
                <w:color w:val="auto"/>
              </w:rPr>
            </w:pPr>
          </w:p>
        </w:tc>
        <w:tc>
          <w:tcPr>
            <w:tcW w:w="1040" w:type="dxa"/>
            <w:vAlign w:val="bottom"/>
          </w:tcPr>
          <w:p>
            <w:pPr>
              <w:jc w:val="right"/>
              <w:ind w:right="275"/>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35"/>
              <w:spacing w:after="0" w:line="14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40" w:type="dxa"/>
            <w:vAlign w:val="bottom"/>
          </w:tcPr>
          <w:p>
            <w:pPr>
              <w:ind w:left="80"/>
              <w:spacing w:after="0"/>
              <w:rPr>
                <w:sz w:val="20"/>
                <w:szCs w:val="20"/>
                <w:color w:val="auto"/>
              </w:rPr>
            </w:pPr>
            <w:r>
              <w:rPr>
                <w:rFonts w:ascii="Arial" w:cs="Arial" w:eastAsia="Arial" w:hAnsi="Arial"/>
                <w:sz w:val="13"/>
                <w:szCs w:val="13"/>
                <w:color w:val="auto"/>
              </w:rPr>
              <w:t>and Culture Officer</w:t>
            </w:r>
          </w:p>
        </w:tc>
        <w:tc>
          <w:tcPr>
            <w:tcW w:w="140" w:type="dxa"/>
            <w:vAlign w:val="bottom"/>
          </w:tcPr>
          <w:p>
            <w:pPr>
              <w:spacing w:after="0"/>
              <w:rPr>
                <w:sz w:val="14"/>
                <w:szCs w:val="14"/>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vMerge w:val="restart"/>
          </w:tcPr>
          <w:p>
            <w:pPr>
              <w:jc w:val="right"/>
              <w:ind w:right="35"/>
              <w:spacing w:after="0"/>
              <w:rPr>
                <w:sz w:val="20"/>
                <w:szCs w:val="20"/>
                <w:color w:val="auto"/>
              </w:rPr>
            </w:pPr>
            <w:r>
              <w:rPr>
                <w:rFonts w:ascii="Arial" w:cs="Arial" w:eastAsia="Arial" w:hAnsi="Arial"/>
                <w:sz w:val="13"/>
                <w:szCs w:val="13"/>
                <w:color w:val="auto"/>
              </w:rPr>
              <w:t>8,761(7)</w:t>
            </w:r>
          </w:p>
        </w:tc>
        <w:tc>
          <w:tcPr>
            <w:tcW w:w="102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34"/>
              <w:spacing w:after="0"/>
              <w:rPr>
                <w:sz w:val="20"/>
                <w:szCs w:val="20"/>
                <w:color w:val="auto"/>
              </w:rPr>
            </w:pPr>
            <w:r>
              <w:rPr>
                <w:rFonts w:ascii="Arial" w:cs="Arial" w:eastAsia="Arial" w:hAnsi="Arial"/>
                <w:sz w:val="13"/>
                <w:szCs w:val="13"/>
                <w:color w:val="auto"/>
              </w:rPr>
              <w:t>92.49</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2/12/2031</w:t>
            </w:r>
          </w:p>
        </w:tc>
        <w:tc>
          <w:tcPr>
            <w:tcW w:w="140" w:type="dxa"/>
            <w:vAlign w:val="bottom"/>
          </w:tcPr>
          <w:p>
            <w:pPr>
              <w:spacing w:after="0"/>
              <w:rPr>
                <w:sz w:val="14"/>
                <w:szCs w:val="14"/>
                <w:color w:val="auto"/>
              </w:rPr>
            </w:pPr>
          </w:p>
        </w:tc>
        <w:tc>
          <w:tcPr>
            <w:tcW w:w="1040" w:type="dxa"/>
            <w:vAlign w:val="bottom"/>
            <w:vMerge w:val="restart"/>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2,580(11)</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251,111</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6,451(12)</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627,876</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2,279(10)</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221,815</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2,214(13)</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215,489</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4,509(14)</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438,861</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6,473(15)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630,017</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6,488(16)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631,477</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4,325(17)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420,952</w:t>
            </w:r>
          </w:p>
        </w:tc>
        <w:tc>
          <w:tcPr>
            <w:tcW w:w="0" w:type="dxa"/>
            <w:vAlign w:val="bottom"/>
          </w:tcPr>
          <w:p>
            <w:pPr>
              <w:spacing w:after="0"/>
              <w:rPr>
                <w:sz w:val="1"/>
                <w:szCs w:val="1"/>
                <w:color w:val="auto"/>
              </w:rPr>
            </w:pPr>
          </w:p>
        </w:tc>
      </w:tr>
      <w:tr>
        <w:trPr>
          <w:trHeight w:val="54"/>
        </w:trPr>
        <w:tc>
          <w:tcPr>
            <w:tcW w:w="174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740" w:type="dxa"/>
            <w:vAlign w:val="bottom"/>
            <w:tcBorders>
              <w:bottom w:val="single" w:sz="8" w:color="5D89B4"/>
            </w:tcBorders>
          </w:tcPr>
          <w:p>
            <w:pPr>
              <w:spacing w:after="0"/>
              <w:rPr>
                <w:sz w:val="14"/>
                <w:szCs w:val="14"/>
                <w:color w:val="auto"/>
              </w:rPr>
            </w:pPr>
          </w:p>
        </w:tc>
        <w:tc>
          <w:tcPr>
            <w:tcW w:w="140" w:type="dxa"/>
            <w:vAlign w:val="bottom"/>
            <w:tcBorders>
              <w:bottom w:val="single" w:sz="8" w:color="5D89B4"/>
            </w:tcBorders>
          </w:tcPr>
          <w:p>
            <w:pPr>
              <w:spacing w:after="0"/>
              <w:rPr>
                <w:sz w:val="14"/>
                <w:szCs w:val="14"/>
                <w:color w:val="auto"/>
              </w:rPr>
            </w:pPr>
          </w:p>
        </w:tc>
        <w:tc>
          <w:tcPr>
            <w:tcW w:w="880" w:type="dxa"/>
            <w:vAlign w:val="bottom"/>
            <w:tcBorders>
              <w:bottom w:val="single" w:sz="8" w:color="5D89B4"/>
            </w:tcBorders>
          </w:tcPr>
          <w:p>
            <w:pPr>
              <w:spacing w:after="0"/>
              <w:rPr>
                <w:sz w:val="14"/>
                <w:szCs w:val="14"/>
                <w:color w:val="auto"/>
              </w:rPr>
            </w:pPr>
          </w:p>
        </w:tc>
        <w:tc>
          <w:tcPr>
            <w:tcW w:w="1260" w:type="dxa"/>
            <w:vAlign w:val="bottom"/>
            <w:tcBorders>
              <w:bottom w:val="single" w:sz="8" w:color="5D89B4"/>
            </w:tcBorders>
          </w:tcPr>
          <w:p>
            <w:pPr>
              <w:spacing w:after="0"/>
              <w:rPr>
                <w:sz w:val="14"/>
                <w:szCs w:val="14"/>
                <w:color w:val="auto"/>
              </w:rPr>
            </w:pPr>
          </w:p>
        </w:tc>
        <w:tc>
          <w:tcPr>
            <w:tcW w:w="1020" w:type="dxa"/>
            <w:vAlign w:val="bottom"/>
            <w:tcBorders>
              <w:bottom w:val="single" w:sz="8" w:color="5D89B4"/>
            </w:tcBorders>
          </w:tcPr>
          <w:p>
            <w:pPr>
              <w:spacing w:after="0"/>
              <w:rPr>
                <w:sz w:val="14"/>
                <w:szCs w:val="14"/>
                <w:color w:val="auto"/>
              </w:rPr>
            </w:pPr>
          </w:p>
        </w:tc>
        <w:tc>
          <w:tcPr>
            <w:tcW w:w="200" w:type="dxa"/>
            <w:vAlign w:val="bottom"/>
            <w:tcBorders>
              <w:bottom w:val="single" w:sz="8" w:color="5D89B4"/>
            </w:tcBorders>
          </w:tcPr>
          <w:p>
            <w:pPr>
              <w:spacing w:after="0"/>
              <w:rPr>
                <w:sz w:val="14"/>
                <w:szCs w:val="14"/>
                <w:color w:val="auto"/>
              </w:rPr>
            </w:pPr>
          </w:p>
        </w:tc>
        <w:tc>
          <w:tcPr>
            <w:tcW w:w="540" w:type="dxa"/>
            <w:vAlign w:val="bottom"/>
            <w:tcBorders>
              <w:bottom w:val="single" w:sz="8" w:color="5D89B4"/>
            </w:tcBorders>
          </w:tcPr>
          <w:p>
            <w:pPr>
              <w:spacing w:after="0"/>
              <w:rPr>
                <w:sz w:val="14"/>
                <w:szCs w:val="14"/>
                <w:color w:val="auto"/>
              </w:rPr>
            </w:pPr>
          </w:p>
        </w:tc>
        <w:tc>
          <w:tcPr>
            <w:tcW w:w="780" w:type="dxa"/>
            <w:vAlign w:val="bottom"/>
            <w:tcBorders>
              <w:bottom w:val="single" w:sz="8" w:color="5D89B4"/>
            </w:tcBorders>
          </w:tcPr>
          <w:p>
            <w:pPr>
              <w:spacing w:after="0"/>
              <w:rPr>
                <w:sz w:val="14"/>
                <w:szCs w:val="14"/>
                <w:color w:val="auto"/>
              </w:rPr>
            </w:pPr>
          </w:p>
        </w:tc>
        <w:tc>
          <w:tcPr>
            <w:tcW w:w="140" w:type="dxa"/>
            <w:vAlign w:val="bottom"/>
            <w:tcBorders>
              <w:bottom w:val="single" w:sz="8" w:color="5D89B4"/>
            </w:tcBorders>
          </w:tcPr>
          <w:p>
            <w:pPr>
              <w:spacing w:after="0"/>
              <w:rPr>
                <w:sz w:val="14"/>
                <w:szCs w:val="14"/>
                <w:color w:val="auto"/>
              </w:rPr>
            </w:pPr>
          </w:p>
        </w:tc>
        <w:tc>
          <w:tcPr>
            <w:tcW w:w="1040" w:type="dxa"/>
            <w:vAlign w:val="bottom"/>
            <w:tcBorders>
              <w:bottom w:val="single" w:sz="8" w:color="5D89B4"/>
            </w:tcBorders>
          </w:tcPr>
          <w:p>
            <w:pPr>
              <w:spacing w:after="0"/>
              <w:rPr>
                <w:sz w:val="14"/>
                <w:szCs w:val="14"/>
                <w:color w:val="auto"/>
              </w:rPr>
            </w:pPr>
          </w:p>
        </w:tc>
        <w:tc>
          <w:tcPr>
            <w:tcW w:w="180" w:type="dxa"/>
            <w:vAlign w:val="bottom"/>
            <w:tcBorders>
              <w:bottom w:val="single" w:sz="8" w:color="5D89B4"/>
            </w:tcBorders>
          </w:tcPr>
          <w:p>
            <w:pPr>
              <w:spacing w:after="0"/>
              <w:rPr>
                <w:sz w:val="14"/>
                <w:szCs w:val="14"/>
                <w:color w:val="auto"/>
              </w:rPr>
            </w:pPr>
          </w:p>
        </w:tc>
        <w:tc>
          <w:tcPr>
            <w:tcW w:w="700" w:type="dxa"/>
            <w:vAlign w:val="bottom"/>
            <w:tcBorders>
              <w:bottom w:val="single" w:sz="8" w:color="5D89B4"/>
            </w:tcBorders>
          </w:tcPr>
          <w:p>
            <w:pPr>
              <w:spacing w:after="0"/>
              <w:rPr>
                <w:sz w:val="14"/>
                <w:szCs w:val="14"/>
                <w:color w:val="auto"/>
              </w:rPr>
            </w:pPr>
          </w:p>
        </w:tc>
        <w:tc>
          <w:tcPr>
            <w:tcW w:w="1300" w:type="dxa"/>
            <w:vAlign w:val="bottom"/>
            <w:tcBorders>
              <w:bottom w:val="single" w:sz="8" w:color="5D89B4"/>
            </w:tcBorders>
          </w:tcPr>
          <w:p>
            <w:pPr>
              <w:spacing w:after="0"/>
              <w:rPr>
                <w:sz w:val="14"/>
                <w:szCs w:val="14"/>
                <w:color w:val="auto"/>
              </w:rPr>
            </w:pPr>
          </w:p>
        </w:tc>
        <w:tc>
          <w:tcPr>
            <w:tcW w:w="180" w:type="dxa"/>
            <w:vAlign w:val="bottom"/>
            <w:tcBorders>
              <w:bottom w:val="single" w:sz="8" w:color="5D89B4"/>
            </w:tcBorders>
          </w:tcPr>
          <w:p>
            <w:pPr>
              <w:spacing w:after="0"/>
              <w:rPr>
                <w:sz w:val="14"/>
                <w:szCs w:val="14"/>
                <w:color w:val="auto"/>
              </w:rPr>
            </w:pPr>
          </w:p>
        </w:tc>
        <w:tc>
          <w:tcPr>
            <w:tcW w:w="82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53</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880" w:type="dxa"/>
            <w:vAlign w:val="bottom"/>
            <w:shd w:val="clear" w:color="auto" w:fill="EAEAEA"/>
          </w:tcPr>
          <w:p>
            <w:pPr>
              <w:spacing w:after="0"/>
              <w:rPr>
                <w:sz w:val="16"/>
                <w:szCs w:val="16"/>
                <w:color w:val="auto"/>
              </w:rPr>
            </w:pPr>
          </w:p>
        </w:tc>
        <w:tc>
          <w:tcPr>
            <w:tcW w:w="2240" w:type="dxa"/>
            <w:vAlign w:val="bottom"/>
            <w:gridSpan w:val="2"/>
            <w:shd w:val="clear" w:color="auto" w:fill="EAEAEA"/>
          </w:tcPr>
          <w:p>
            <w:pPr>
              <w:jc w:val="right"/>
              <w:ind w:right="299"/>
              <w:spacing w:after="0"/>
              <w:rPr>
                <w:sz w:val="20"/>
                <w:szCs w:val="20"/>
                <w:color w:val="auto"/>
              </w:rPr>
            </w:pPr>
            <w:r>
              <w:rPr>
                <w:rFonts w:ascii="Arial" w:cs="Arial" w:eastAsia="Arial" w:hAnsi="Arial"/>
                <w:sz w:val="11"/>
                <w:szCs w:val="11"/>
                <w:b w:val="1"/>
                <w:bCs w:val="1"/>
                <w:color w:val="5D89B4"/>
              </w:rPr>
              <w:t>OPTION AWARDS</w:t>
            </w:r>
          </w:p>
        </w:tc>
        <w:tc>
          <w:tcPr>
            <w:tcW w:w="200" w:type="dxa"/>
            <w:vAlign w:val="bottom"/>
            <w:shd w:val="clear" w:color="auto" w:fill="EAEAEA"/>
          </w:tcPr>
          <w:p>
            <w:pPr>
              <w:spacing w:after="0"/>
              <w:rPr>
                <w:sz w:val="16"/>
                <w:szCs w:val="16"/>
                <w:color w:val="auto"/>
              </w:rPr>
            </w:pPr>
          </w:p>
        </w:tc>
        <w:tc>
          <w:tcPr>
            <w:tcW w:w="540" w:type="dxa"/>
            <w:vAlign w:val="bottom"/>
            <w:shd w:val="clear" w:color="auto" w:fill="EAEAEA"/>
          </w:tcPr>
          <w:p>
            <w:pPr>
              <w:spacing w:after="0"/>
              <w:rPr>
                <w:sz w:val="16"/>
                <w:szCs w:val="16"/>
                <w:color w:val="auto"/>
              </w:rPr>
            </w:pPr>
          </w:p>
        </w:tc>
        <w:tc>
          <w:tcPr>
            <w:tcW w:w="78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1980" w:type="dxa"/>
            <w:vAlign w:val="bottom"/>
            <w:gridSpan w:val="2"/>
            <w:shd w:val="clear" w:color="auto" w:fill="EAEAEA"/>
          </w:tcPr>
          <w:p>
            <w:pPr>
              <w:jc w:val="right"/>
              <w:ind w:right="599"/>
              <w:spacing w:after="0"/>
              <w:rPr>
                <w:sz w:val="20"/>
                <w:szCs w:val="20"/>
                <w:color w:val="auto"/>
              </w:rPr>
            </w:pPr>
            <w:r>
              <w:rPr>
                <w:rFonts w:ascii="Arial" w:cs="Arial" w:eastAsia="Arial" w:hAnsi="Arial"/>
                <w:sz w:val="11"/>
                <w:szCs w:val="11"/>
                <w:b w:val="1"/>
                <w:bCs w:val="1"/>
                <w:color w:val="5D89B4"/>
              </w:rPr>
              <w:t>STOCK AWARDS</w:t>
            </w:r>
          </w:p>
        </w:tc>
        <w:tc>
          <w:tcPr>
            <w:tcW w:w="18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860" w:type="dxa"/>
            <w:vAlign w:val="bottom"/>
            <w:tcBorders>
              <w:bottom w:val="single" w:sz="8" w:color="EAEAEA"/>
            </w:tcBorders>
            <w:shd w:val="clear" w:color="auto" w:fill="EAEAEA"/>
          </w:tcPr>
          <w:p>
            <w:pPr>
              <w:spacing w:after="0"/>
              <w:rPr>
                <w:sz w:val="5"/>
                <w:szCs w:val="5"/>
                <w:color w:val="auto"/>
              </w:rPr>
            </w:pPr>
          </w:p>
        </w:tc>
        <w:tc>
          <w:tcPr>
            <w:tcW w:w="120" w:type="dxa"/>
            <w:vAlign w:val="bottom"/>
            <w:tcBorders>
              <w:bottom w:val="single" w:sz="8" w:color="EAEAEA"/>
            </w:tcBorders>
            <w:shd w:val="clear" w:color="auto" w:fill="EAEAEA"/>
          </w:tcPr>
          <w:p>
            <w:pPr>
              <w:spacing w:after="0"/>
              <w:rPr>
                <w:sz w:val="5"/>
                <w:szCs w:val="5"/>
                <w:color w:val="auto"/>
              </w:rPr>
            </w:pPr>
          </w:p>
        </w:tc>
        <w:tc>
          <w:tcPr>
            <w:tcW w:w="880" w:type="dxa"/>
            <w:vAlign w:val="bottom"/>
            <w:tcBorders>
              <w:bottom w:val="single" w:sz="8" w:color="5D89B4"/>
            </w:tcBorders>
            <w:shd w:val="clear" w:color="auto" w:fill="EAEAEA"/>
          </w:tcPr>
          <w:p>
            <w:pPr>
              <w:spacing w:after="0"/>
              <w:rPr>
                <w:sz w:val="5"/>
                <w:szCs w:val="5"/>
                <w:color w:val="auto"/>
              </w:rPr>
            </w:pPr>
          </w:p>
        </w:tc>
        <w:tc>
          <w:tcPr>
            <w:tcW w:w="1260" w:type="dxa"/>
            <w:vAlign w:val="bottom"/>
            <w:tcBorders>
              <w:bottom w:val="single" w:sz="8" w:color="5D89B4"/>
            </w:tcBorders>
            <w:shd w:val="clear" w:color="auto" w:fill="EAEAEA"/>
          </w:tcPr>
          <w:p>
            <w:pPr>
              <w:spacing w:after="0"/>
              <w:rPr>
                <w:sz w:val="5"/>
                <w:szCs w:val="5"/>
                <w:color w:val="auto"/>
              </w:rPr>
            </w:pPr>
          </w:p>
        </w:tc>
        <w:tc>
          <w:tcPr>
            <w:tcW w:w="98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540" w:type="dxa"/>
            <w:vAlign w:val="bottom"/>
            <w:tcBorders>
              <w:bottom w:val="single" w:sz="8" w:color="5D89B4"/>
            </w:tcBorders>
            <w:shd w:val="clear" w:color="auto" w:fill="EAEAEA"/>
          </w:tcPr>
          <w:p>
            <w:pPr>
              <w:spacing w:after="0"/>
              <w:rPr>
                <w:sz w:val="5"/>
                <w:szCs w:val="5"/>
                <w:color w:val="auto"/>
              </w:rPr>
            </w:pPr>
          </w:p>
        </w:tc>
        <w:tc>
          <w:tcPr>
            <w:tcW w:w="780" w:type="dxa"/>
            <w:vAlign w:val="bottom"/>
            <w:tcBorders>
              <w:bottom w:val="single" w:sz="8" w:color="5D89B4"/>
            </w:tcBorders>
            <w:shd w:val="clear" w:color="auto" w:fill="EAEAEA"/>
          </w:tcPr>
          <w:p>
            <w:pPr>
              <w:spacing w:after="0"/>
              <w:rPr>
                <w:sz w:val="5"/>
                <w:szCs w:val="5"/>
                <w:color w:val="auto"/>
              </w:rPr>
            </w:pPr>
          </w:p>
        </w:tc>
        <w:tc>
          <w:tcPr>
            <w:tcW w:w="120" w:type="dxa"/>
            <w:vAlign w:val="bottom"/>
            <w:tcBorders>
              <w:bottom w:val="single" w:sz="8" w:color="EAEAEA"/>
            </w:tcBorders>
            <w:shd w:val="clear" w:color="auto" w:fill="EAEAEA"/>
          </w:tcPr>
          <w:p>
            <w:pPr>
              <w:spacing w:after="0"/>
              <w:rPr>
                <w:sz w:val="5"/>
                <w:szCs w:val="5"/>
                <w:color w:val="auto"/>
              </w:rPr>
            </w:pPr>
          </w:p>
        </w:tc>
        <w:tc>
          <w:tcPr>
            <w:tcW w:w="1020" w:type="dxa"/>
            <w:vAlign w:val="bottom"/>
            <w:tcBorders>
              <w:bottom w:val="single" w:sz="8" w:color="5D89B4"/>
            </w:tcBorders>
            <w:shd w:val="clear" w:color="auto" w:fill="EAEAEA"/>
          </w:tcPr>
          <w:p>
            <w:pPr>
              <w:spacing w:after="0"/>
              <w:rPr>
                <w:sz w:val="5"/>
                <w:szCs w:val="5"/>
                <w:color w:val="auto"/>
              </w:rPr>
            </w:pPr>
          </w:p>
        </w:tc>
        <w:tc>
          <w:tcPr>
            <w:tcW w:w="180" w:type="dxa"/>
            <w:vAlign w:val="bottom"/>
            <w:tcBorders>
              <w:bottom w:val="single" w:sz="8" w:color="5D89B4"/>
            </w:tcBorders>
            <w:shd w:val="clear" w:color="auto" w:fill="EAEAEA"/>
          </w:tcPr>
          <w:p>
            <w:pPr>
              <w:spacing w:after="0"/>
              <w:rPr>
                <w:sz w:val="5"/>
                <w:szCs w:val="5"/>
                <w:color w:val="auto"/>
              </w:rPr>
            </w:pPr>
          </w:p>
        </w:tc>
        <w:tc>
          <w:tcPr>
            <w:tcW w:w="700" w:type="dxa"/>
            <w:vAlign w:val="bottom"/>
            <w:tcBorders>
              <w:bottom w:val="single" w:sz="8" w:color="5D89B4"/>
            </w:tcBorders>
            <w:shd w:val="clear" w:color="auto" w:fill="EAEAEA"/>
          </w:tcPr>
          <w:p>
            <w:pPr>
              <w:spacing w:after="0"/>
              <w:rPr>
                <w:sz w:val="5"/>
                <w:szCs w:val="5"/>
                <w:color w:val="auto"/>
              </w:rPr>
            </w:pPr>
          </w:p>
        </w:tc>
        <w:tc>
          <w:tcPr>
            <w:tcW w:w="1280" w:type="dxa"/>
            <w:vAlign w:val="bottom"/>
            <w:tcBorders>
              <w:bottom w:val="single" w:sz="8" w:color="5D89B4"/>
            </w:tcBorders>
            <w:shd w:val="clear" w:color="auto" w:fill="EAEAEA"/>
          </w:tcPr>
          <w:p>
            <w:pPr>
              <w:spacing w:after="0"/>
              <w:rPr>
                <w:sz w:val="5"/>
                <w:szCs w:val="5"/>
                <w:color w:val="auto"/>
              </w:rPr>
            </w:pPr>
          </w:p>
        </w:tc>
        <w:tc>
          <w:tcPr>
            <w:tcW w:w="180" w:type="dxa"/>
            <w:vAlign w:val="bottom"/>
            <w:tcBorders>
              <w:bottom w:val="single" w:sz="8" w:color="5D89B4"/>
            </w:tcBorders>
            <w:shd w:val="clear" w:color="auto" w:fill="EAEAEA"/>
          </w:tcPr>
          <w:p>
            <w:pPr>
              <w:spacing w:after="0"/>
              <w:rPr>
                <w:sz w:val="5"/>
                <w:szCs w:val="5"/>
                <w:color w:val="auto"/>
              </w:rPr>
            </w:pPr>
          </w:p>
        </w:tc>
        <w:tc>
          <w:tcPr>
            <w:tcW w:w="820" w:type="dxa"/>
            <w:vAlign w:val="bottom"/>
            <w:tcBorders>
              <w:bottom w:val="single" w:sz="8" w:color="5D89B4"/>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860" w:type="dxa"/>
            <w:vAlign w:val="bottom"/>
            <w:shd w:val="clear" w:color="auto" w:fill="EAEAEA"/>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98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54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EQUITY</w:t>
            </w:r>
          </w:p>
        </w:tc>
        <w:tc>
          <w:tcPr>
            <w:tcW w:w="0" w:type="dxa"/>
            <w:vAlign w:val="bottom"/>
          </w:tcPr>
          <w:p>
            <w:pPr>
              <w:spacing w:after="0"/>
              <w:rPr>
                <w:sz w:val="1"/>
                <w:szCs w:val="1"/>
                <w:color w:val="auto"/>
              </w:rPr>
            </w:pPr>
          </w:p>
        </w:tc>
      </w:tr>
      <w:tr>
        <w:trPr>
          <w:trHeight w:val="120"/>
        </w:trPr>
        <w:tc>
          <w:tcPr>
            <w:tcW w:w="18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98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1280" w:type="dxa"/>
            <w:vAlign w:val="bottom"/>
            <w:shd w:val="clear" w:color="auto" w:fill="EAEAEA"/>
          </w:tcPr>
          <w:p>
            <w:pPr>
              <w:jc w:val="right"/>
              <w:ind w:right="259"/>
              <w:spacing w:after="0" w:line="121" w:lineRule="exact"/>
              <w:rPr>
                <w:sz w:val="20"/>
                <w:szCs w:val="20"/>
                <w:color w:val="auto"/>
              </w:rPr>
            </w:pPr>
            <w:r>
              <w:rPr>
                <w:rFonts w:ascii="Arial" w:cs="Arial" w:eastAsia="Arial" w:hAnsi="Arial"/>
                <w:sz w:val="11"/>
                <w:szCs w:val="11"/>
                <w:b w:val="1"/>
                <w:bCs w:val="1"/>
                <w:color w:val="5D89B4"/>
              </w:rPr>
              <w:t>EQUITY</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INCENTIVE</w:t>
            </w:r>
          </w:p>
        </w:tc>
        <w:tc>
          <w:tcPr>
            <w:tcW w:w="0" w:type="dxa"/>
            <w:vAlign w:val="bottom"/>
          </w:tcPr>
          <w:p>
            <w:pPr>
              <w:spacing w:after="0"/>
              <w:rPr>
                <w:sz w:val="1"/>
                <w:szCs w:val="1"/>
                <w:color w:val="auto"/>
              </w:rPr>
            </w:pPr>
          </w:p>
        </w:tc>
      </w:tr>
      <w:tr>
        <w:trPr>
          <w:trHeight w:val="120"/>
        </w:trPr>
        <w:tc>
          <w:tcPr>
            <w:tcW w:w="18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98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1280" w:type="dxa"/>
            <w:vAlign w:val="bottom"/>
            <w:shd w:val="clear" w:color="auto" w:fill="EAEAEA"/>
          </w:tcPr>
          <w:p>
            <w:pPr>
              <w:jc w:val="right"/>
              <w:ind w:right="259"/>
              <w:spacing w:after="0" w:line="121" w:lineRule="exact"/>
              <w:rPr>
                <w:sz w:val="20"/>
                <w:szCs w:val="20"/>
                <w:color w:val="auto"/>
              </w:rPr>
            </w:pPr>
            <w:r>
              <w:rPr>
                <w:rFonts w:ascii="Arial" w:cs="Arial" w:eastAsia="Arial" w:hAnsi="Arial"/>
                <w:sz w:val="11"/>
                <w:szCs w:val="11"/>
                <w:b w:val="1"/>
                <w:bCs w:val="1"/>
                <w:color w:val="5D89B4"/>
              </w:rPr>
              <w:t>INCENTIVE</w:t>
            </w:r>
          </w:p>
        </w:tc>
        <w:tc>
          <w:tcPr>
            <w:tcW w:w="100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PLAN AWARDS:</w:t>
            </w:r>
          </w:p>
        </w:tc>
        <w:tc>
          <w:tcPr>
            <w:tcW w:w="0" w:type="dxa"/>
            <w:vAlign w:val="bottom"/>
          </w:tcPr>
          <w:p>
            <w:pPr>
              <w:spacing w:after="0"/>
              <w:rPr>
                <w:sz w:val="1"/>
                <w:szCs w:val="1"/>
                <w:color w:val="auto"/>
              </w:rPr>
            </w:pPr>
          </w:p>
        </w:tc>
      </w:tr>
      <w:tr>
        <w:trPr>
          <w:trHeight w:val="122"/>
        </w:trPr>
        <w:tc>
          <w:tcPr>
            <w:tcW w:w="18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980" w:type="dxa"/>
            <w:vAlign w:val="bottom"/>
            <w:shd w:val="clear" w:color="auto" w:fill="EAEAEA"/>
          </w:tcPr>
          <w:p>
            <w:pPr>
              <w:jc w:val="right"/>
              <w:ind w:right="19"/>
              <w:spacing w:after="0" w:line="122"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1280" w:type="dxa"/>
            <w:vAlign w:val="bottom"/>
            <w:shd w:val="clear" w:color="auto" w:fill="EAEAEA"/>
          </w:tcPr>
          <w:p>
            <w:pPr>
              <w:jc w:val="right"/>
              <w:ind w:right="259"/>
              <w:spacing w:after="0" w:line="122" w:lineRule="exact"/>
              <w:rPr>
                <w:sz w:val="20"/>
                <w:szCs w:val="20"/>
                <w:color w:val="auto"/>
              </w:rPr>
            </w:pPr>
            <w:r>
              <w:rPr>
                <w:rFonts w:ascii="Arial" w:cs="Arial" w:eastAsia="Arial" w:hAnsi="Arial"/>
                <w:sz w:val="11"/>
                <w:szCs w:val="11"/>
                <w:b w:val="1"/>
                <w:bCs w:val="1"/>
                <w:color w:val="5D89B4"/>
              </w:rPr>
              <w:t>PLAN AWARDS:</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2" w:lineRule="exact"/>
              <w:rPr>
                <w:sz w:val="20"/>
                <w:szCs w:val="20"/>
                <w:color w:val="auto"/>
              </w:rPr>
            </w:pPr>
            <w:r>
              <w:rPr>
                <w:rFonts w:ascii="Arial" w:cs="Arial" w:eastAsia="Arial" w:hAnsi="Arial"/>
                <w:sz w:val="11"/>
                <w:szCs w:val="11"/>
                <w:b w:val="1"/>
                <w:bCs w:val="1"/>
                <w:color w:val="5D89B4"/>
              </w:rPr>
              <w:t>MARKET OR</w:t>
            </w:r>
          </w:p>
        </w:tc>
        <w:tc>
          <w:tcPr>
            <w:tcW w:w="0" w:type="dxa"/>
            <w:vAlign w:val="bottom"/>
          </w:tcPr>
          <w:p>
            <w:pPr>
              <w:spacing w:after="0"/>
              <w:rPr>
                <w:sz w:val="1"/>
                <w:szCs w:val="1"/>
                <w:color w:val="auto"/>
              </w:rPr>
            </w:pPr>
          </w:p>
        </w:tc>
      </w:tr>
      <w:tr>
        <w:trPr>
          <w:trHeight w:val="120"/>
        </w:trPr>
        <w:tc>
          <w:tcPr>
            <w:tcW w:w="18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980" w:type="dxa"/>
            <w:vAlign w:val="bottom"/>
            <w:shd w:val="clear" w:color="auto" w:fill="EAEAEA"/>
          </w:tcPr>
          <w:p>
            <w:pPr>
              <w:jc w:val="right"/>
              <w:ind w:right="19"/>
              <w:spacing w:after="0" w:line="121" w:lineRule="exact"/>
              <w:rPr>
                <w:sz w:val="20"/>
                <w:szCs w:val="20"/>
                <w:color w:val="auto"/>
              </w:rPr>
            </w:pPr>
            <w:r>
              <w:rPr>
                <w:rFonts w:ascii="Arial" w:cs="Arial" w:eastAsia="Arial" w:hAnsi="Arial"/>
                <w:sz w:val="11"/>
                <w:szCs w:val="11"/>
                <w:b w:val="1"/>
                <w:bCs w:val="1"/>
                <w:color w:val="5D89B4"/>
              </w:rPr>
              <w:t>INCENTIVE</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18"/>
              <w:spacing w:after="0" w:line="121" w:lineRule="exact"/>
              <w:rPr>
                <w:sz w:val="20"/>
                <w:szCs w:val="20"/>
                <w:color w:val="auto"/>
              </w:rPr>
            </w:pPr>
            <w:r>
              <w:rPr>
                <w:rFonts w:ascii="Arial" w:cs="Arial" w:eastAsia="Arial" w:hAnsi="Arial"/>
                <w:sz w:val="11"/>
                <w:szCs w:val="11"/>
                <w:b w:val="1"/>
                <w:bCs w:val="1"/>
                <w:color w:val="5D89B4"/>
              </w:rPr>
              <w:t>MARKET</w:t>
            </w:r>
          </w:p>
        </w:tc>
        <w:tc>
          <w:tcPr>
            <w:tcW w:w="1280" w:type="dxa"/>
            <w:vAlign w:val="bottom"/>
            <w:shd w:val="clear" w:color="auto" w:fill="EAEAEA"/>
          </w:tcPr>
          <w:p>
            <w:pPr>
              <w:jc w:val="right"/>
              <w:ind w:right="259"/>
              <w:spacing w:after="0" w:line="121" w:lineRule="exact"/>
              <w:rPr>
                <w:sz w:val="20"/>
                <w:szCs w:val="20"/>
                <w:color w:val="auto"/>
              </w:rPr>
            </w:pPr>
            <w:r>
              <w:rPr>
                <w:rFonts w:ascii="Arial" w:cs="Arial" w:eastAsia="Arial" w:hAnsi="Arial"/>
                <w:sz w:val="11"/>
                <w:szCs w:val="11"/>
                <w:b w:val="1"/>
                <w:bCs w:val="1"/>
                <w:color w:val="5D89B4"/>
              </w:rPr>
              <w:t>NUMBER OF</w:t>
            </w:r>
          </w:p>
        </w:tc>
        <w:tc>
          <w:tcPr>
            <w:tcW w:w="100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PAYOUT VALUE</w:t>
            </w:r>
          </w:p>
        </w:tc>
        <w:tc>
          <w:tcPr>
            <w:tcW w:w="0" w:type="dxa"/>
            <w:vAlign w:val="bottom"/>
          </w:tcPr>
          <w:p>
            <w:pPr>
              <w:spacing w:after="0"/>
              <w:rPr>
                <w:sz w:val="1"/>
                <w:szCs w:val="1"/>
                <w:color w:val="auto"/>
              </w:rPr>
            </w:pPr>
          </w:p>
        </w:tc>
      </w:tr>
      <w:tr>
        <w:trPr>
          <w:trHeight w:val="120"/>
        </w:trPr>
        <w:tc>
          <w:tcPr>
            <w:tcW w:w="18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NUMBER OF</w:t>
            </w:r>
          </w:p>
        </w:tc>
        <w:tc>
          <w:tcPr>
            <w:tcW w:w="1260" w:type="dxa"/>
            <w:vAlign w:val="bottom"/>
            <w:shd w:val="clear" w:color="auto" w:fill="EAEAEA"/>
          </w:tcPr>
          <w:p>
            <w:pPr>
              <w:jc w:val="right"/>
              <w:ind w:right="198"/>
              <w:spacing w:after="0" w:line="121" w:lineRule="exact"/>
              <w:rPr>
                <w:sz w:val="20"/>
                <w:szCs w:val="20"/>
                <w:color w:val="auto"/>
              </w:rPr>
            </w:pPr>
            <w:r>
              <w:rPr>
                <w:rFonts w:ascii="Arial" w:cs="Arial" w:eastAsia="Arial" w:hAnsi="Arial"/>
                <w:sz w:val="11"/>
                <w:szCs w:val="11"/>
                <w:b w:val="1"/>
                <w:bCs w:val="1"/>
                <w:color w:val="5D89B4"/>
              </w:rPr>
              <w:t>NUMBER OF</w:t>
            </w:r>
          </w:p>
        </w:tc>
        <w:tc>
          <w:tcPr>
            <w:tcW w:w="980" w:type="dxa"/>
            <w:vAlign w:val="bottom"/>
            <w:shd w:val="clear" w:color="auto" w:fill="EAEAEA"/>
          </w:tcPr>
          <w:p>
            <w:pPr>
              <w:jc w:val="right"/>
              <w:ind w:right="19"/>
              <w:spacing w:after="0" w:line="121"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258"/>
              <w:spacing w:after="0" w:line="121" w:lineRule="exact"/>
              <w:rPr>
                <w:sz w:val="20"/>
                <w:szCs w:val="20"/>
                <w:color w:val="auto"/>
              </w:rPr>
            </w:pPr>
            <w:r>
              <w:rPr>
                <w:rFonts w:ascii="Arial" w:cs="Arial" w:eastAsia="Arial" w:hAnsi="Arial"/>
                <w:sz w:val="11"/>
                <w:szCs w:val="11"/>
                <w:b w:val="1"/>
                <w:bCs w:val="1"/>
                <w:color w:val="5D89B4"/>
              </w:rPr>
              <w:t>NUMBER</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18"/>
              <w:spacing w:after="0" w:line="121" w:lineRule="exact"/>
              <w:rPr>
                <w:sz w:val="20"/>
                <w:szCs w:val="20"/>
                <w:color w:val="auto"/>
              </w:rPr>
            </w:pPr>
            <w:r>
              <w:rPr>
                <w:rFonts w:ascii="Arial" w:cs="Arial" w:eastAsia="Arial" w:hAnsi="Arial"/>
                <w:sz w:val="11"/>
                <w:szCs w:val="11"/>
                <w:b w:val="1"/>
                <w:bCs w:val="1"/>
                <w:color w:val="5D89B4"/>
              </w:rPr>
              <w:t>VALUE</w:t>
            </w:r>
          </w:p>
        </w:tc>
        <w:tc>
          <w:tcPr>
            <w:tcW w:w="1280" w:type="dxa"/>
            <w:vAlign w:val="bottom"/>
            <w:shd w:val="clear" w:color="auto" w:fill="EAEAEA"/>
          </w:tcPr>
          <w:p>
            <w:pPr>
              <w:jc w:val="right"/>
              <w:ind w:right="259"/>
              <w:spacing w:after="0" w:line="121" w:lineRule="exact"/>
              <w:rPr>
                <w:sz w:val="20"/>
                <w:szCs w:val="20"/>
                <w:color w:val="auto"/>
              </w:rPr>
            </w:pPr>
            <w:r>
              <w:rPr>
                <w:rFonts w:ascii="Arial" w:cs="Arial" w:eastAsia="Arial" w:hAnsi="Arial"/>
                <w:sz w:val="11"/>
                <w:szCs w:val="11"/>
                <w:b w:val="1"/>
                <w:bCs w:val="1"/>
                <w:color w:val="5D89B4"/>
              </w:rPr>
              <w:t>UNEARNED</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4"/>
              </w:rPr>
              <w:t>OF UNEARNED</w:t>
            </w:r>
          </w:p>
        </w:tc>
        <w:tc>
          <w:tcPr>
            <w:tcW w:w="0" w:type="dxa"/>
            <w:vAlign w:val="bottom"/>
          </w:tcPr>
          <w:p>
            <w:pPr>
              <w:spacing w:after="0"/>
              <w:rPr>
                <w:sz w:val="1"/>
                <w:szCs w:val="1"/>
                <w:color w:val="auto"/>
              </w:rPr>
            </w:pPr>
          </w:p>
        </w:tc>
      </w:tr>
      <w:tr>
        <w:trPr>
          <w:trHeight w:val="120"/>
        </w:trPr>
        <w:tc>
          <w:tcPr>
            <w:tcW w:w="18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SECURITIES</w:t>
            </w:r>
          </w:p>
        </w:tc>
        <w:tc>
          <w:tcPr>
            <w:tcW w:w="1260" w:type="dxa"/>
            <w:vAlign w:val="bottom"/>
            <w:shd w:val="clear" w:color="auto" w:fill="EAEAEA"/>
          </w:tcPr>
          <w:p>
            <w:pPr>
              <w:jc w:val="right"/>
              <w:ind w:right="198"/>
              <w:spacing w:after="0" w:line="121" w:lineRule="exact"/>
              <w:rPr>
                <w:sz w:val="20"/>
                <w:szCs w:val="20"/>
                <w:color w:val="auto"/>
              </w:rPr>
            </w:pPr>
            <w:r>
              <w:rPr>
                <w:rFonts w:ascii="Arial" w:cs="Arial" w:eastAsia="Arial" w:hAnsi="Arial"/>
                <w:sz w:val="11"/>
                <w:szCs w:val="11"/>
                <w:b w:val="1"/>
                <w:bCs w:val="1"/>
                <w:color w:val="5D89B4"/>
              </w:rPr>
              <w:t>SECURITIES</w:t>
            </w:r>
          </w:p>
        </w:tc>
        <w:tc>
          <w:tcPr>
            <w:tcW w:w="980" w:type="dxa"/>
            <w:vAlign w:val="bottom"/>
            <w:shd w:val="clear" w:color="auto" w:fill="EAEAEA"/>
          </w:tcPr>
          <w:p>
            <w:pPr>
              <w:jc w:val="right"/>
              <w:ind w:right="19"/>
              <w:spacing w:after="0" w:line="121" w:lineRule="exact"/>
              <w:rPr>
                <w:sz w:val="20"/>
                <w:szCs w:val="20"/>
                <w:color w:val="auto"/>
              </w:rPr>
            </w:pPr>
            <w:r>
              <w:rPr>
                <w:rFonts w:ascii="Arial" w:cs="Arial" w:eastAsia="Arial" w:hAnsi="Arial"/>
                <w:sz w:val="11"/>
                <w:szCs w:val="11"/>
                <w:b w:val="1"/>
                <w:bCs w:val="1"/>
                <w:color w:val="5D89B4"/>
              </w:rPr>
              <w:t>NUMBER OF</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258"/>
              <w:spacing w:after="0" w:line="121" w:lineRule="exact"/>
              <w:rPr>
                <w:sz w:val="20"/>
                <w:szCs w:val="20"/>
                <w:color w:val="auto"/>
              </w:rPr>
            </w:pPr>
            <w:r>
              <w:rPr>
                <w:rFonts w:ascii="Arial" w:cs="Arial" w:eastAsia="Arial" w:hAnsi="Arial"/>
                <w:sz w:val="11"/>
                <w:szCs w:val="11"/>
                <w:b w:val="1"/>
                <w:bCs w:val="1"/>
                <w:color w:val="5D89B4"/>
              </w:rPr>
              <w:t>OF SHARES</w:t>
            </w:r>
          </w:p>
        </w:tc>
        <w:tc>
          <w:tcPr>
            <w:tcW w:w="880" w:type="dxa"/>
            <w:vAlign w:val="bottom"/>
            <w:gridSpan w:val="2"/>
            <w:shd w:val="clear" w:color="auto" w:fill="EAEAEA"/>
          </w:tcPr>
          <w:p>
            <w:pPr>
              <w:jc w:val="right"/>
              <w:ind w:right="18"/>
              <w:spacing w:after="0" w:line="121" w:lineRule="exact"/>
              <w:rPr>
                <w:sz w:val="20"/>
                <w:szCs w:val="20"/>
                <w:color w:val="auto"/>
              </w:rPr>
            </w:pPr>
            <w:r>
              <w:rPr>
                <w:rFonts w:ascii="Arial" w:cs="Arial" w:eastAsia="Arial" w:hAnsi="Arial"/>
                <w:sz w:val="11"/>
                <w:szCs w:val="11"/>
                <w:b w:val="1"/>
                <w:bCs w:val="1"/>
                <w:color w:val="5D89B4"/>
              </w:rPr>
              <w:t>OF SHARES</w:t>
            </w:r>
          </w:p>
        </w:tc>
        <w:tc>
          <w:tcPr>
            <w:tcW w:w="1280" w:type="dxa"/>
            <w:vAlign w:val="bottom"/>
            <w:shd w:val="clear" w:color="auto" w:fill="EAEAEA"/>
          </w:tcPr>
          <w:p>
            <w:pPr>
              <w:jc w:val="right"/>
              <w:ind w:right="259"/>
              <w:spacing w:after="0" w:line="121" w:lineRule="exact"/>
              <w:rPr>
                <w:sz w:val="20"/>
                <w:szCs w:val="20"/>
                <w:color w:val="auto"/>
              </w:rPr>
            </w:pPr>
            <w:r>
              <w:rPr>
                <w:rFonts w:ascii="Arial" w:cs="Arial" w:eastAsia="Arial" w:hAnsi="Arial"/>
                <w:sz w:val="11"/>
                <w:szCs w:val="11"/>
                <w:b w:val="1"/>
                <w:bCs w:val="1"/>
                <w:color w:val="5D89B4"/>
              </w:rPr>
              <w:t>SHARES, UNITS,</w:t>
            </w:r>
          </w:p>
        </w:tc>
        <w:tc>
          <w:tcPr>
            <w:tcW w:w="100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SHARES, UNITS,</w:t>
            </w:r>
          </w:p>
        </w:tc>
        <w:tc>
          <w:tcPr>
            <w:tcW w:w="0" w:type="dxa"/>
            <w:vAlign w:val="bottom"/>
          </w:tcPr>
          <w:p>
            <w:pPr>
              <w:spacing w:after="0"/>
              <w:rPr>
                <w:sz w:val="1"/>
                <w:szCs w:val="1"/>
                <w:color w:val="auto"/>
              </w:rPr>
            </w:pPr>
          </w:p>
        </w:tc>
      </w:tr>
      <w:tr>
        <w:trPr>
          <w:trHeight w:val="120"/>
        </w:trPr>
        <w:tc>
          <w:tcPr>
            <w:tcW w:w="18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UNDERLYING</w:t>
            </w:r>
          </w:p>
        </w:tc>
        <w:tc>
          <w:tcPr>
            <w:tcW w:w="1260" w:type="dxa"/>
            <w:vAlign w:val="bottom"/>
            <w:shd w:val="clear" w:color="auto" w:fill="EAEAEA"/>
          </w:tcPr>
          <w:p>
            <w:pPr>
              <w:jc w:val="right"/>
              <w:ind w:right="198"/>
              <w:spacing w:after="0" w:line="121" w:lineRule="exact"/>
              <w:rPr>
                <w:sz w:val="20"/>
                <w:szCs w:val="20"/>
                <w:color w:val="auto"/>
              </w:rPr>
            </w:pPr>
            <w:r>
              <w:rPr>
                <w:rFonts w:ascii="Arial" w:cs="Arial" w:eastAsia="Arial" w:hAnsi="Arial"/>
                <w:sz w:val="11"/>
                <w:szCs w:val="11"/>
                <w:b w:val="1"/>
                <w:bCs w:val="1"/>
                <w:color w:val="5D89B4"/>
              </w:rPr>
              <w:t>UNDERLYING</w:t>
            </w:r>
          </w:p>
        </w:tc>
        <w:tc>
          <w:tcPr>
            <w:tcW w:w="980" w:type="dxa"/>
            <w:vAlign w:val="bottom"/>
            <w:shd w:val="clear" w:color="auto" w:fill="EAEAEA"/>
          </w:tcPr>
          <w:p>
            <w:pPr>
              <w:jc w:val="right"/>
              <w:ind w:right="19"/>
              <w:spacing w:after="0" w:line="121" w:lineRule="exact"/>
              <w:rPr>
                <w:sz w:val="20"/>
                <w:szCs w:val="20"/>
                <w:color w:val="auto"/>
              </w:rPr>
            </w:pPr>
            <w:r>
              <w:rPr>
                <w:rFonts w:ascii="Arial" w:cs="Arial" w:eastAsia="Arial" w:hAnsi="Arial"/>
                <w:sz w:val="11"/>
                <w:szCs w:val="11"/>
                <w:b w:val="1"/>
                <w:bCs w:val="1"/>
                <w:color w:val="5D89B4"/>
              </w:rPr>
              <w:t>SECURITIES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258"/>
              <w:spacing w:after="0" w:line="121" w:lineRule="exact"/>
              <w:rPr>
                <w:sz w:val="20"/>
                <w:szCs w:val="20"/>
                <w:color w:val="auto"/>
              </w:rPr>
            </w:pPr>
            <w:r>
              <w:rPr>
                <w:rFonts w:ascii="Arial" w:cs="Arial" w:eastAsia="Arial" w:hAnsi="Arial"/>
                <w:sz w:val="11"/>
                <w:szCs w:val="11"/>
                <w:b w:val="1"/>
                <w:bCs w:val="1"/>
                <w:color w:val="5D89B4"/>
              </w:rPr>
              <w:t>OR UNITS</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18"/>
              <w:spacing w:after="0" w:line="121" w:lineRule="exact"/>
              <w:rPr>
                <w:sz w:val="20"/>
                <w:szCs w:val="20"/>
                <w:color w:val="auto"/>
              </w:rPr>
            </w:pPr>
            <w:r>
              <w:rPr>
                <w:rFonts w:ascii="Arial" w:cs="Arial" w:eastAsia="Arial" w:hAnsi="Arial"/>
                <w:sz w:val="11"/>
                <w:szCs w:val="11"/>
                <w:b w:val="1"/>
                <w:bCs w:val="1"/>
                <w:color w:val="5D89B4"/>
              </w:rPr>
              <w:t>OR UNITS</w:t>
            </w:r>
          </w:p>
        </w:tc>
        <w:tc>
          <w:tcPr>
            <w:tcW w:w="1280" w:type="dxa"/>
            <w:vAlign w:val="bottom"/>
            <w:shd w:val="clear" w:color="auto" w:fill="EAEAEA"/>
          </w:tcPr>
          <w:p>
            <w:pPr>
              <w:jc w:val="right"/>
              <w:ind w:right="259"/>
              <w:spacing w:after="0" w:line="121" w:lineRule="exact"/>
              <w:rPr>
                <w:sz w:val="20"/>
                <w:szCs w:val="20"/>
                <w:color w:val="auto"/>
              </w:rPr>
            </w:pPr>
            <w:r>
              <w:rPr>
                <w:rFonts w:ascii="Arial" w:cs="Arial" w:eastAsia="Arial" w:hAnsi="Arial"/>
                <w:sz w:val="11"/>
                <w:szCs w:val="11"/>
                <w:b w:val="1"/>
                <w:bCs w:val="1"/>
                <w:color w:val="5D89B4"/>
              </w:rPr>
              <w:t>OR OTHER</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OR OTHER</w:t>
            </w:r>
          </w:p>
        </w:tc>
        <w:tc>
          <w:tcPr>
            <w:tcW w:w="0" w:type="dxa"/>
            <w:vAlign w:val="bottom"/>
          </w:tcPr>
          <w:p>
            <w:pPr>
              <w:spacing w:after="0"/>
              <w:rPr>
                <w:sz w:val="1"/>
                <w:szCs w:val="1"/>
                <w:color w:val="auto"/>
              </w:rPr>
            </w:pPr>
          </w:p>
        </w:tc>
      </w:tr>
      <w:tr>
        <w:trPr>
          <w:trHeight w:val="120"/>
        </w:trPr>
        <w:tc>
          <w:tcPr>
            <w:tcW w:w="18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w w:val="95"/>
              </w:rPr>
              <w:t>UNEXERCISED</w:t>
            </w:r>
          </w:p>
        </w:tc>
        <w:tc>
          <w:tcPr>
            <w:tcW w:w="1260" w:type="dxa"/>
            <w:vAlign w:val="bottom"/>
            <w:shd w:val="clear" w:color="auto" w:fill="EAEAEA"/>
          </w:tcPr>
          <w:p>
            <w:pPr>
              <w:jc w:val="right"/>
              <w:ind w:right="198"/>
              <w:spacing w:after="0" w:line="121" w:lineRule="exact"/>
              <w:rPr>
                <w:sz w:val="20"/>
                <w:szCs w:val="20"/>
                <w:color w:val="auto"/>
              </w:rPr>
            </w:pPr>
            <w:r>
              <w:rPr>
                <w:rFonts w:ascii="Arial" w:cs="Arial" w:eastAsia="Arial" w:hAnsi="Arial"/>
                <w:sz w:val="11"/>
                <w:szCs w:val="11"/>
                <w:b w:val="1"/>
                <w:bCs w:val="1"/>
                <w:color w:val="5D89B4"/>
              </w:rPr>
              <w:t>UNEXERCISED</w:t>
            </w:r>
          </w:p>
        </w:tc>
        <w:tc>
          <w:tcPr>
            <w:tcW w:w="980" w:type="dxa"/>
            <w:vAlign w:val="bottom"/>
            <w:shd w:val="clear" w:color="auto" w:fill="EAEAEA"/>
          </w:tcPr>
          <w:p>
            <w:pPr>
              <w:jc w:val="right"/>
              <w:ind w:right="19"/>
              <w:spacing w:after="0" w:line="121" w:lineRule="exact"/>
              <w:rPr>
                <w:sz w:val="20"/>
                <w:szCs w:val="20"/>
                <w:color w:val="auto"/>
              </w:rPr>
            </w:pPr>
            <w:r>
              <w:rPr>
                <w:rFonts w:ascii="Arial" w:cs="Arial" w:eastAsia="Arial" w:hAnsi="Arial"/>
                <w:sz w:val="11"/>
                <w:szCs w:val="11"/>
                <w:b w:val="1"/>
                <w:bCs w:val="1"/>
                <w:color w:val="5D89B4"/>
              </w:rPr>
              <w:t>UNDERLYING</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w w:val="99"/>
              </w:rPr>
              <w:t>OPTION</w:t>
            </w:r>
          </w:p>
        </w:tc>
        <w:tc>
          <w:tcPr>
            <w:tcW w:w="78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258"/>
              <w:spacing w:after="0" w:line="121" w:lineRule="exact"/>
              <w:rPr>
                <w:sz w:val="20"/>
                <w:szCs w:val="20"/>
                <w:color w:val="auto"/>
              </w:rPr>
            </w:pPr>
            <w:r>
              <w:rPr>
                <w:rFonts w:ascii="Arial" w:cs="Arial" w:eastAsia="Arial" w:hAnsi="Arial"/>
                <w:sz w:val="11"/>
                <w:szCs w:val="11"/>
                <w:b w:val="1"/>
                <w:bCs w:val="1"/>
                <w:color w:val="5D89B4"/>
              </w:rPr>
              <w:t>OF STOCK</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18"/>
              <w:spacing w:after="0" w:line="121" w:lineRule="exact"/>
              <w:rPr>
                <w:sz w:val="20"/>
                <w:szCs w:val="20"/>
                <w:color w:val="auto"/>
              </w:rPr>
            </w:pPr>
            <w:r>
              <w:rPr>
                <w:rFonts w:ascii="Arial" w:cs="Arial" w:eastAsia="Arial" w:hAnsi="Arial"/>
                <w:sz w:val="11"/>
                <w:szCs w:val="11"/>
                <w:b w:val="1"/>
                <w:bCs w:val="1"/>
                <w:color w:val="5D89B4"/>
              </w:rPr>
              <w:t>OF STOCK</w:t>
            </w:r>
          </w:p>
        </w:tc>
        <w:tc>
          <w:tcPr>
            <w:tcW w:w="1280" w:type="dxa"/>
            <w:vAlign w:val="bottom"/>
            <w:shd w:val="clear" w:color="auto" w:fill="EAEAEA"/>
          </w:tcPr>
          <w:p>
            <w:pPr>
              <w:jc w:val="right"/>
              <w:ind w:right="259"/>
              <w:spacing w:after="0" w:line="121" w:lineRule="exact"/>
              <w:rPr>
                <w:sz w:val="20"/>
                <w:szCs w:val="20"/>
                <w:color w:val="auto"/>
              </w:rPr>
            </w:pPr>
            <w:r>
              <w:rPr>
                <w:rFonts w:ascii="Arial" w:cs="Arial" w:eastAsia="Arial" w:hAnsi="Arial"/>
                <w:sz w:val="11"/>
                <w:szCs w:val="11"/>
                <w:b w:val="1"/>
                <w:bCs w:val="1"/>
                <w:color w:val="5D89B4"/>
              </w:rPr>
              <w:t>RIGHTS</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RIGHTS</w:t>
            </w:r>
          </w:p>
        </w:tc>
        <w:tc>
          <w:tcPr>
            <w:tcW w:w="0" w:type="dxa"/>
            <w:vAlign w:val="bottom"/>
          </w:tcPr>
          <w:p>
            <w:pPr>
              <w:spacing w:after="0"/>
              <w:rPr>
                <w:sz w:val="1"/>
                <w:szCs w:val="1"/>
                <w:color w:val="auto"/>
              </w:rPr>
            </w:pPr>
          </w:p>
        </w:tc>
      </w:tr>
      <w:tr>
        <w:trPr>
          <w:trHeight w:val="120"/>
        </w:trPr>
        <w:tc>
          <w:tcPr>
            <w:tcW w:w="18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OPTIONS</w:t>
            </w:r>
          </w:p>
        </w:tc>
        <w:tc>
          <w:tcPr>
            <w:tcW w:w="1260" w:type="dxa"/>
            <w:vAlign w:val="bottom"/>
            <w:shd w:val="clear" w:color="auto" w:fill="EAEAEA"/>
          </w:tcPr>
          <w:p>
            <w:pPr>
              <w:jc w:val="right"/>
              <w:ind w:right="198"/>
              <w:spacing w:after="0" w:line="121" w:lineRule="exact"/>
              <w:rPr>
                <w:sz w:val="20"/>
                <w:szCs w:val="20"/>
                <w:color w:val="auto"/>
              </w:rPr>
            </w:pPr>
            <w:r>
              <w:rPr>
                <w:rFonts w:ascii="Arial" w:cs="Arial" w:eastAsia="Arial" w:hAnsi="Arial"/>
                <w:sz w:val="11"/>
                <w:szCs w:val="11"/>
                <w:b w:val="1"/>
                <w:bCs w:val="1"/>
                <w:color w:val="5D89B4"/>
              </w:rPr>
              <w:t>OPTIONS</w:t>
            </w:r>
          </w:p>
        </w:tc>
        <w:tc>
          <w:tcPr>
            <w:tcW w:w="980" w:type="dxa"/>
            <w:vAlign w:val="bottom"/>
            <w:shd w:val="clear" w:color="auto" w:fill="EAEAEA"/>
          </w:tcPr>
          <w:p>
            <w:pPr>
              <w:jc w:val="right"/>
              <w:ind w:right="19"/>
              <w:spacing w:after="0" w:line="121" w:lineRule="exact"/>
              <w:rPr>
                <w:sz w:val="20"/>
                <w:szCs w:val="20"/>
                <w:color w:val="auto"/>
              </w:rPr>
            </w:pPr>
            <w:r>
              <w:rPr>
                <w:rFonts w:ascii="Arial" w:cs="Arial" w:eastAsia="Arial" w:hAnsi="Arial"/>
                <w:sz w:val="11"/>
                <w:szCs w:val="11"/>
                <w:b w:val="1"/>
                <w:bCs w:val="1"/>
                <w:color w:val="5D89B4"/>
              </w:rPr>
              <w:t>UNEXERCISED</w:t>
            </w:r>
          </w:p>
        </w:tc>
        <w:tc>
          <w:tcPr>
            <w:tcW w:w="740" w:type="dxa"/>
            <w:vAlign w:val="bottom"/>
            <w:gridSpan w:val="2"/>
            <w:shd w:val="clear" w:color="auto" w:fill="EAEAEA"/>
          </w:tcPr>
          <w:p>
            <w:pPr>
              <w:ind w:left="100"/>
              <w:spacing w:after="0" w:line="121" w:lineRule="exact"/>
              <w:rPr>
                <w:sz w:val="20"/>
                <w:szCs w:val="20"/>
                <w:color w:val="auto"/>
              </w:rPr>
            </w:pPr>
            <w:r>
              <w:rPr>
                <w:rFonts w:ascii="Arial" w:cs="Arial" w:eastAsia="Arial" w:hAnsi="Arial"/>
                <w:sz w:val="11"/>
                <w:szCs w:val="11"/>
                <w:b w:val="1"/>
                <w:bCs w:val="1"/>
                <w:color w:val="5D89B4"/>
              </w:rPr>
              <w:t>EXERCISE</w:t>
            </w:r>
          </w:p>
        </w:tc>
        <w:tc>
          <w:tcPr>
            <w:tcW w:w="900" w:type="dxa"/>
            <w:vAlign w:val="bottom"/>
            <w:gridSpan w:val="2"/>
            <w:shd w:val="clear" w:color="auto" w:fill="EAEAEA"/>
          </w:tcPr>
          <w:p>
            <w:pPr>
              <w:jc w:val="right"/>
              <w:ind w:right="160"/>
              <w:spacing w:after="0" w:line="121" w:lineRule="exact"/>
              <w:rPr>
                <w:sz w:val="20"/>
                <w:szCs w:val="20"/>
                <w:color w:val="auto"/>
              </w:rPr>
            </w:pPr>
            <w:r>
              <w:rPr>
                <w:rFonts w:ascii="Arial" w:cs="Arial" w:eastAsia="Arial" w:hAnsi="Arial"/>
                <w:sz w:val="11"/>
                <w:szCs w:val="11"/>
                <w:b w:val="1"/>
                <w:bCs w:val="1"/>
                <w:color w:val="5D89B4"/>
              </w:rPr>
              <w:t>OPTION</w:t>
            </w:r>
          </w:p>
        </w:tc>
        <w:tc>
          <w:tcPr>
            <w:tcW w:w="1020" w:type="dxa"/>
            <w:vAlign w:val="bottom"/>
            <w:shd w:val="clear" w:color="auto" w:fill="EAEAEA"/>
          </w:tcPr>
          <w:p>
            <w:pPr>
              <w:jc w:val="right"/>
              <w:ind w:right="258"/>
              <w:spacing w:after="0" w:line="121" w:lineRule="exact"/>
              <w:rPr>
                <w:sz w:val="20"/>
                <w:szCs w:val="20"/>
                <w:color w:val="auto"/>
              </w:rPr>
            </w:pPr>
            <w:r>
              <w:rPr>
                <w:rFonts w:ascii="Arial" w:cs="Arial" w:eastAsia="Arial" w:hAnsi="Arial"/>
                <w:sz w:val="11"/>
                <w:szCs w:val="11"/>
                <w:b w:val="1"/>
                <w:bCs w:val="1"/>
                <w:color w:val="5D89B4"/>
              </w:rPr>
              <w:t>THAT HAVE</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18"/>
              <w:spacing w:after="0" w:line="121" w:lineRule="exact"/>
              <w:rPr>
                <w:sz w:val="20"/>
                <w:szCs w:val="20"/>
                <w:color w:val="auto"/>
              </w:rPr>
            </w:pPr>
            <w:r>
              <w:rPr>
                <w:rFonts w:ascii="Arial" w:cs="Arial" w:eastAsia="Arial" w:hAnsi="Arial"/>
                <w:sz w:val="11"/>
                <w:szCs w:val="11"/>
                <w:b w:val="1"/>
                <w:bCs w:val="1"/>
                <w:color w:val="5D89B4"/>
                <w:w w:val="95"/>
              </w:rPr>
              <w:t>THAT HAVE</w:t>
            </w:r>
          </w:p>
        </w:tc>
        <w:tc>
          <w:tcPr>
            <w:tcW w:w="1280" w:type="dxa"/>
            <w:vAlign w:val="bottom"/>
            <w:shd w:val="clear" w:color="auto" w:fill="EAEAEA"/>
          </w:tcPr>
          <w:p>
            <w:pPr>
              <w:jc w:val="right"/>
              <w:ind w:right="259"/>
              <w:spacing w:after="0" w:line="121" w:lineRule="exact"/>
              <w:rPr>
                <w:sz w:val="20"/>
                <w:szCs w:val="20"/>
                <w:color w:val="auto"/>
              </w:rPr>
            </w:pPr>
            <w:r>
              <w:rPr>
                <w:rFonts w:ascii="Arial" w:cs="Arial" w:eastAsia="Arial" w:hAnsi="Arial"/>
                <w:sz w:val="11"/>
                <w:szCs w:val="11"/>
                <w:b w:val="1"/>
                <w:bCs w:val="1"/>
                <w:color w:val="5D89B4"/>
              </w:rPr>
              <w:t>THAT HAVE</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THAT HAVE</w:t>
            </w:r>
          </w:p>
        </w:tc>
        <w:tc>
          <w:tcPr>
            <w:tcW w:w="0" w:type="dxa"/>
            <w:vAlign w:val="bottom"/>
          </w:tcPr>
          <w:p>
            <w:pPr>
              <w:spacing w:after="0"/>
              <w:rPr>
                <w:sz w:val="1"/>
                <w:szCs w:val="1"/>
                <w:color w:val="auto"/>
              </w:rPr>
            </w:pPr>
          </w:p>
        </w:tc>
      </w:tr>
      <w:tr>
        <w:trPr>
          <w:trHeight w:val="120"/>
        </w:trPr>
        <w:tc>
          <w:tcPr>
            <w:tcW w:w="1860" w:type="dxa"/>
            <w:vAlign w:val="bottom"/>
            <w:shd w:val="clear" w:color="auto" w:fill="EAEAEA"/>
          </w:tcPr>
          <w:p>
            <w:pPr>
              <w:ind w:left="80"/>
              <w:spacing w:after="0" w:line="121" w:lineRule="exact"/>
              <w:rPr>
                <w:sz w:val="20"/>
                <w:szCs w:val="20"/>
                <w:color w:val="auto"/>
              </w:rPr>
            </w:pPr>
            <w:r>
              <w:rPr>
                <w:rFonts w:ascii="Arial" w:cs="Arial" w:eastAsia="Arial" w:hAnsi="Arial"/>
                <w:sz w:val="11"/>
                <w:szCs w:val="11"/>
                <w:b w:val="1"/>
                <w:bCs w:val="1"/>
                <w:color w:val="5D89B4"/>
              </w:rPr>
              <w:t>NAME &amp; PRINCIPAL</w:t>
            </w:r>
          </w:p>
        </w:tc>
        <w:tc>
          <w:tcPr>
            <w:tcW w:w="1000" w:type="dxa"/>
            <w:vAlign w:val="bottom"/>
            <w:gridSpan w:val="2"/>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w:t>
            </w:r>
          </w:p>
        </w:tc>
        <w:tc>
          <w:tcPr>
            <w:tcW w:w="1260" w:type="dxa"/>
            <w:vAlign w:val="bottom"/>
            <w:shd w:val="clear" w:color="auto" w:fill="EAEAEA"/>
          </w:tcPr>
          <w:p>
            <w:pPr>
              <w:jc w:val="right"/>
              <w:ind w:right="198"/>
              <w:spacing w:after="0" w:line="121" w:lineRule="exact"/>
              <w:rPr>
                <w:sz w:val="20"/>
                <w:szCs w:val="20"/>
                <w:color w:val="auto"/>
              </w:rPr>
            </w:pPr>
            <w:r>
              <w:rPr>
                <w:rFonts w:ascii="Arial" w:cs="Arial" w:eastAsia="Arial" w:hAnsi="Arial"/>
                <w:sz w:val="11"/>
                <w:szCs w:val="11"/>
                <w:b w:val="1"/>
                <w:bCs w:val="1"/>
                <w:color w:val="5D89B4"/>
              </w:rPr>
              <w:t>(#)</w:t>
            </w:r>
          </w:p>
        </w:tc>
        <w:tc>
          <w:tcPr>
            <w:tcW w:w="980" w:type="dxa"/>
            <w:vAlign w:val="bottom"/>
            <w:shd w:val="clear" w:color="auto" w:fill="EAEAEA"/>
          </w:tcPr>
          <w:p>
            <w:pPr>
              <w:jc w:val="right"/>
              <w:ind w:right="19"/>
              <w:spacing w:after="0" w:line="121"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PRICE</w:t>
            </w:r>
          </w:p>
        </w:tc>
        <w:tc>
          <w:tcPr>
            <w:tcW w:w="900" w:type="dxa"/>
            <w:vAlign w:val="bottom"/>
            <w:gridSpan w:val="2"/>
            <w:shd w:val="clear" w:color="auto" w:fill="EAEAEA"/>
          </w:tcPr>
          <w:p>
            <w:pPr>
              <w:jc w:val="right"/>
              <w:ind w:right="160"/>
              <w:spacing w:after="0" w:line="121" w:lineRule="exact"/>
              <w:rPr>
                <w:sz w:val="20"/>
                <w:szCs w:val="20"/>
                <w:color w:val="auto"/>
              </w:rPr>
            </w:pPr>
            <w:r>
              <w:rPr>
                <w:rFonts w:ascii="Arial" w:cs="Arial" w:eastAsia="Arial" w:hAnsi="Arial"/>
                <w:sz w:val="11"/>
                <w:szCs w:val="11"/>
                <w:b w:val="1"/>
                <w:bCs w:val="1"/>
                <w:color w:val="5D89B4"/>
              </w:rPr>
              <w:t>EXPIRATION</w:t>
            </w:r>
          </w:p>
        </w:tc>
        <w:tc>
          <w:tcPr>
            <w:tcW w:w="1020" w:type="dxa"/>
            <w:vAlign w:val="bottom"/>
            <w:shd w:val="clear" w:color="auto" w:fill="EAEAEA"/>
          </w:tcPr>
          <w:p>
            <w:pPr>
              <w:jc w:val="right"/>
              <w:ind w:right="258"/>
              <w:spacing w:after="0" w:line="121" w:lineRule="exact"/>
              <w:rPr>
                <w:sz w:val="20"/>
                <w:szCs w:val="20"/>
                <w:color w:val="auto"/>
              </w:rPr>
            </w:pPr>
            <w:r>
              <w:rPr>
                <w:rFonts w:ascii="Arial" w:cs="Arial" w:eastAsia="Arial" w:hAnsi="Arial"/>
                <w:sz w:val="11"/>
                <w:szCs w:val="11"/>
                <w:b w:val="1"/>
                <w:bCs w:val="1"/>
                <w:color w:val="5D89B4"/>
                <w:w w:val="96"/>
              </w:rPr>
              <w:t>NOT VESTED</w:t>
            </w:r>
          </w:p>
        </w:tc>
        <w:tc>
          <w:tcPr>
            <w:tcW w:w="880" w:type="dxa"/>
            <w:vAlign w:val="bottom"/>
            <w:gridSpan w:val="2"/>
            <w:shd w:val="clear" w:color="auto" w:fill="EAEAEA"/>
          </w:tcPr>
          <w:p>
            <w:pPr>
              <w:jc w:val="right"/>
              <w:ind w:right="18"/>
              <w:spacing w:after="0" w:line="121" w:lineRule="exact"/>
              <w:rPr>
                <w:sz w:val="20"/>
                <w:szCs w:val="20"/>
                <w:color w:val="auto"/>
              </w:rPr>
            </w:pPr>
            <w:r>
              <w:rPr>
                <w:rFonts w:ascii="Arial" w:cs="Arial" w:eastAsia="Arial" w:hAnsi="Arial"/>
                <w:sz w:val="11"/>
                <w:szCs w:val="11"/>
                <w:b w:val="1"/>
                <w:bCs w:val="1"/>
                <w:color w:val="5D89B4"/>
              </w:rPr>
              <w:t>NOT VESTED</w:t>
            </w:r>
          </w:p>
        </w:tc>
        <w:tc>
          <w:tcPr>
            <w:tcW w:w="1280" w:type="dxa"/>
            <w:vAlign w:val="bottom"/>
            <w:shd w:val="clear" w:color="auto" w:fill="EAEAEA"/>
          </w:tcPr>
          <w:p>
            <w:pPr>
              <w:jc w:val="right"/>
              <w:ind w:right="259"/>
              <w:spacing w:after="0" w:line="121" w:lineRule="exact"/>
              <w:rPr>
                <w:sz w:val="20"/>
                <w:szCs w:val="20"/>
                <w:color w:val="auto"/>
              </w:rPr>
            </w:pPr>
            <w:r>
              <w:rPr>
                <w:rFonts w:ascii="Arial" w:cs="Arial" w:eastAsia="Arial" w:hAnsi="Arial"/>
                <w:sz w:val="11"/>
                <w:szCs w:val="11"/>
                <w:b w:val="1"/>
                <w:bCs w:val="1"/>
                <w:color w:val="5D89B4"/>
              </w:rPr>
              <w:t>NOT VESTED</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NOT VESTED</w:t>
            </w:r>
          </w:p>
        </w:tc>
        <w:tc>
          <w:tcPr>
            <w:tcW w:w="0" w:type="dxa"/>
            <w:vAlign w:val="bottom"/>
          </w:tcPr>
          <w:p>
            <w:pPr>
              <w:spacing w:after="0"/>
              <w:rPr>
                <w:sz w:val="1"/>
                <w:szCs w:val="1"/>
                <w:color w:val="auto"/>
              </w:rPr>
            </w:pPr>
          </w:p>
        </w:tc>
      </w:tr>
      <w:tr>
        <w:trPr>
          <w:trHeight w:val="152"/>
        </w:trPr>
        <w:tc>
          <w:tcPr>
            <w:tcW w:w="186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POSITION</w:t>
            </w:r>
          </w:p>
        </w:tc>
        <w:tc>
          <w:tcPr>
            <w:tcW w:w="120" w:type="dxa"/>
            <w:vAlign w:val="bottom"/>
            <w:shd w:val="clear" w:color="auto" w:fill="EAEAEA"/>
          </w:tcPr>
          <w:p>
            <w:pPr>
              <w:spacing w:after="0"/>
              <w:rPr>
                <w:sz w:val="13"/>
                <w:szCs w:val="13"/>
                <w:color w:val="auto"/>
              </w:rPr>
            </w:pPr>
          </w:p>
        </w:tc>
        <w:tc>
          <w:tcPr>
            <w:tcW w:w="880" w:type="dxa"/>
            <w:vAlign w:val="bottom"/>
            <w:shd w:val="clear" w:color="auto" w:fill="EAEAEA"/>
          </w:tcPr>
          <w:p>
            <w:pPr>
              <w:jc w:val="right"/>
              <w:ind w:right="39"/>
              <w:spacing w:after="0"/>
              <w:rPr>
                <w:sz w:val="20"/>
                <w:szCs w:val="20"/>
                <w:color w:val="auto"/>
              </w:rPr>
            </w:pPr>
            <w:r>
              <w:rPr>
                <w:rFonts w:ascii="Arial" w:cs="Arial" w:eastAsia="Arial" w:hAnsi="Arial"/>
                <w:sz w:val="11"/>
                <w:szCs w:val="11"/>
                <w:b w:val="1"/>
                <w:bCs w:val="1"/>
                <w:color w:val="5D89B4"/>
                <w:w w:val="97"/>
              </w:rPr>
              <w:t>EXERCISABLE</w:t>
            </w:r>
          </w:p>
        </w:tc>
        <w:tc>
          <w:tcPr>
            <w:tcW w:w="1260" w:type="dxa"/>
            <w:vAlign w:val="bottom"/>
            <w:shd w:val="clear" w:color="auto" w:fill="EAEAEA"/>
          </w:tcPr>
          <w:p>
            <w:pPr>
              <w:jc w:val="right"/>
              <w:ind w:right="198"/>
              <w:spacing w:after="0"/>
              <w:rPr>
                <w:sz w:val="20"/>
                <w:szCs w:val="20"/>
                <w:color w:val="auto"/>
              </w:rPr>
            </w:pPr>
            <w:r>
              <w:rPr>
                <w:rFonts w:ascii="Arial" w:cs="Arial" w:eastAsia="Arial" w:hAnsi="Arial"/>
                <w:sz w:val="11"/>
                <w:szCs w:val="11"/>
                <w:b w:val="1"/>
                <w:bCs w:val="1"/>
                <w:color w:val="5D89B4"/>
              </w:rPr>
              <w:t>UNEXERCISABLE</w:t>
            </w:r>
          </w:p>
        </w:tc>
        <w:tc>
          <w:tcPr>
            <w:tcW w:w="980" w:type="dxa"/>
            <w:vAlign w:val="bottom"/>
            <w:shd w:val="clear" w:color="auto" w:fill="EAEAEA"/>
          </w:tcPr>
          <w:p>
            <w:pPr>
              <w:jc w:val="right"/>
              <w:ind w:right="19"/>
              <w:spacing w:after="0"/>
              <w:rPr>
                <w:sz w:val="20"/>
                <w:szCs w:val="20"/>
                <w:color w:val="auto"/>
              </w:rPr>
            </w:pPr>
            <w:r>
              <w:rPr>
                <w:rFonts w:ascii="Arial" w:cs="Arial" w:eastAsia="Arial" w:hAnsi="Arial"/>
                <w:sz w:val="11"/>
                <w:szCs w:val="11"/>
                <w:b w:val="1"/>
                <w:bCs w:val="1"/>
                <w:color w:val="5D89B4"/>
              </w:rPr>
              <w:t>OPTIONS (#)</w:t>
            </w:r>
          </w:p>
        </w:tc>
        <w:tc>
          <w:tcPr>
            <w:tcW w:w="200" w:type="dxa"/>
            <w:vAlign w:val="bottom"/>
            <w:shd w:val="clear" w:color="auto" w:fill="EAEAEA"/>
          </w:tcPr>
          <w:p>
            <w:pPr>
              <w:spacing w:after="0"/>
              <w:rPr>
                <w:sz w:val="13"/>
                <w:szCs w:val="13"/>
                <w:color w:val="auto"/>
              </w:rPr>
            </w:pPr>
          </w:p>
        </w:tc>
        <w:tc>
          <w:tcPr>
            <w:tcW w:w="540" w:type="dxa"/>
            <w:vAlign w:val="bottom"/>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rPr>
              <w:t>($)</w:t>
            </w:r>
          </w:p>
        </w:tc>
        <w:tc>
          <w:tcPr>
            <w:tcW w:w="900" w:type="dxa"/>
            <w:vAlign w:val="bottom"/>
            <w:gridSpan w:val="2"/>
            <w:shd w:val="clear" w:color="auto" w:fill="EAEAEA"/>
          </w:tcPr>
          <w:p>
            <w:pPr>
              <w:jc w:val="right"/>
              <w:ind w:right="160"/>
              <w:spacing w:after="0"/>
              <w:rPr>
                <w:sz w:val="20"/>
                <w:szCs w:val="20"/>
                <w:color w:val="auto"/>
              </w:rPr>
            </w:pPr>
            <w:r>
              <w:rPr>
                <w:rFonts w:ascii="Arial" w:cs="Arial" w:eastAsia="Arial" w:hAnsi="Arial"/>
                <w:sz w:val="11"/>
                <w:szCs w:val="11"/>
                <w:b w:val="1"/>
                <w:bCs w:val="1"/>
                <w:color w:val="5D89B4"/>
              </w:rPr>
              <w:t>DATE</w:t>
            </w:r>
          </w:p>
        </w:tc>
        <w:tc>
          <w:tcPr>
            <w:tcW w:w="1020" w:type="dxa"/>
            <w:vAlign w:val="bottom"/>
            <w:shd w:val="clear" w:color="auto" w:fill="EAEAEA"/>
          </w:tcPr>
          <w:p>
            <w:pPr>
              <w:jc w:val="right"/>
              <w:ind w:right="258"/>
              <w:spacing w:after="0"/>
              <w:rPr>
                <w:sz w:val="20"/>
                <w:szCs w:val="20"/>
                <w:color w:val="auto"/>
              </w:rPr>
            </w:pPr>
            <w:r>
              <w:rPr>
                <w:rFonts w:ascii="Arial" w:cs="Arial" w:eastAsia="Arial" w:hAnsi="Arial"/>
                <w:sz w:val="11"/>
                <w:szCs w:val="11"/>
                <w:b w:val="1"/>
                <w:bCs w:val="1"/>
                <w:color w:val="5D89B4"/>
              </w:rPr>
              <w:t>(#)(1)</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ind w:right="18"/>
              <w:spacing w:after="0"/>
              <w:rPr>
                <w:sz w:val="20"/>
                <w:szCs w:val="20"/>
                <w:color w:val="auto"/>
              </w:rPr>
            </w:pPr>
            <w:r>
              <w:rPr>
                <w:rFonts w:ascii="Arial" w:cs="Arial" w:eastAsia="Arial" w:hAnsi="Arial"/>
                <w:sz w:val="11"/>
                <w:szCs w:val="11"/>
                <w:b w:val="1"/>
                <w:bCs w:val="1"/>
                <w:color w:val="5D89B4"/>
              </w:rPr>
              <w:t>($)(2)</w:t>
            </w:r>
          </w:p>
        </w:tc>
        <w:tc>
          <w:tcPr>
            <w:tcW w:w="1280" w:type="dxa"/>
            <w:vAlign w:val="bottom"/>
            <w:shd w:val="clear" w:color="auto" w:fill="EAEAEA"/>
          </w:tcPr>
          <w:p>
            <w:pPr>
              <w:jc w:val="right"/>
              <w:ind w:right="259"/>
              <w:spacing w:after="0"/>
              <w:rPr>
                <w:sz w:val="20"/>
                <w:szCs w:val="20"/>
                <w:color w:val="auto"/>
              </w:rPr>
            </w:pPr>
            <w:r>
              <w:rPr>
                <w:rFonts w:ascii="Arial" w:cs="Arial" w:eastAsia="Arial" w:hAnsi="Arial"/>
                <w:sz w:val="11"/>
                <w:szCs w:val="11"/>
                <w:b w:val="1"/>
                <w:bCs w:val="1"/>
                <w:color w:val="5D89B4"/>
              </w:rPr>
              <w:t>(#)(3)</w:t>
            </w:r>
          </w:p>
        </w:tc>
        <w:tc>
          <w:tcPr>
            <w:tcW w:w="18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($)(2)</w:t>
            </w:r>
          </w:p>
        </w:tc>
        <w:tc>
          <w:tcPr>
            <w:tcW w:w="0" w:type="dxa"/>
            <w:vAlign w:val="bottom"/>
          </w:tcPr>
          <w:p>
            <w:pPr>
              <w:spacing w:after="0"/>
              <w:rPr>
                <w:sz w:val="1"/>
                <w:szCs w:val="1"/>
                <w:color w:val="auto"/>
              </w:rPr>
            </w:pPr>
          </w:p>
        </w:tc>
      </w:tr>
      <w:tr>
        <w:trPr>
          <w:trHeight w:val="62"/>
        </w:trPr>
        <w:tc>
          <w:tcPr>
            <w:tcW w:w="1860" w:type="dxa"/>
            <w:vAlign w:val="bottom"/>
            <w:shd w:val="clear" w:color="auto" w:fill="EAEAEA"/>
          </w:tcPr>
          <w:p>
            <w:pPr>
              <w:spacing w:after="0"/>
              <w:rPr>
                <w:sz w:val="5"/>
                <w:szCs w:val="5"/>
                <w:color w:val="auto"/>
              </w:rPr>
            </w:pPr>
          </w:p>
        </w:tc>
        <w:tc>
          <w:tcPr>
            <w:tcW w:w="12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1260" w:type="dxa"/>
            <w:vAlign w:val="bottom"/>
            <w:shd w:val="clear" w:color="auto" w:fill="EAEAEA"/>
          </w:tcPr>
          <w:p>
            <w:pPr>
              <w:spacing w:after="0"/>
              <w:rPr>
                <w:sz w:val="5"/>
                <w:szCs w:val="5"/>
                <w:color w:val="auto"/>
              </w:rPr>
            </w:pPr>
          </w:p>
        </w:tc>
        <w:tc>
          <w:tcPr>
            <w:tcW w:w="980" w:type="dxa"/>
            <w:vAlign w:val="bottom"/>
            <w:shd w:val="clear" w:color="auto" w:fill="EAEAEA"/>
          </w:tcPr>
          <w:p>
            <w:pPr>
              <w:spacing w:after="0"/>
              <w:rPr>
                <w:sz w:val="5"/>
                <w:szCs w:val="5"/>
                <w:color w:val="auto"/>
              </w:rPr>
            </w:pPr>
          </w:p>
        </w:tc>
        <w:tc>
          <w:tcPr>
            <w:tcW w:w="200" w:type="dxa"/>
            <w:vAlign w:val="bottom"/>
            <w:shd w:val="clear" w:color="auto" w:fill="EAEAEA"/>
          </w:tcPr>
          <w:p>
            <w:pPr>
              <w:spacing w:after="0"/>
              <w:rPr>
                <w:sz w:val="5"/>
                <w:szCs w:val="5"/>
                <w:color w:val="auto"/>
              </w:rPr>
            </w:pPr>
          </w:p>
        </w:tc>
        <w:tc>
          <w:tcPr>
            <w:tcW w:w="540" w:type="dxa"/>
            <w:vAlign w:val="bottom"/>
            <w:shd w:val="clear" w:color="auto" w:fill="EAEAEA"/>
          </w:tcPr>
          <w:p>
            <w:pPr>
              <w:spacing w:after="0"/>
              <w:rPr>
                <w:sz w:val="5"/>
                <w:szCs w:val="5"/>
                <w:color w:val="auto"/>
              </w:rPr>
            </w:pPr>
          </w:p>
        </w:tc>
        <w:tc>
          <w:tcPr>
            <w:tcW w:w="780" w:type="dxa"/>
            <w:vAlign w:val="bottom"/>
            <w:shd w:val="clear" w:color="auto" w:fill="EAEAEA"/>
          </w:tcPr>
          <w:p>
            <w:pPr>
              <w:spacing w:after="0"/>
              <w:rPr>
                <w:sz w:val="5"/>
                <w:szCs w:val="5"/>
                <w:color w:val="auto"/>
              </w:rPr>
            </w:pPr>
          </w:p>
        </w:tc>
        <w:tc>
          <w:tcPr>
            <w:tcW w:w="120" w:type="dxa"/>
            <w:vAlign w:val="bottom"/>
            <w:shd w:val="clear" w:color="auto" w:fill="EAEAEA"/>
          </w:tcPr>
          <w:p>
            <w:pPr>
              <w:spacing w:after="0"/>
              <w:rPr>
                <w:sz w:val="5"/>
                <w:szCs w:val="5"/>
                <w:color w:val="auto"/>
              </w:rPr>
            </w:pPr>
          </w:p>
        </w:tc>
        <w:tc>
          <w:tcPr>
            <w:tcW w:w="1020" w:type="dxa"/>
            <w:vAlign w:val="bottom"/>
            <w:shd w:val="clear" w:color="auto" w:fill="EAEAEA"/>
          </w:tcPr>
          <w:p>
            <w:pPr>
              <w:spacing w:after="0"/>
              <w:rPr>
                <w:sz w:val="5"/>
                <w:szCs w:val="5"/>
                <w:color w:val="auto"/>
              </w:rPr>
            </w:pPr>
          </w:p>
        </w:tc>
        <w:tc>
          <w:tcPr>
            <w:tcW w:w="18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1280" w:type="dxa"/>
            <w:vAlign w:val="bottom"/>
            <w:shd w:val="clear" w:color="auto" w:fill="EAEAEA"/>
          </w:tcPr>
          <w:p>
            <w:pPr>
              <w:spacing w:after="0"/>
              <w:rPr>
                <w:sz w:val="5"/>
                <w:szCs w:val="5"/>
                <w:color w:val="auto"/>
              </w:rPr>
            </w:pPr>
          </w:p>
        </w:tc>
        <w:tc>
          <w:tcPr>
            <w:tcW w:w="18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860" w:type="dxa"/>
            <w:vAlign w:val="bottom"/>
          </w:tcPr>
          <w:p>
            <w:pPr>
              <w:ind w:left="80"/>
              <w:spacing w:after="0" w:line="147" w:lineRule="exact"/>
              <w:rPr>
                <w:sz w:val="20"/>
                <w:szCs w:val="20"/>
                <w:color w:val="auto"/>
              </w:rPr>
            </w:pPr>
            <w:r>
              <w:rPr>
                <w:rFonts w:ascii="Arial" w:cs="Arial" w:eastAsia="Arial" w:hAnsi="Arial"/>
                <w:sz w:val="13"/>
                <w:szCs w:val="13"/>
                <w:b w:val="1"/>
                <w:bCs w:val="1"/>
                <w:color w:val="auto"/>
              </w:rPr>
              <w:t>Richard Buchband</w:t>
            </w:r>
          </w:p>
        </w:tc>
        <w:tc>
          <w:tcPr>
            <w:tcW w:w="1000" w:type="dxa"/>
            <w:vAlign w:val="bottom"/>
            <w:gridSpan w:val="2"/>
          </w:tcPr>
          <w:p>
            <w:pPr>
              <w:jc w:val="right"/>
              <w:ind w:right="39"/>
              <w:spacing w:after="0" w:line="147" w:lineRule="exact"/>
              <w:rPr>
                <w:sz w:val="20"/>
                <w:szCs w:val="20"/>
                <w:color w:val="auto"/>
              </w:rPr>
            </w:pPr>
            <w:r>
              <w:rPr>
                <w:rFonts w:ascii="Arial" w:cs="Arial" w:eastAsia="Arial" w:hAnsi="Arial"/>
                <w:sz w:val="13"/>
                <w:szCs w:val="13"/>
                <w:color w:val="auto"/>
              </w:rPr>
              <w:t>7,114</w:t>
            </w:r>
          </w:p>
        </w:tc>
        <w:tc>
          <w:tcPr>
            <w:tcW w:w="1260" w:type="dxa"/>
            <w:vAlign w:val="bottom"/>
          </w:tcPr>
          <w:p>
            <w:pPr>
              <w:jc w:val="right"/>
              <w:ind w:right="198"/>
              <w:spacing w:after="0" w:line="147"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line="147"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7"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line="147" w:lineRule="exact"/>
              <w:rPr>
                <w:sz w:val="20"/>
                <w:szCs w:val="20"/>
                <w:color w:val="auto"/>
              </w:rPr>
            </w:pPr>
            <w:r>
              <w:rPr>
                <w:rFonts w:ascii="Arial" w:cs="Arial" w:eastAsia="Arial" w:hAnsi="Arial"/>
                <w:sz w:val="13"/>
                <w:szCs w:val="13"/>
                <w:color w:val="auto"/>
              </w:rPr>
              <w:t>75.07</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2/16/2026</w:t>
            </w:r>
          </w:p>
        </w:tc>
        <w:tc>
          <w:tcPr>
            <w:tcW w:w="120" w:type="dxa"/>
            <w:vAlign w:val="bottom"/>
          </w:tcPr>
          <w:p>
            <w:pPr>
              <w:spacing w:after="0"/>
              <w:rPr>
                <w:sz w:val="12"/>
                <w:szCs w:val="12"/>
                <w:color w:val="auto"/>
              </w:rPr>
            </w:pPr>
          </w:p>
        </w:tc>
        <w:tc>
          <w:tcPr>
            <w:tcW w:w="1020" w:type="dxa"/>
            <w:vAlign w:val="bottom"/>
          </w:tcPr>
          <w:p>
            <w:pPr>
              <w:jc w:val="right"/>
              <w:ind w:right="258"/>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18"/>
              <w:spacing w:after="0" w:line="147"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259"/>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860" w:type="dxa"/>
            <w:vAlign w:val="bottom"/>
          </w:tcPr>
          <w:p>
            <w:pPr>
              <w:ind w:left="80"/>
              <w:spacing w:after="0" w:line="148" w:lineRule="exact"/>
              <w:rPr>
                <w:sz w:val="20"/>
                <w:szCs w:val="20"/>
                <w:color w:val="auto"/>
              </w:rPr>
            </w:pPr>
            <w:r>
              <w:rPr>
                <w:rFonts w:ascii="Arial" w:cs="Arial" w:eastAsia="Arial" w:hAnsi="Arial"/>
                <w:sz w:val="13"/>
                <w:szCs w:val="13"/>
                <w:color w:val="333333"/>
              </w:rPr>
              <w:t>SVP, General Counsel</w:t>
            </w:r>
          </w:p>
        </w:tc>
        <w:tc>
          <w:tcPr>
            <w:tcW w:w="1000" w:type="dxa"/>
            <w:vAlign w:val="bottom"/>
            <w:gridSpan w:val="2"/>
          </w:tcPr>
          <w:p>
            <w:pPr>
              <w:jc w:val="right"/>
              <w:ind w:right="39"/>
              <w:spacing w:after="0" w:line="148" w:lineRule="exact"/>
              <w:rPr>
                <w:sz w:val="20"/>
                <w:szCs w:val="20"/>
                <w:color w:val="auto"/>
              </w:rPr>
            </w:pPr>
            <w:r>
              <w:rPr>
                <w:rFonts w:ascii="Arial" w:cs="Arial" w:eastAsia="Arial" w:hAnsi="Arial"/>
                <w:sz w:val="13"/>
                <w:szCs w:val="13"/>
                <w:color w:val="auto"/>
              </w:rPr>
              <w:t>6,255</w:t>
            </w:r>
          </w:p>
        </w:tc>
        <w:tc>
          <w:tcPr>
            <w:tcW w:w="1260" w:type="dxa"/>
            <w:vAlign w:val="bottom"/>
          </w:tcPr>
          <w:p>
            <w:pPr>
              <w:jc w:val="right"/>
              <w:ind w:right="198"/>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line="148" w:lineRule="exact"/>
              <w:rPr>
                <w:sz w:val="20"/>
                <w:szCs w:val="20"/>
                <w:color w:val="auto"/>
              </w:rPr>
            </w:pPr>
            <w:r>
              <w:rPr>
                <w:rFonts w:ascii="Arial" w:cs="Arial" w:eastAsia="Arial" w:hAnsi="Arial"/>
                <w:sz w:val="13"/>
                <w:szCs w:val="13"/>
                <w:color w:val="auto"/>
              </w:rPr>
              <w:t>96.94</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2/9/2027</w:t>
            </w:r>
          </w:p>
        </w:tc>
        <w:tc>
          <w:tcPr>
            <w:tcW w:w="120" w:type="dxa"/>
            <w:vAlign w:val="bottom"/>
          </w:tcPr>
          <w:p>
            <w:pPr>
              <w:spacing w:after="0"/>
              <w:rPr>
                <w:sz w:val="12"/>
                <w:szCs w:val="12"/>
                <w:color w:val="auto"/>
              </w:rPr>
            </w:pPr>
          </w:p>
        </w:tc>
        <w:tc>
          <w:tcPr>
            <w:tcW w:w="1020" w:type="dxa"/>
            <w:vAlign w:val="bottom"/>
          </w:tcPr>
          <w:p>
            <w:pPr>
              <w:jc w:val="right"/>
              <w:ind w:right="258"/>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860" w:type="dxa"/>
            <w:vAlign w:val="bottom"/>
          </w:tcPr>
          <w:p>
            <w:pPr>
              <w:ind w:left="80"/>
              <w:spacing w:after="0"/>
              <w:rPr>
                <w:sz w:val="20"/>
                <w:szCs w:val="20"/>
                <w:color w:val="auto"/>
              </w:rPr>
            </w:pPr>
            <w:r>
              <w:rPr>
                <w:rFonts w:ascii="Arial" w:cs="Arial" w:eastAsia="Arial" w:hAnsi="Arial"/>
                <w:sz w:val="13"/>
                <w:szCs w:val="13"/>
                <w:color w:val="333333"/>
              </w:rPr>
              <w:t>and Secretary</w:t>
            </w:r>
          </w:p>
        </w:tc>
        <w:tc>
          <w:tcPr>
            <w:tcW w:w="1000" w:type="dxa"/>
            <w:vAlign w:val="bottom"/>
            <w:gridSpan w:val="2"/>
            <w:vMerge w:val="restart"/>
          </w:tcPr>
          <w:p>
            <w:pPr>
              <w:jc w:val="right"/>
              <w:ind w:right="39"/>
              <w:spacing w:after="0"/>
              <w:rPr>
                <w:sz w:val="20"/>
                <w:szCs w:val="20"/>
                <w:color w:val="auto"/>
              </w:rPr>
            </w:pPr>
            <w:r>
              <w:rPr>
                <w:rFonts w:ascii="Arial" w:cs="Arial" w:eastAsia="Arial" w:hAnsi="Arial"/>
                <w:sz w:val="13"/>
                <w:szCs w:val="13"/>
                <w:color w:val="auto"/>
              </w:rPr>
              <w:t>3,814</w:t>
            </w:r>
          </w:p>
        </w:tc>
        <w:tc>
          <w:tcPr>
            <w:tcW w:w="1260" w:type="dxa"/>
            <w:vAlign w:val="bottom"/>
            <w:vMerge w:val="restart"/>
          </w:tcPr>
          <w:p>
            <w:pPr>
              <w:jc w:val="right"/>
              <w:ind w:right="38"/>
              <w:spacing w:after="0"/>
              <w:rPr>
                <w:sz w:val="20"/>
                <w:szCs w:val="20"/>
                <w:color w:val="auto"/>
              </w:rPr>
            </w:pPr>
            <w:r>
              <w:rPr>
                <w:rFonts w:ascii="Arial" w:cs="Arial" w:eastAsia="Arial" w:hAnsi="Arial"/>
                <w:sz w:val="13"/>
                <w:szCs w:val="13"/>
                <w:color w:val="auto"/>
              </w:rPr>
              <w:t>1,272(4)</w:t>
            </w:r>
          </w:p>
        </w:tc>
        <w:tc>
          <w:tcPr>
            <w:tcW w:w="980" w:type="dxa"/>
            <w:vAlign w:val="bottom"/>
            <w:vMerge w:val="restart"/>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36"/>
              <w:spacing w:after="0"/>
              <w:rPr>
                <w:sz w:val="20"/>
                <w:szCs w:val="20"/>
                <w:color w:val="auto"/>
              </w:rPr>
            </w:pPr>
            <w:r>
              <w:rPr>
                <w:rFonts w:ascii="Arial" w:cs="Arial" w:eastAsia="Arial" w:hAnsi="Arial"/>
                <w:sz w:val="13"/>
                <w:szCs w:val="13"/>
                <w:color w:val="auto"/>
              </w:rPr>
              <w:t>122.87</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2/15/2028</w:t>
            </w:r>
          </w:p>
        </w:tc>
        <w:tc>
          <w:tcPr>
            <w:tcW w:w="120" w:type="dxa"/>
            <w:vAlign w:val="bottom"/>
          </w:tcPr>
          <w:p>
            <w:pPr>
              <w:spacing w:after="0"/>
              <w:rPr>
                <w:sz w:val="14"/>
                <w:szCs w:val="14"/>
                <w:color w:val="auto"/>
              </w:rPr>
            </w:pPr>
          </w:p>
        </w:tc>
        <w:tc>
          <w:tcPr>
            <w:tcW w:w="1020" w:type="dxa"/>
            <w:vAlign w:val="bottom"/>
            <w:vMerge w:val="restart"/>
          </w:tcPr>
          <w:p>
            <w:pPr>
              <w:jc w:val="right"/>
              <w:ind w:right="25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25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3"/>
        </w:trPr>
        <w:tc>
          <w:tcPr>
            <w:tcW w:w="18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3"/>
                <w:szCs w:val="13"/>
                <w:color w:val="auto"/>
              </w:rPr>
              <w:t>4,499</w:t>
            </w: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4,500(5)</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84.43</w:t>
            </w:r>
          </w:p>
        </w:tc>
        <w:tc>
          <w:tcPr>
            <w:tcW w:w="780" w:type="dxa"/>
            <w:vAlign w:val="bottom"/>
          </w:tcPr>
          <w:p>
            <w:pPr>
              <w:jc w:val="right"/>
              <w:spacing w:after="0"/>
              <w:rPr>
                <w:sz w:val="20"/>
                <w:szCs w:val="20"/>
                <w:color w:val="auto"/>
              </w:rPr>
            </w:pPr>
            <w:r>
              <w:rPr>
                <w:rFonts w:ascii="Arial" w:cs="Arial" w:eastAsia="Arial" w:hAnsi="Arial"/>
                <w:sz w:val="13"/>
                <w:szCs w:val="13"/>
                <w:color w:val="auto"/>
              </w:rPr>
              <w:t>2/15/2029</w:t>
            </w:r>
          </w:p>
        </w:tc>
        <w:tc>
          <w:tcPr>
            <w:tcW w:w="120" w:type="dxa"/>
            <w:vAlign w:val="bottom"/>
          </w:tcPr>
          <w:p>
            <w:pPr>
              <w:spacing w:after="0"/>
              <w:rPr>
                <w:sz w:val="15"/>
                <w:szCs w:val="15"/>
                <w:color w:val="auto"/>
              </w:rPr>
            </w:pPr>
          </w:p>
        </w:tc>
        <w:tc>
          <w:tcPr>
            <w:tcW w:w="1020" w:type="dxa"/>
            <w:vAlign w:val="bottom"/>
          </w:tcPr>
          <w:p>
            <w:pPr>
              <w:jc w:val="right"/>
              <w:ind w:right="25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3"/>
                <w:szCs w:val="13"/>
                <w:color w:val="auto"/>
              </w:rPr>
              <w:t>2,111</w:t>
            </w: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6,333(6)</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92.70</w:t>
            </w:r>
          </w:p>
        </w:tc>
        <w:tc>
          <w:tcPr>
            <w:tcW w:w="780" w:type="dxa"/>
            <w:vAlign w:val="bottom"/>
          </w:tcPr>
          <w:p>
            <w:pPr>
              <w:jc w:val="right"/>
              <w:spacing w:after="0"/>
              <w:rPr>
                <w:sz w:val="20"/>
                <w:szCs w:val="20"/>
                <w:color w:val="auto"/>
              </w:rPr>
            </w:pPr>
            <w:r>
              <w:rPr>
                <w:rFonts w:ascii="Arial" w:cs="Arial" w:eastAsia="Arial" w:hAnsi="Arial"/>
                <w:sz w:val="13"/>
                <w:szCs w:val="13"/>
                <w:color w:val="auto"/>
              </w:rPr>
              <w:t>2/14/2030</w:t>
            </w:r>
          </w:p>
        </w:tc>
        <w:tc>
          <w:tcPr>
            <w:tcW w:w="120" w:type="dxa"/>
            <w:vAlign w:val="bottom"/>
          </w:tcPr>
          <w:p>
            <w:pPr>
              <w:spacing w:after="0"/>
              <w:rPr>
                <w:sz w:val="15"/>
                <w:szCs w:val="15"/>
                <w:color w:val="auto"/>
              </w:rPr>
            </w:pPr>
          </w:p>
        </w:tc>
        <w:tc>
          <w:tcPr>
            <w:tcW w:w="1020" w:type="dxa"/>
            <w:vAlign w:val="bottom"/>
          </w:tcPr>
          <w:p>
            <w:pPr>
              <w:jc w:val="right"/>
              <w:ind w:right="25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7,009(7)</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92.49</w:t>
            </w:r>
          </w:p>
        </w:tc>
        <w:tc>
          <w:tcPr>
            <w:tcW w:w="780" w:type="dxa"/>
            <w:vAlign w:val="bottom"/>
          </w:tcPr>
          <w:p>
            <w:pPr>
              <w:jc w:val="right"/>
              <w:spacing w:after="0"/>
              <w:rPr>
                <w:sz w:val="20"/>
                <w:szCs w:val="20"/>
                <w:color w:val="auto"/>
              </w:rPr>
            </w:pPr>
            <w:r>
              <w:rPr>
                <w:rFonts w:ascii="Arial" w:cs="Arial" w:eastAsia="Arial" w:hAnsi="Arial"/>
                <w:sz w:val="13"/>
                <w:szCs w:val="13"/>
                <w:color w:val="auto"/>
              </w:rPr>
              <w:t>2/12/2031</w:t>
            </w:r>
          </w:p>
        </w:tc>
        <w:tc>
          <w:tcPr>
            <w:tcW w:w="120" w:type="dxa"/>
            <w:vAlign w:val="bottom"/>
          </w:tcPr>
          <w:p>
            <w:pPr>
              <w:spacing w:after="0"/>
              <w:rPr>
                <w:sz w:val="15"/>
                <w:szCs w:val="15"/>
                <w:color w:val="auto"/>
              </w:rPr>
            </w:pPr>
          </w:p>
        </w:tc>
        <w:tc>
          <w:tcPr>
            <w:tcW w:w="1020" w:type="dxa"/>
            <w:vAlign w:val="bottom"/>
          </w:tcPr>
          <w:p>
            <w:pPr>
              <w:jc w:val="right"/>
              <w:ind w:right="25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8"/>
              <w:spacing w:after="0"/>
              <w:rPr>
                <w:sz w:val="20"/>
                <w:szCs w:val="20"/>
                <w:color w:val="auto"/>
              </w:rPr>
            </w:pPr>
            <w:r>
              <w:rPr>
                <w:rFonts w:ascii="Arial" w:cs="Arial" w:eastAsia="Arial" w:hAnsi="Arial"/>
                <w:sz w:val="13"/>
                <w:szCs w:val="13"/>
                <w:color w:val="auto"/>
              </w:rPr>
              <w:t>2,052(9)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199,721</w:t>
            </w:r>
          </w:p>
        </w:tc>
        <w:tc>
          <w:tcPr>
            <w:tcW w:w="128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8"/>
              <w:spacing w:after="0"/>
              <w:rPr>
                <w:sz w:val="20"/>
                <w:szCs w:val="20"/>
                <w:color w:val="auto"/>
              </w:rPr>
            </w:pPr>
            <w:r>
              <w:rPr>
                <w:rFonts w:ascii="Arial" w:cs="Arial" w:eastAsia="Arial" w:hAnsi="Arial"/>
                <w:sz w:val="13"/>
                <w:szCs w:val="13"/>
                <w:color w:val="auto"/>
              </w:rPr>
              <w:t>1,823(10)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177,433</w:t>
            </w:r>
          </w:p>
        </w:tc>
        <w:tc>
          <w:tcPr>
            <w:tcW w:w="128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8"/>
              <w:spacing w:after="0"/>
              <w:rPr>
                <w:sz w:val="20"/>
                <w:szCs w:val="20"/>
                <w:color w:val="auto"/>
              </w:rPr>
            </w:pPr>
            <w:r>
              <w:rPr>
                <w:rFonts w:ascii="Arial" w:cs="Arial" w:eastAsia="Arial" w:hAnsi="Arial"/>
                <w:sz w:val="13"/>
                <w:szCs w:val="13"/>
                <w:color w:val="auto"/>
              </w:rPr>
              <w:t>1,771(13)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172,371</w:t>
            </w:r>
          </w:p>
        </w:tc>
        <w:tc>
          <w:tcPr>
            <w:tcW w:w="128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8"/>
              <w:spacing w:after="0"/>
              <w:rPr>
                <w:sz w:val="20"/>
                <w:szCs w:val="20"/>
                <w:color w:val="auto"/>
              </w:rPr>
            </w:pPr>
            <w:r>
              <w:rPr>
                <w:rFonts w:ascii="Arial" w:cs="Arial" w:eastAsia="Arial" w:hAnsi="Arial"/>
                <w:sz w:val="13"/>
                <w:szCs w:val="13"/>
                <w:color w:val="auto"/>
              </w:rPr>
              <w:t>3,582(14)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348,636</w:t>
            </w:r>
          </w:p>
        </w:tc>
        <w:tc>
          <w:tcPr>
            <w:tcW w:w="128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5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
              <w:spacing w:after="0"/>
              <w:rPr>
                <w:sz w:val="20"/>
                <w:szCs w:val="20"/>
                <w:color w:val="auto"/>
              </w:rPr>
            </w:pPr>
            <w:r>
              <w:rPr>
                <w:rFonts w:ascii="Arial" w:cs="Arial" w:eastAsia="Arial" w:hAnsi="Arial"/>
                <w:sz w:val="13"/>
                <w:szCs w:val="13"/>
                <w:color w:val="auto"/>
              </w:rPr>
              <w:t>5,178(15)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503,975</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5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
              <w:spacing w:after="0"/>
              <w:rPr>
                <w:sz w:val="20"/>
                <w:szCs w:val="20"/>
                <w:color w:val="auto"/>
              </w:rPr>
            </w:pPr>
            <w:r>
              <w:rPr>
                <w:rFonts w:ascii="Arial" w:cs="Arial" w:eastAsia="Arial" w:hAnsi="Arial"/>
                <w:sz w:val="13"/>
                <w:szCs w:val="13"/>
                <w:color w:val="auto"/>
              </w:rPr>
              <w:t>5,190(16)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505,143</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5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
              <w:spacing w:after="0"/>
              <w:rPr>
                <w:sz w:val="20"/>
                <w:szCs w:val="20"/>
                <w:color w:val="auto"/>
              </w:rPr>
            </w:pPr>
            <w:r>
              <w:rPr>
                <w:rFonts w:ascii="Arial" w:cs="Arial" w:eastAsia="Arial" w:hAnsi="Arial"/>
                <w:sz w:val="13"/>
                <w:szCs w:val="13"/>
                <w:color w:val="auto"/>
              </w:rPr>
              <w:t>3,460(17)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336,762</w:t>
            </w:r>
          </w:p>
        </w:tc>
        <w:tc>
          <w:tcPr>
            <w:tcW w:w="0" w:type="dxa"/>
            <w:vAlign w:val="bottom"/>
          </w:tcPr>
          <w:p>
            <w:pPr>
              <w:spacing w:after="0"/>
              <w:rPr>
                <w:sz w:val="1"/>
                <w:szCs w:val="1"/>
                <w:color w:val="auto"/>
              </w:rPr>
            </w:pPr>
          </w:p>
        </w:tc>
      </w:tr>
      <w:tr>
        <w:trPr>
          <w:trHeight w:val="54"/>
        </w:trPr>
        <w:tc>
          <w:tcPr>
            <w:tcW w:w="1860" w:type="dxa"/>
            <w:vAlign w:val="bottom"/>
            <w:tcBorders>
              <w:bottom w:val="single" w:sz="8" w:color="5D89B4"/>
            </w:tcBorders>
          </w:tcPr>
          <w:p>
            <w:pPr>
              <w:spacing w:after="0"/>
              <w:rPr>
                <w:sz w:val="4"/>
                <w:szCs w:val="4"/>
                <w:color w:val="auto"/>
              </w:rPr>
            </w:pPr>
          </w:p>
        </w:tc>
        <w:tc>
          <w:tcPr>
            <w:tcW w:w="1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c>
          <w:tcPr>
            <w:tcW w:w="12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outstanding grants of restricted stock, RSUs, career shares or earned but unvested PSUs.</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Value based on the closing price of $97.33 on December 31, 2021.</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outstanding grants of PSUs.</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remaining unvested options vested on February 15, 2022.</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50% of the remaining unvested options vested on February 15, 2022 and the remaining unvested options are scheduled to vest on February 15, 2023.</w:t>
      </w:r>
    </w:p>
    <w:p>
      <w:pPr>
        <w:spacing w:after="0" w:line="66" w:lineRule="exact"/>
        <w:rPr>
          <w:rFonts w:ascii="Arial" w:cs="Arial" w:eastAsia="Arial" w:hAnsi="Arial"/>
          <w:sz w:val="14"/>
          <w:szCs w:val="14"/>
          <w:color w:val="auto"/>
        </w:rPr>
      </w:pPr>
    </w:p>
    <w:p>
      <w:pPr>
        <w:ind w:left="440" w:right="40" w:hanging="433"/>
        <w:spacing w:after="0" w:line="254"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33% of the remaining unvested options vested on February 14, 2022, and 33% of the remaining unvested options are scheduled to vest on each of February 14, 2023 and 2024.</w:t>
      </w:r>
    </w:p>
    <w:p>
      <w:pPr>
        <w:spacing w:after="0" w:line="47" w:lineRule="exact"/>
        <w:rPr>
          <w:rFonts w:ascii="Arial" w:cs="Arial" w:eastAsia="Arial" w:hAnsi="Arial"/>
          <w:sz w:val="14"/>
          <w:szCs w:val="14"/>
          <w:color w:val="auto"/>
        </w:rPr>
      </w:pPr>
    </w:p>
    <w:p>
      <w:pPr>
        <w:ind w:left="440" w:right="60" w:hanging="433"/>
        <w:spacing w:after="0" w:line="254"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25% of the unvested options vested on February 12, 2022 and 25% of the remaining unvested options are scheduled to vest on each of February 12, 2023, 2024 and 2025.</w:t>
      </w:r>
    </w:p>
    <w:p>
      <w:pPr>
        <w:spacing w:after="0" w:line="47"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50% of the remaining unvested options are scheduled to vest on each of August 14, 2022 and 2023.</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These RSUs vested on February 15, 2022.</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RSUs scheduled to vest on February 14, 2023.</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RSUs scheduled to vest on August 14, 2022.</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50% of the remaining unvested RSUs are scheduled to vest on each of August 14, 2022 and 2023.</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RSUs scheduled to vest on February 12, 2024.</w:t>
      </w:r>
    </w:p>
    <w:p>
      <w:pPr>
        <w:spacing w:after="0" w:line="66" w:lineRule="exact"/>
        <w:rPr>
          <w:rFonts w:ascii="Arial" w:cs="Arial" w:eastAsia="Arial" w:hAnsi="Arial"/>
          <w:sz w:val="14"/>
          <w:szCs w:val="14"/>
          <w:color w:val="auto"/>
        </w:rPr>
      </w:pPr>
    </w:p>
    <w:p>
      <w:pPr>
        <w:ind w:left="440" w:right="160" w:hanging="433"/>
        <w:spacing w:after="0" w:line="254"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These PSUs represent the actual shares achieved during the 2019-2021 performance period. These shares were earned on February 11, 2022 after the Committee certified the performance achieved as of December 31, 2021.</w:t>
      </w:r>
    </w:p>
    <w:p>
      <w:pPr>
        <w:spacing w:after="0" w:line="47" w:lineRule="exact"/>
        <w:rPr>
          <w:rFonts w:ascii="Arial" w:cs="Arial" w:eastAsia="Arial" w:hAnsi="Arial"/>
          <w:sz w:val="14"/>
          <w:szCs w:val="14"/>
          <w:color w:val="auto"/>
        </w:rPr>
      </w:pPr>
    </w:p>
    <w:p>
      <w:pPr>
        <w:ind w:left="440" w:right="280" w:hanging="433"/>
        <w:spacing w:after="0" w:line="254"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PSUs, reported at the threshold level, scheduled to vest in February 2023 if the Committee certifies that the performance targets are achieved as of December 31, 2022.</w:t>
      </w:r>
    </w:p>
    <w:p>
      <w:pPr>
        <w:spacing w:after="0" w:line="47" w:lineRule="exact"/>
        <w:rPr>
          <w:rFonts w:ascii="Arial" w:cs="Arial" w:eastAsia="Arial" w:hAnsi="Arial"/>
          <w:sz w:val="14"/>
          <w:szCs w:val="14"/>
          <w:color w:val="auto"/>
        </w:rPr>
      </w:pPr>
    </w:p>
    <w:p>
      <w:pPr>
        <w:ind w:left="440" w:right="120" w:hanging="433"/>
        <w:spacing w:after="0" w:line="254"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the 2021 annual grant of PSUs reported at the target level scheduled to vest in February 2024 if the Committee certifies that the performance targets are achieved as of December 31, 2023 and after the discretionary application of the KPI modifier by the Committee.</w:t>
      </w:r>
    </w:p>
    <w:p>
      <w:pPr>
        <w:spacing w:after="0" w:line="47" w:lineRule="exact"/>
        <w:rPr>
          <w:rFonts w:ascii="Arial" w:cs="Arial" w:eastAsia="Arial" w:hAnsi="Arial"/>
          <w:sz w:val="14"/>
          <w:szCs w:val="14"/>
          <w:color w:val="auto"/>
        </w:rPr>
      </w:pPr>
    </w:p>
    <w:p>
      <w:pPr>
        <w:ind w:left="440" w:right="180" w:hanging="433"/>
        <w:spacing w:after="0" w:line="254"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the 2021 Special Grant of PSUs reported at the target level, from a special PSU grant scheduled to vest in February 2023 if the Committee certifies that the performance targets are achieved as of December 31, 2022 and after the discretionary application of the KPI modifier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9297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54</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6"/>
                <w:szCs w:val="16"/>
                <w:b w:val="1"/>
                <w:bCs w:val="1"/>
                <w:color w:val="5D89B4"/>
                <w:w w:val="98"/>
              </w:rPr>
              <w:t>COMPENSATION TABLES</w:t>
            </w:r>
          </w:p>
        </w:tc>
      </w:tr>
      <w:tr>
        <w:trPr>
          <w:trHeight w:val="441"/>
        </w:trPr>
        <w:tc>
          <w:tcPr>
            <w:tcW w:w="5220" w:type="dxa"/>
            <w:vAlign w:val="bottom"/>
            <w:gridSpan w:val="4"/>
          </w:tcPr>
          <w:p>
            <w:pPr>
              <w:spacing w:after="0"/>
              <w:rPr>
                <w:sz w:val="20"/>
                <w:szCs w:val="20"/>
                <w:color w:val="auto"/>
              </w:rPr>
            </w:pPr>
            <w:r>
              <w:rPr>
                <w:rFonts w:ascii="Arial" w:cs="Arial" w:eastAsia="Arial" w:hAnsi="Arial"/>
                <w:sz w:val="25"/>
                <w:szCs w:val="25"/>
                <w:b w:val="1"/>
                <w:bCs w:val="1"/>
                <w:color w:val="5D89B4"/>
              </w:rPr>
              <w:t>Option Exercises and Stock Vested in 2021</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2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r>
      <w:tr>
        <w:trPr>
          <w:trHeight w:val="299"/>
        </w:trPr>
        <w:tc>
          <w:tcPr>
            <w:tcW w:w="440" w:type="dxa"/>
            <w:vAlign w:val="bottom"/>
            <w:tcBorders>
              <w:bottom w:val="single" w:sz="8" w:color="EAEAEA"/>
            </w:tcBorders>
            <w:shd w:val="clear" w:color="auto" w:fill="EAEAEA"/>
          </w:tcPr>
          <w:p>
            <w:pPr>
              <w:spacing w:after="0"/>
              <w:rPr>
                <w:sz w:val="24"/>
                <w:szCs w:val="24"/>
                <w:color w:val="auto"/>
              </w:rPr>
            </w:pPr>
          </w:p>
        </w:tc>
        <w:tc>
          <w:tcPr>
            <w:tcW w:w="2200" w:type="dxa"/>
            <w:vAlign w:val="bottom"/>
            <w:tcBorders>
              <w:bottom w:val="single" w:sz="8" w:color="EAEAEA"/>
            </w:tcBorders>
            <w:shd w:val="clear" w:color="auto" w:fill="EAEAEA"/>
          </w:tcPr>
          <w:p>
            <w:pPr>
              <w:spacing w:after="0"/>
              <w:rPr>
                <w:sz w:val="24"/>
                <w:szCs w:val="24"/>
                <w:color w:val="auto"/>
              </w:rPr>
            </w:pPr>
          </w:p>
        </w:tc>
        <w:tc>
          <w:tcPr>
            <w:tcW w:w="640" w:type="dxa"/>
            <w:vAlign w:val="bottom"/>
            <w:tcBorders>
              <w:bottom w:val="single" w:sz="8" w:color="EAEAEA"/>
            </w:tcBorders>
            <w:shd w:val="clear" w:color="auto" w:fill="EAEAEA"/>
          </w:tcPr>
          <w:p>
            <w:pPr>
              <w:spacing w:after="0"/>
              <w:rPr>
                <w:sz w:val="24"/>
                <w:szCs w:val="24"/>
                <w:color w:val="auto"/>
              </w:rPr>
            </w:pPr>
          </w:p>
        </w:tc>
        <w:tc>
          <w:tcPr>
            <w:tcW w:w="2560" w:type="dxa"/>
            <w:vAlign w:val="bottom"/>
            <w:tcBorders>
              <w:bottom w:val="single" w:sz="8" w:color="EAEAEA"/>
            </w:tcBorders>
            <w:gridSpan w:val="2"/>
            <w:shd w:val="clear" w:color="auto" w:fill="EAEAEA"/>
          </w:tcPr>
          <w:p>
            <w:pPr>
              <w:jc w:val="right"/>
              <w:ind w:right="75"/>
              <w:spacing w:after="0"/>
              <w:rPr>
                <w:sz w:val="20"/>
                <w:szCs w:val="20"/>
                <w:color w:val="auto"/>
              </w:rPr>
            </w:pPr>
            <w:r>
              <w:rPr>
                <w:rFonts w:ascii="Arial" w:cs="Arial" w:eastAsia="Arial" w:hAnsi="Arial"/>
                <w:sz w:val="14"/>
                <w:szCs w:val="14"/>
                <w:b w:val="1"/>
                <w:bCs w:val="1"/>
                <w:color w:val="5D89B4"/>
              </w:rPr>
              <w:t>OPTION AWARDS</w:t>
            </w:r>
          </w:p>
        </w:tc>
        <w:tc>
          <w:tcPr>
            <w:tcW w:w="1060" w:type="dxa"/>
            <w:vAlign w:val="bottom"/>
            <w:tcBorders>
              <w:bottom w:val="single" w:sz="8" w:color="EAEAEA"/>
            </w:tcBorders>
            <w:shd w:val="clear" w:color="auto" w:fill="EAEAEA"/>
          </w:tcPr>
          <w:p>
            <w:pPr>
              <w:spacing w:after="0"/>
              <w:rPr>
                <w:sz w:val="24"/>
                <w:szCs w:val="24"/>
                <w:color w:val="auto"/>
              </w:rPr>
            </w:pPr>
          </w:p>
        </w:tc>
        <w:tc>
          <w:tcPr>
            <w:tcW w:w="660" w:type="dxa"/>
            <w:vAlign w:val="bottom"/>
            <w:tcBorders>
              <w:bottom w:val="single" w:sz="8" w:color="EAEAEA"/>
            </w:tcBorders>
            <w:shd w:val="clear" w:color="auto" w:fill="EAEAEA"/>
          </w:tcPr>
          <w:p>
            <w:pPr>
              <w:spacing w:after="0"/>
              <w:rPr>
                <w:sz w:val="24"/>
                <w:szCs w:val="24"/>
                <w:color w:val="auto"/>
              </w:rPr>
            </w:pPr>
          </w:p>
        </w:tc>
        <w:tc>
          <w:tcPr>
            <w:tcW w:w="3360" w:type="dxa"/>
            <w:vAlign w:val="bottom"/>
            <w:tcBorders>
              <w:bottom w:val="single" w:sz="8" w:color="EAEAEA"/>
            </w:tcBorders>
            <w:gridSpan w:val="3"/>
            <w:shd w:val="clear" w:color="auto" w:fill="EAEAEA"/>
          </w:tcPr>
          <w:p>
            <w:pPr>
              <w:jc w:val="right"/>
              <w:ind w:right="1140"/>
              <w:spacing w:after="0"/>
              <w:rPr>
                <w:sz w:val="20"/>
                <w:szCs w:val="20"/>
                <w:color w:val="auto"/>
              </w:rPr>
            </w:pPr>
            <w:r>
              <w:rPr>
                <w:rFonts w:ascii="Arial" w:cs="Arial" w:eastAsia="Arial" w:hAnsi="Arial"/>
                <w:sz w:val="14"/>
                <w:szCs w:val="14"/>
                <w:b w:val="1"/>
                <w:bCs w:val="1"/>
                <w:color w:val="5D89B4"/>
              </w:rPr>
              <w:t>STOCK AWARDS</w:t>
            </w:r>
          </w:p>
        </w:tc>
      </w:tr>
      <w:tr>
        <w:trPr>
          <w:trHeight w:val="194"/>
        </w:trPr>
        <w:tc>
          <w:tcPr>
            <w:tcW w:w="440" w:type="dxa"/>
            <w:vAlign w:val="bottom"/>
            <w:tcBorders>
              <w:top w:val="single" w:sz="8" w:color="EAEAEA"/>
            </w:tcBorders>
            <w:shd w:val="clear" w:color="auto" w:fill="EAEAEA"/>
          </w:tcPr>
          <w:p>
            <w:pPr>
              <w:spacing w:after="0"/>
              <w:rPr>
                <w:sz w:val="16"/>
                <w:szCs w:val="16"/>
                <w:color w:val="auto"/>
              </w:rPr>
            </w:pPr>
          </w:p>
        </w:tc>
        <w:tc>
          <w:tcPr>
            <w:tcW w:w="2200" w:type="dxa"/>
            <w:vAlign w:val="bottom"/>
            <w:tcBorders>
              <w:top w:val="single" w:sz="8" w:color="EAEAEA"/>
            </w:tcBorders>
            <w:shd w:val="clear" w:color="auto" w:fill="EAEAEA"/>
          </w:tcPr>
          <w:p>
            <w:pPr>
              <w:spacing w:after="0"/>
              <w:rPr>
                <w:sz w:val="16"/>
                <w:szCs w:val="16"/>
                <w:color w:val="auto"/>
              </w:rPr>
            </w:pPr>
          </w:p>
        </w:tc>
        <w:tc>
          <w:tcPr>
            <w:tcW w:w="640" w:type="dxa"/>
            <w:vAlign w:val="bottom"/>
            <w:tcBorders>
              <w:top w:val="single" w:sz="8" w:color="EAEAEA"/>
            </w:tcBorders>
            <w:shd w:val="clear" w:color="auto" w:fill="EAEAEA"/>
          </w:tcPr>
          <w:p>
            <w:pPr>
              <w:spacing w:after="0"/>
              <w:rPr>
                <w:sz w:val="16"/>
                <w:szCs w:val="16"/>
                <w:color w:val="auto"/>
              </w:rPr>
            </w:pPr>
          </w:p>
        </w:tc>
        <w:tc>
          <w:tcPr>
            <w:tcW w:w="1940" w:type="dxa"/>
            <w:vAlign w:val="bottom"/>
            <w:tcBorders>
              <w:top w:val="single" w:sz="8" w:color="5D89B4"/>
            </w:tcBorders>
            <w:shd w:val="clear" w:color="auto" w:fill="EAEAEA"/>
          </w:tcPr>
          <w:p>
            <w:pPr>
              <w:jc w:val="right"/>
              <w:ind w:right="467"/>
              <w:spacing w:after="0"/>
              <w:rPr>
                <w:sz w:val="20"/>
                <w:szCs w:val="20"/>
                <w:color w:val="auto"/>
              </w:rPr>
            </w:pPr>
            <w:r>
              <w:rPr>
                <w:rFonts w:ascii="Arial" w:cs="Arial" w:eastAsia="Arial" w:hAnsi="Arial"/>
                <w:sz w:val="14"/>
                <w:szCs w:val="14"/>
                <w:b w:val="1"/>
                <w:bCs w:val="1"/>
                <w:color w:val="5D89B4"/>
              </w:rPr>
              <w:t>NUMBER OF</w:t>
            </w:r>
          </w:p>
        </w:tc>
        <w:tc>
          <w:tcPr>
            <w:tcW w:w="620" w:type="dxa"/>
            <w:vAlign w:val="bottom"/>
            <w:tcBorders>
              <w:top w:val="single" w:sz="8" w:color="5D89B4"/>
            </w:tcBorders>
            <w:shd w:val="clear" w:color="auto" w:fill="EAEAEA"/>
          </w:tcPr>
          <w:p>
            <w:pPr>
              <w:spacing w:after="0"/>
              <w:rPr>
                <w:sz w:val="16"/>
                <w:szCs w:val="16"/>
                <w:color w:val="auto"/>
              </w:rPr>
            </w:pPr>
          </w:p>
        </w:tc>
        <w:tc>
          <w:tcPr>
            <w:tcW w:w="1060" w:type="dxa"/>
            <w:vAlign w:val="bottom"/>
            <w:tcBorders>
              <w:top w:val="single" w:sz="8" w:color="5D89B4"/>
            </w:tcBorders>
            <w:shd w:val="clear" w:color="auto" w:fill="EAEAEA"/>
          </w:tcPr>
          <w:p>
            <w:pPr>
              <w:spacing w:after="0"/>
              <w:rPr>
                <w:sz w:val="16"/>
                <w:szCs w:val="16"/>
                <w:color w:val="auto"/>
              </w:rPr>
            </w:pPr>
          </w:p>
        </w:tc>
        <w:tc>
          <w:tcPr>
            <w:tcW w:w="660" w:type="dxa"/>
            <w:vAlign w:val="bottom"/>
            <w:tcBorders>
              <w:top w:val="single" w:sz="8" w:color="EAEAEA"/>
            </w:tcBorders>
            <w:shd w:val="clear" w:color="auto" w:fill="EAEAEA"/>
          </w:tcPr>
          <w:p>
            <w:pPr>
              <w:spacing w:after="0"/>
              <w:rPr>
                <w:sz w:val="16"/>
                <w:szCs w:val="16"/>
                <w:color w:val="auto"/>
              </w:rPr>
            </w:pPr>
          </w:p>
        </w:tc>
        <w:tc>
          <w:tcPr>
            <w:tcW w:w="1380" w:type="dxa"/>
            <w:vAlign w:val="bottom"/>
            <w:tcBorders>
              <w:top w:val="single" w:sz="8" w:color="5D89B4"/>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NUMBER OF</w:t>
            </w:r>
          </w:p>
        </w:tc>
        <w:tc>
          <w:tcPr>
            <w:tcW w:w="1540" w:type="dxa"/>
            <w:vAlign w:val="bottom"/>
            <w:tcBorders>
              <w:top w:val="single" w:sz="8" w:color="5D89B4"/>
            </w:tcBorders>
            <w:shd w:val="clear" w:color="auto" w:fill="EAEAEA"/>
          </w:tcPr>
          <w:p>
            <w:pPr>
              <w:spacing w:after="0"/>
              <w:rPr>
                <w:sz w:val="16"/>
                <w:szCs w:val="16"/>
                <w:color w:val="auto"/>
              </w:rPr>
            </w:pPr>
          </w:p>
        </w:tc>
        <w:tc>
          <w:tcPr>
            <w:tcW w:w="440" w:type="dxa"/>
            <w:vAlign w:val="bottom"/>
            <w:tcBorders>
              <w:top w:val="single" w:sz="8" w:color="5D89B4"/>
            </w:tcBorders>
            <w:shd w:val="clear" w:color="auto" w:fill="EAEAEA"/>
          </w:tcPr>
          <w:p>
            <w:pPr>
              <w:spacing w:after="0"/>
              <w:rPr>
                <w:sz w:val="16"/>
                <w:szCs w:val="16"/>
                <w:color w:val="auto"/>
              </w:rPr>
            </w:pPr>
          </w:p>
        </w:tc>
      </w:tr>
      <w:tr>
        <w:trPr>
          <w:trHeight w:val="160"/>
        </w:trPr>
        <w:tc>
          <w:tcPr>
            <w:tcW w:w="440" w:type="dxa"/>
            <w:vAlign w:val="bottom"/>
            <w:shd w:val="clear" w:color="auto" w:fill="EAEAEA"/>
          </w:tcPr>
          <w:p>
            <w:pPr>
              <w:spacing w:after="0"/>
              <w:rPr>
                <w:sz w:val="13"/>
                <w:szCs w:val="13"/>
                <w:color w:val="auto"/>
              </w:rPr>
            </w:pPr>
          </w:p>
        </w:tc>
        <w:tc>
          <w:tcPr>
            <w:tcW w:w="2200" w:type="dxa"/>
            <w:vAlign w:val="bottom"/>
            <w:shd w:val="clear" w:color="auto" w:fill="EAEAEA"/>
          </w:tcPr>
          <w:p>
            <w:pPr>
              <w:spacing w:after="0"/>
              <w:rPr>
                <w:sz w:val="13"/>
                <w:szCs w:val="13"/>
                <w:color w:val="auto"/>
              </w:rPr>
            </w:pPr>
          </w:p>
        </w:tc>
        <w:tc>
          <w:tcPr>
            <w:tcW w:w="640" w:type="dxa"/>
            <w:vAlign w:val="bottom"/>
            <w:shd w:val="clear" w:color="auto" w:fill="EAEAEA"/>
          </w:tcPr>
          <w:p>
            <w:pPr>
              <w:spacing w:after="0"/>
              <w:rPr>
                <w:sz w:val="13"/>
                <w:szCs w:val="13"/>
                <w:color w:val="auto"/>
              </w:rPr>
            </w:pPr>
          </w:p>
        </w:tc>
        <w:tc>
          <w:tcPr>
            <w:tcW w:w="1940" w:type="dxa"/>
            <w:vAlign w:val="bottom"/>
            <w:shd w:val="clear" w:color="auto" w:fill="EAEAEA"/>
          </w:tcPr>
          <w:p>
            <w:pPr>
              <w:jc w:val="right"/>
              <w:ind w:right="467"/>
              <w:spacing w:after="0"/>
              <w:rPr>
                <w:sz w:val="20"/>
                <w:szCs w:val="20"/>
                <w:color w:val="auto"/>
              </w:rPr>
            </w:pPr>
            <w:r>
              <w:rPr>
                <w:rFonts w:ascii="Arial" w:cs="Arial" w:eastAsia="Arial" w:hAnsi="Arial"/>
                <w:sz w:val="14"/>
                <w:szCs w:val="14"/>
                <w:b w:val="1"/>
                <w:bCs w:val="1"/>
                <w:color w:val="5D89B4"/>
              </w:rPr>
              <w:t>SHARES ACQUIRED</w:t>
            </w:r>
          </w:p>
        </w:tc>
        <w:tc>
          <w:tcPr>
            <w:tcW w:w="1680" w:type="dxa"/>
            <w:vAlign w:val="bottom"/>
            <w:gridSpan w:val="2"/>
            <w:shd w:val="clear" w:color="auto" w:fill="EAEAEA"/>
          </w:tcPr>
          <w:p>
            <w:pPr>
              <w:jc w:val="right"/>
              <w:spacing w:after="0"/>
              <w:rPr>
                <w:sz w:val="20"/>
                <w:szCs w:val="20"/>
                <w:color w:val="auto"/>
              </w:rPr>
            </w:pPr>
            <w:r>
              <w:rPr>
                <w:rFonts w:ascii="Arial" w:cs="Arial" w:eastAsia="Arial" w:hAnsi="Arial"/>
                <w:sz w:val="14"/>
                <w:szCs w:val="14"/>
                <w:b w:val="1"/>
                <w:bCs w:val="1"/>
                <w:color w:val="5D89B4"/>
              </w:rPr>
              <w:t>VALUE REALIZED ON</w:t>
            </w:r>
          </w:p>
        </w:tc>
        <w:tc>
          <w:tcPr>
            <w:tcW w:w="660" w:type="dxa"/>
            <w:vAlign w:val="bottom"/>
            <w:shd w:val="clear" w:color="auto" w:fill="EAEAEA"/>
          </w:tcPr>
          <w:p>
            <w:pPr>
              <w:spacing w:after="0"/>
              <w:rPr>
                <w:sz w:val="13"/>
                <w:szCs w:val="13"/>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w w:val="99"/>
              </w:rPr>
              <w:t>SHARES ACQUIRED</w:t>
            </w:r>
          </w:p>
        </w:tc>
        <w:tc>
          <w:tcPr>
            <w:tcW w:w="1980" w:type="dxa"/>
            <w:vAlign w:val="bottom"/>
            <w:gridSpan w:val="2"/>
            <w:shd w:val="clear" w:color="auto" w:fill="EAEAEA"/>
          </w:tcPr>
          <w:p>
            <w:pPr>
              <w:jc w:val="right"/>
              <w:ind w:right="60"/>
              <w:spacing w:after="0"/>
              <w:rPr>
                <w:sz w:val="20"/>
                <w:szCs w:val="20"/>
                <w:color w:val="auto"/>
              </w:rPr>
            </w:pPr>
            <w:r>
              <w:rPr>
                <w:rFonts w:ascii="Arial" w:cs="Arial" w:eastAsia="Arial" w:hAnsi="Arial"/>
                <w:sz w:val="14"/>
                <w:szCs w:val="14"/>
                <w:b w:val="1"/>
                <w:bCs w:val="1"/>
                <w:color w:val="5D89B4"/>
              </w:rPr>
              <w:t>VALUE REALIZED</w:t>
            </w:r>
          </w:p>
        </w:tc>
      </w:tr>
      <w:tr>
        <w:trPr>
          <w:trHeight w:val="160"/>
        </w:trPr>
        <w:tc>
          <w:tcPr>
            <w:tcW w:w="440" w:type="dxa"/>
            <w:vAlign w:val="bottom"/>
            <w:shd w:val="clear" w:color="auto" w:fill="EAEAEA"/>
          </w:tcPr>
          <w:p>
            <w:pPr>
              <w:spacing w:after="0"/>
              <w:rPr>
                <w:sz w:val="13"/>
                <w:szCs w:val="13"/>
                <w:color w:val="auto"/>
              </w:rPr>
            </w:pPr>
          </w:p>
        </w:tc>
        <w:tc>
          <w:tcPr>
            <w:tcW w:w="2200" w:type="dxa"/>
            <w:vAlign w:val="bottom"/>
            <w:shd w:val="clear" w:color="auto" w:fill="EAEAEA"/>
          </w:tcPr>
          <w:p>
            <w:pPr>
              <w:spacing w:after="0"/>
              <w:rPr>
                <w:sz w:val="13"/>
                <w:szCs w:val="13"/>
                <w:color w:val="auto"/>
              </w:rPr>
            </w:pPr>
          </w:p>
        </w:tc>
        <w:tc>
          <w:tcPr>
            <w:tcW w:w="640" w:type="dxa"/>
            <w:vAlign w:val="bottom"/>
            <w:shd w:val="clear" w:color="auto" w:fill="EAEAEA"/>
          </w:tcPr>
          <w:p>
            <w:pPr>
              <w:spacing w:after="0"/>
              <w:rPr>
                <w:sz w:val="13"/>
                <w:szCs w:val="13"/>
                <w:color w:val="auto"/>
              </w:rPr>
            </w:pPr>
          </w:p>
        </w:tc>
        <w:tc>
          <w:tcPr>
            <w:tcW w:w="1940" w:type="dxa"/>
            <w:vAlign w:val="bottom"/>
            <w:shd w:val="clear" w:color="auto" w:fill="EAEAEA"/>
          </w:tcPr>
          <w:p>
            <w:pPr>
              <w:jc w:val="right"/>
              <w:ind w:right="467"/>
              <w:spacing w:after="0"/>
              <w:rPr>
                <w:sz w:val="20"/>
                <w:szCs w:val="20"/>
                <w:color w:val="auto"/>
              </w:rPr>
            </w:pPr>
            <w:r>
              <w:rPr>
                <w:rFonts w:ascii="Arial" w:cs="Arial" w:eastAsia="Arial" w:hAnsi="Arial"/>
                <w:sz w:val="14"/>
                <w:szCs w:val="14"/>
                <w:b w:val="1"/>
                <w:bCs w:val="1"/>
                <w:color w:val="5D89B4"/>
              </w:rPr>
              <w:t>ON EXERCISE</w:t>
            </w:r>
          </w:p>
        </w:tc>
        <w:tc>
          <w:tcPr>
            <w:tcW w:w="620" w:type="dxa"/>
            <w:vAlign w:val="bottom"/>
            <w:shd w:val="clear" w:color="auto" w:fill="EAEAEA"/>
          </w:tcPr>
          <w:p>
            <w:pPr>
              <w:spacing w:after="0"/>
              <w:rPr>
                <w:sz w:val="13"/>
                <w:szCs w:val="13"/>
                <w:color w:val="auto"/>
              </w:rPr>
            </w:pPr>
          </w:p>
        </w:tc>
        <w:tc>
          <w:tcPr>
            <w:tcW w:w="10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EXERCISE</w:t>
            </w:r>
          </w:p>
        </w:tc>
        <w:tc>
          <w:tcPr>
            <w:tcW w:w="660" w:type="dxa"/>
            <w:vAlign w:val="bottom"/>
            <w:shd w:val="clear" w:color="auto" w:fill="EAEAEA"/>
          </w:tcPr>
          <w:p>
            <w:pPr>
              <w:spacing w:after="0"/>
              <w:rPr>
                <w:sz w:val="13"/>
                <w:szCs w:val="13"/>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ON VESTING</w:t>
            </w:r>
          </w:p>
        </w:tc>
        <w:tc>
          <w:tcPr>
            <w:tcW w:w="1980" w:type="dxa"/>
            <w:vAlign w:val="bottom"/>
            <w:gridSpan w:val="2"/>
            <w:shd w:val="clear" w:color="auto" w:fill="EAEAEA"/>
          </w:tcPr>
          <w:p>
            <w:pPr>
              <w:jc w:val="right"/>
              <w:ind w:right="60"/>
              <w:spacing w:after="0"/>
              <w:rPr>
                <w:sz w:val="20"/>
                <w:szCs w:val="20"/>
                <w:color w:val="auto"/>
              </w:rPr>
            </w:pPr>
            <w:r>
              <w:rPr>
                <w:rFonts w:ascii="Arial" w:cs="Arial" w:eastAsia="Arial" w:hAnsi="Arial"/>
                <w:sz w:val="14"/>
                <w:szCs w:val="14"/>
                <w:b w:val="1"/>
                <w:bCs w:val="1"/>
                <w:color w:val="5D89B4"/>
              </w:rPr>
              <w:t>ON VESTING</w:t>
            </w:r>
          </w:p>
        </w:tc>
      </w:tr>
      <w:tr>
        <w:trPr>
          <w:trHeight w:val="234"/>
        </w:trPr>
        <w:tc>
          <w:tcPr>
            <w:tcW w:w="2640" w:type="dxa"/>
            <w:vAlign w:val="bottom"/>
            <w:tcBorders>
              <w:bottom w:val="single" w:sz="8" w:color="EAEAEA"/>
            </w:tcBorders>
            <w:gridSpan w:val="2"/>
            <w:shd w:val="clear" w:color="auto" w:fill="EAEAEA"/>
          </w:tcPr>
          <w:p>
            <w:pPr>
              <w:ind w:left="80"/>
              <w:spacing w:after="0"/>
              <w:rPr>
                <w:sz w:val="20"/>
                <w:szCs w:val="20"/>
                <w:color w:val="auto"/>
              </w:rPr>
            </w:pPr>
            <w:r>
              <w:rPr>
                <w:rFonts w:ascii="Arial" w:cs="Arial" w:eastAsia="Arial" w:hAnsi="Arial"/>
                <w:sz w:val="14"/>
                <w:szCs w:val="14"/>
                <w:b w:val="1"/>
                <w:bCs w:val="1"/>
                <w:color w:val="5D89B4"/>
              </w:rPr>
              <w:t>NAME &amp; PRINCIPAL POSITION</w:t>
            </w:r>
          </w:p>
        </w:tc>
        <w:tc>
          <w:tcPr>
            <w:tcW w:w="2580" w:type="dxa"/>
            <w:vAlign w:val="bottom"/>
            <w:tcBorders>
              <w:bottom w:val="single" w:sz="8" w:color="EAEAEA"/>
            </w:tcBorders>
            <w:gridSpan w:val="2"/>
            <w:shd w:val="clear" w:color="auto" w:fill="EAEAEA"/>
          </w:tcPr>
          <w:p>
            <w:pPr>
              <w:jc w:val="right"/>
              <w:ind w:right="467"/>
              <w:spacing w:after="0"/>
              <w:rPr>
                <w:sz w:val="20"/>
                <w:szCs w:val="20"/>
                <w:color w:val="auto"/>
              </w:rPr>
            </w:pPr>
            <w:r>
              <w:rPr>
                <w:rFonts w:ascii="Arial" w:cs="Arial" w:eastAsia="Arial" w:hAnsi="Arial"/>
                <w:sz w:val="14"/>
                <w:szCs w:val="14"/>
                <w:b w:val="1"/>
                <w:bCs w:val="1"/>
                <w:color w:val="5D89B4"/>
              </w:rPr>
              <w:t>(#)</w:t>
            </w:r>
          </w:p>
        </w:tc>
        <w:tc>
          <w:tcPr>
            <w:tcW w:w="620" w:type="dxa"/>
            <w:vAlign w:val="bottom"/>
            <w:tcBorders>
              <w:bottom w:val="single" w:sz="8" w:color="EAEAEA"/>
            </w:tcBorders>
            <w:shd w:val="clear" w:color="auto" w:fill="EAEAEA"/>
          </w:tcPr>
          <w:p>
            <w:pPr>
              <w:spacing w:after="0"/>
              <w:rPr>
                <w:sz w:val="20"/>
                <w:szCs w:val="20"/>
                <w:color w:val="auto"/>
              </w:rPr>
            </w:pPr>
          </w:p>
        </w:tc>
        <w:tc>
          <w:tcPr>
            <w:tcW w:w="10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w:t>
            </w:r>
          </w:p>
        </w:tc>
        <w:tc>
          <w:tcPr>
            <w:tcW w:w="204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b w:val="1"/>
                <w:bCs w:val="1"/>
                <w:color w:val="5D89B4"/>
              </w:rPr>
              <w:t>(#)(1)</w:t>
            </w:r>
          </w:p>
        </w:tc>
        <w:tc>
          <w:tcPr>
            <w:tcW w:w="1980" w:type="dxa"/>
            <w:vAlign w:val="bottom"/>
            <w:tcBorders>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4"/>
                <w:szCs w:val="14"/>
                <w:b w:val="1"/>
                <w:bCs w:val="1"/>
                <w:color w:val="5D89B4"/>
              </w:rPr>
              <w:t>($)</w:t>
            </w:r>
          </w:p>
        </w:tc>
      </w:tr>
      <w:tr>
        <w:trPr>
          <w:trHeight w:val="232"/>
        </w:trPr>
        <w:tc>
          <w:tcPr>
            <w:tcW w:w="2640" w:type="dxa"/>
            <w:vAlign w:val="bottom"/>
            <w:gridSpan w:val="2"/>
          </w:tcPr>
          <w:p>
            <w:pPr>
              <w:ind w:left="80"/>
              <w:spacing w:after="0"/>
              <w:rPr>
                <w:sz w:val="20"/>
                <w:szCs w:val="20"/>
                <w:color w:val="auto"/>
              </w:rPr>
            </w:pPr>
            <w:r>
              <w:rPr>
                <w:rFonts w:ascii="Arial" w:cs="Arial" w:eastAsia="Arial" w:hAnsi="Arial"/>
                <w:sz w:val="14"/>
                <w:szCs w:val="14"/>
                <w:b w:val="1"/>
                <w:bCs w:val="1"/>
                <w:color w:val="auto"/>
              </w:rPr>
              <w:t>Jonas Prising</w:t>
            </w:r>
          </w:p>
        </w:tc>
        <w:tc>
          <w:tcPr>
            <w:tcW w:w="6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186"/>
        </w:trPr>
        <w:tc>
          <w:tcPr>
            <w:tcW w:w="2640" w:type="dxa"/>
            <w:vAlign w:val="bottom"/>
            <w:gridSpan w:val="2"/>
          </w:tcPr>
          <w:p>
            <w:pPr>
              <w:ind w:left="80"/>
              <w:spacing w:after="0"/>
              <w:rPr>
                <w:sz w:val="20"/>
                <w:szCs w:val="20"/>
                <w:color w:val="auto"/>
              </w:rPr>
            </w:pPr>
            <w:r>
              <w:rPr>
                <w:rFonts w:ascii="Arial" w:cs="Arial" w:eastAsia="Arial" w:hAnsi="Arial"/>
                <w:sz w:val="14"/>
                <w:szCs w:val="14"/>
                <w:color w:val="333333"/>
              </w:rPr>
              <w:t>CEO</w:t>
            </w:r>
          </w:p>
        </w:tc>
        <w:tc>
          <w:tcPr>
            <w:tcW w:w="640" w:type="dxa"/>
            <w:vAlign w:val="bottom"/>
          </w:tcPr>
          <w:p>
            <w:pPr>
              <w:spacing w:after="0"/>
              <w:rPr>
                <w:sz w:val="16"/>
                <w:szCs w:val="16"/>
                <w:color w:val="auto"/>
              </w:rPr>
            </w:pPr>
          </w:p>
        </w:tc>
        <w:tc>
          <w:tcPr>
            <w:tcW w:w="1940" w:type="dxa"/>
            <w:vAlign w:val="bottom"/>
          </w:tcPr>
          <w:p>
            <w:pPr>
              <w:jc w:val="right"/>
              <w:ind w:right="467"/>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spacing w:after="0"/>
              <w:rPr>
                <w:sz w:val="20"/>
                <w:szCs w:val="20"/>
                <w:color w:val="auto"/>
              </w:rPr>
            </w:pPr>
            <w:r>
              <w:rPr>
                <w:rFonts w:ascii="Arial" w:cs="Arial" w:eastAsia="Arial" w:hAnsi="Arial"/>
                <w:sz w:val="15"/>
                <w:szCs w:val="15"/>
                <w:color w:val="auto"/>
              </w:rPr>
              <w:t>37,809</w:t>
            </w:r>
          </w:p>
        </w:tc>
        <w:tc>
          <w:tcPr>
            <w:tcW w:w="1980" w:type="dxa"/>
            <w:vAlign w:val="bottom"/>
            <w:gridSpan w:val="2"/>
          </w:tcPr>
          <w:p>
            <w:pPr>
              <w:jc w:val="right"/>
              <w:ind w:right="60"/>
              <w:spacing w:after="0"/>
              <w:rPr>
                <w:sz w:val="20"/>
                <w:szCs w:val="20"/>
                <w:color w:val="auto"/>
              </w:rPr>
            </w:pPr>
            <w:r>
              <w:rPr>
                <w:rFonts w:ascii="Arial" w:cs="Arial" w:eastAsia="Arial" w:hAnsi="Arial"/>
                <w:sz w:val="15"/>
                <w:szCs w:val="15"/>
                <w:color w:val="auto"/>
              </w:rPr>
              <w:t>3,496,954</w:t>
            </w:r>
          </w:p>
        </w:tc>
      </w:tr>
      <w:tr>
        <w:trPr>
          <w:trHeight w:val="50"/>
        </w:trPr>
        <w:tc>
          <w:tcPr>
            <w:tcW w:w="4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2640" w:type="dxa"/>
            <w:vAlign w:val="bottom"/>
            <w:gridSpan w:val="2"/>
          </w:tcPr>
          <w:p>
            <w:pPr>
              <w:ind w:left="80"/>
              <w:spacing w:after="0"/>
              <w:rPr>
                <w:sz w:val="20"/>
                <w:szCs w:val="20"/>
                <w:color w:val="auto"/>
              </w:rPr>
            </w:pPr>
            <w:r>
              <w:rPr>
                <w:rFonts w:ascii="Arial" w:cs="Arial" w:eastAsia="Arial" w:hAnsi="Arial"/>
                <w:sz w:val="14"/>
                <w:szCs w:val="14"/>
                <w:b w:val="1"/>
                <w:bCs w:val="1"/>
                <w:color w:val="auto"/>
              </w:rPr>
              <w:t>John T. McGinnis</w:t>
            </w:r>
          </w:p>
        </w:tc>
        <w:tc>
          <w:tcPr>
            <w:tcW w:w="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2640" w:type="dxa"/>
            <w:vAlign w:val="bottom"/>
            <w:gridSpan w:val="2"/>
          </w:tcPr>
          <w:p>
            <w:pPr>
              <w:ind w:left="80"/>
              <w:spacing w:after="0"/>
              <w:rPr>
                <w:sz w:val="20"/>
                <w:szCs w:val="20"/>
                <w:color w:val="auto"/>
              </w:rPr>
            </w:pPr>
            <w:r>
              <w:rPr>
                <w:rFonts w:ascii="Arial" w:cs="Arial" w:eastAsia="Arial" w:hAnsi="Arial"/>
                <w:sz w:val="14"/>
                <w:szCs w:val="14"/>
                <w:color w:val="333333"/>
              </w:rPr>
              <w:t>CFO</w:t>
            </w:r>
          </w:p>
        </w:tc>
        <w:tc>
          <w:tcPr>
            <w:tcW w:w="640" w:type="dxa"/>
            <w:vAlign w:val="bottom"/>
          </w:tcPr>
          <w:p>
            <w:pPr>
              <w:spacing w:after="0"/>
              <w:rPr>
                <w:sz w:val="16"/>
                <w:szCs w:val="16"/>
                <w:color w:val="auto"/>
              </w:rPr>
            </w:pPr>
          </w:p>
        </w:tc>
        <w:tc>
          <w:tcPr>
            <w:tcW w:w="1940" w:type="dxa"/>
            <w:vAlign w:val="bottom"/>
          </w:tcPr>
          <w:p>
            <w:pPr>
              <w:jc w:val="right"/>
              <w:ind w:right="467"/>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spacing w:after="0"/>
              <w:rPr>
                <w:sz w:val="20"/>
                <w:szCs w:val="20"/>
                <w:color w:val="auto"/>
              </w:rPr>
            </w:pPr>
            <w:r>
              <w:rPr>
                <w:rFonts w:ascii="Arial" w:cs="Arial" w:eastAsia="Arial" w:hAnsi="Arial"/>
                <w:sz w:val="15"/>
                <w:szCs w:val="15"/>
                <w:color w:val="auto"/>
              </w:rPr>
              <w:t>25,044</w:t>
            </w:r>
          </w:p>
        </w:tc>
        <w:tc>
          <w:tcPr>
            <w:tcW w:w="1980" w:type="dxa"/>
            <w:vAlign w:val="bottom"/>
            <w:gridSpan w:val="2"/>
          </w:tcPr>
          <w:p>
            <w:pPr>
              <w:jc w:val="right"/>
              <w:ind w:right="60"/>
              <w:spacing w:after="0"/>
              <w:rPr>
                <w:sz w:val="20"/>
                <w:szCs w:val="20"/>
                <w:color w:val="auto"/>
              </w:rPr>
            </w:pPr>
            <w:r>
              <w:rPr>
                <w:rFonts w:ascii="Arial" w:cs="Arial" w:eastAsia="Arial" w:hAnsi="Arial"/>
                <w:sz w:val="15"/>
                <w:szCs w:val="15"/>
                <w:color w:val="auto"/>
              </w:rPr>
              <w:t>2,316,320</w:t>
            </w:r>
          </w:p>
        </w:tc>
      </w:tr>
      <w:tr>
        <w:trPr>
          <w:trHeight w:val="50"/>
        </w:trPr>
        <w:tc>
          <w:tcPr>
            <w:tcW w:w="4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2640" w:type="dxa"/>
            <w:vAlign w:val="bottom"/>
            <w:gridSpan w:val="2"/>
          </w:tcPr>
          <w:p>
            <w:pPr>
              <w:ind w:left="80"/>
              <w:spacing w:after="0"/>
              <w:rPr>
                <w:sz w:val="20"/>
                <w:szCs w:val="20"/>
                <w:color w:val="auto"/>
              </w:rPr>
            </w:pPr>
            <w:r>
              <w:rPr>
                <w:rFonts w:ascii="Arial" w:cs="Arial" w:eastAsia="Arial" w:hAnsi="Arial"/>
                <w:sz w:val="14"/>
                <w:szCs w:val="14"/>
                <w:b w:val="1"/>
                <w:bCs w:val="1"/>
                <w:color w:val="auto"/>
              </w:rPr>
              <w:t>Michelle S. Nettles</w:t>
            </w:r>
          </w:p>
        </w:tc>
        <w:tc>
          <w:tcPr>
            <w:tcW w:w="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2640" w:type="dxa"/>
            <w:vAlign w:val="bottom"/>
            <w:gridSpan w:val="2"/>
          </w:tcPr>
          <w:p>
            <w:pPr>
              <w:ind w:left="80"/>
              <w:spacing w:after="0"/>
              <w:rPr>
                <w:sz w:val="20"/>
                <w:szCs w:val="20"/>
                <w:color w:val="auto"/>
              </w:rPr>
            </w:pPr>
            <w:r>
              <w:rPr>
                <w:rFonts w:ascii="Arial" w:cs="Arial" w:eastAsia="Arial" w:hAnsi="Arial"/>
                <w:sz w:val="14"/>
                <w:szCs w:val="14"/>
                <w:color w:val="333333"/>
              </w:rPr>
              <w:t>Chief People and Culture Officer</w:t>
            </w:r>
          </w:p>
        </w:tc>
        <w:tc>
          <w:tcPr>
            <w:tcW w:w="640" w:type="dxa"/>
            <w:vAlign w:val="bottom"/>
          </w:tcPr>
          <w:p>
            <w:pPr>
              <w:spacing w:after="0"/>
              <w:rPr>
                <w:sz w:val="16"/>
                <w:szCs w:val="16"/>
                <w:color w:val="auto"/>
              </w:rPr>
            </w:pPr>
          </w:p>
        </w:tc>
        <w:tc>
          <w:tcPr>
            <w:tcW w:w="1940" w:type="dxa"/>
            <w:vAlign w:val="bottom"/>
          </w:tcPr>
          <w:p>
            <w:pPr>
              <w:jc w:val="right"/>
              <w:ind w:right="467"/>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040" w:type="dxa"/>
            <w:vAlign w:val="bottom"/>
            <w:gridSpan w:val="2"/>
          </w:tcPr>
          <w:p>
            <w:pPr>
              <w:jc w:val="right"/>
              <w:spacing w:after="0"/>
              <w:rPr>
                <w:sz w:val="20"/>
                <w:szCs w:val="20"/>
                <w:color w:val="auto"/>
              </w:rPr>
            </w:pPr>
            <w:r>
              <w:rPr>
                <w:rFonts w:ascii="Arial" w:cs="Arial" w:eastAsia="Arial" w:hAnsi="Arial"/>
                <w:sz w:val="15"/>
                <w:szCs w:val="15"/>
                <w:color w:val="auto"/>
              </w:rPr>
              <w:t>3,186</w:t>
            </w:r>
          </w:p>
        </w:tc>
        <w:tc>
          <w:tcPr>
            <w:tcW w:w="1980" w:type="dxa"/>
            <w:vAlign w:val="bottom"/>
            <w:gridSpan w:val="2"/>
          </w:tcPr>
          <w:p>
            <w:pPr>
              <w:jc w:val="right"/>
              <w:ind w:right="60"/>
              <w:spacing w:after="0"/>
              <w:rPr>
                <w:sz w:val="20"/>
                <w:szCs w:val="20"/>
                <w:color w:val="auto"/>
              </w:rPr>
            </w:pPr>
            <w:r>
              <w:rPr>
                <w:rFonts w:ascii="Arial" w:cs="Arial" w:eastAsia="Arial" w:hAnsi="Arial"/>
                <w:sz w:val="15"/>
                <w:szCs w:val="15"/>
                <w:color w:val="auto"/>
              </w:rPr>
              <w:t>391,528</w:t>
            </w:r>
          </w:p>
        </w:tc>
      </w:tr>
      <w:tr>
        <w:trPr>
          <w:trHeight w:val="50"/>
        </w:trPr>
        <w:tc>
          <w:tcPr>
            <w:tcW w:w="4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2640" w:type="dxa"/>
            <w:vAlign w:val="bottom"/>
            <w:gridSpan w:val="2"/>
          </w:tcPr>
          <w:p>
            <w:pPr>
              <w:ind w:left="80"/>
              <w:spacing w:after="0"/>
              <w:rPr>
                <w:sz w:val="20"/>
                <w:szCs w:val="20"/>
                <w:color w:val="auto"/>
              </w:rPr>
            </w:pPr>
            <w:r>
              <w:rPr>
                <w:rFonts w:ascii="Arial" w:cs="Arial" w:eastAsia="Arial" w:hAnsi="Arial"/>
                <w:sz w:val="14"/>
                <w:szCs w:val="14"/>
                <w:b w:val="1"/>
                <w:bCs w:val="1"/>
                <w:color w:val="auto"/>
              </w:rPr>
              <w:t>Richard Buchband</w:t>
            </w:r>
          </w:p>
        </w:tc>
        <w:tc>
          <w:tcPr>
            <w:tcW w:w="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2640" w:type="dxa"/>
            <w:vAlign w:val="bottom"/>
            <w:gridSpan w:val="2"/>
          </w:tcPr>
          <w:p>
            <w:pPr>
              <w:ind w:left="80"/>
              <w:spacing w:after="0"/>
              <w:rPr>
                <w:sz w:val="20"/>
                <w:szCs w:val="20"/>
                <w:color w:val="auto"/>
              </w:rPr>
            </w:pPr>
            <w:r>
              <w:rPr>
                <w:rFonts w:ascii="Arial" w:cs="Arial" w:eastAsia="Arial" w:hAnsi="Arial"/>
                <w:sz w:val="14"/>
                <w:szCs w:val="14"/>
                <w:color w:val="333333"/>
              </w:rPr>
              <w:t>SVP, General Counsel and Secretary</w:t>
            </w:r>
          </w:p>
        </w:tc>
        <w:tc>
          <w:tcPr>
            <w:tcW w:w="2580" w:type="dxa"/>
            <w:vAlign w:val="bottom"/>
            <w:gridSpan w:val="2"/>
          </w:tcPr>
          <w:p>
            <w:pPr>
              <w:jc w:val="right"/>
              <w:ind w:right="467"/>
              <w:spacing w:after="0"/>
              <w:rPr>
                <w:sz w:val="20"/>
                <w:szCs w:val="20"/>
                <w:color w:val="auto"/>
              </w:rPr>
            </w:pPr>
            <w:r>
              <w:rPr>
                <w:rFonts w:ascii="Arial" w:cs="Arial" w:eastAsia="Arial" w:hAnsi="Arial"/>
                <w:sz w:val="15"/>
                <w:szCs w:val="15"/>
                <w:color w:val="auto"/>
              </w:rPr>
              <w:t>5,541</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157,899</w:t>
            </w:r>
          </w:p>
        </w:tc>
        <w:tc>
          <w:tcPr>
            <w:tcW w:w="2040" w:type="dxa"/>
            <w:vAlign w:val="bottom"/>
            <w:gridSpan w:val="2"/>
          </w:tcPr>
          <w:p>
            <w:pPr>
              <w:jc w:val="right"/>
              <w:spacing w:after="0"/>
              <w:rPr>
                <w:sz w:val="20"/>
                <w:szCs w:val="20"/>
                <w:color w:val="auto"/>
              </w:rPr>
            </w:pPr>
            <w:r>
              <w:rPr>
                <w:rFonts w:ascii="Arial" w:cs="Arial" w:eastAsia="Arial" w:hAnsi="Arial"/>
                <w:sz w:val="15"/>
                <w:szCs w:val="15"/>
                <w:color w:val="auto"/>
              </w:rPr>
              <w:t>3,362</w:t>
            </w:r>
          </w:p>
        </w:tc>
        <w:tc>
          <w:tcPr>
            <w:tcW w:w="1980" w:type="dxa"/>
            <w:vAlign w:val="bottom"/>
            <w:gridSpan w:val="2"/>
          </w:tcPr>
          <w:p>
            <w:pPr>
              <w:jc w:val="right"/>
              <w:ind w:right="60"/>
              <w:spacing w:after="0"/>
              <w:rPr>
                <w:sz w:val="20"/>
                <w:szCs w:val="20"/>
                <w:color w:val="auto"/>
              </w:rPr>
            </w:pPr>
            <w:r>
              <w:rPr>
                <w:rFonts w:ascii="Arial" w:cs="Arial" w:eastAsia="Arial" w:hAnsi="Arial"/>
                <w:sz w:val="15"/>
                <w:szCs w:val="15"/>
                <w:color w:val="auto"/>
              </w:rPr>
              <w:t>313,120</w:t>
            </w:r>
          </w:p>
        </w:tc>
      </w:tr>
      <w:tr>
        <w:trPr>
          <w:trHeight w:val="50"/>
        </w:trPr>
        <w:tc>
          <w:tcPr>
            <w:tcW w:w="440" w:type="dxa"/>
            <w:vAlign w:val="bottom"/>
            <w:tcBorders>
              <w:bottom w:val="single" w:sz="8" w:color="5D89B4"/>
            </w:tcBorders>
          </w:tcPr>
          <w:p>
            <w:pPr>
              <w:spacing w:after="0"/>
              <w:rPr>
                <w:sz w:val="4"/>
                <w:szCs w:val="4"/>
                <w:color w:val="auto"/>
              </w:rPr>
            </w:pPr>
          </w:p>
        </w:tc>
        <w:tc>
          <w:tcPr>
            <w:tcW w:w="2840" w:type="dxa"/>
            <w:vAlign w:val="bottom"/>
            <w:tcBorders>
              <w:bottom w:val="single" w:sz="8" w:color="5D89B4"/>
            </w:tcBorders>
            <w:gridSpan w:val="2"/>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89"/>
        </w:trPr>
        <w:tc>
          <w:tcPr>
            <w:tcW w:w="5220" w:type="dxa"/>
            <w:vAlign w:val="bottom"/>
            <w:gridSpan w:val="4"/>
          </w:tcPr>
          <w:p>
            <w:pPr>
              <w:spacing w:after="0"/>
              <w:rPr>
                <w:sz w:val="20"/>
                <w:szCs w:val="20"/>
                <w:color w:val="auto"/>
              </w:rPr>
            </w:pPr>
            <w:r>
              <w:rPr>
                <w:rFonts w:ascii="Arial" w:cs="Arial" w:eastAsia="Arial" w:hAnsi="Arial"/>
                <w:sz w:val="14"/>
                <w:szCs w:val="14"/>
                <w:color w:val="auto"/>
              </w:rPr>
              <w:t>(1)   Includes vesting of RSUs and PSUs as follows:</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2"/>
        </w:trPr>
        <w:tc>
          <w:tcPr>
            <w:tcW w:w="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00" w:type="dxa"/>
            <w:vAlign w:val="bottom"/>
            <w:gridSpan w:val="3"/>
          </w:tcPr>
          <w:p>
            <w:pPr>
              <w:spacing w:after="0"/>
              <w:rPr>
                <w:sz w:val="11"/>
                <w:szCs w:val="11"/>
                <w:color w:val="auto"/>
              </w:rPr>
            </w:pPr>
          </w:p>
        </w:tc>
        <w:tc>
          <w:tcPr>
            <w:tcW w:w="1980" w:type="dxa"/>
            <w:vAlign w:val="bottom"/>
            <w:gridSpan w:val="2"/>
          </w:tcPr>
          <w:p>
            <w:pPr>
              <w:spacing w:after="0"/>
              <w:rPr>
                <w:sz w:val="11"/>
                <w:szCs w:val="11"/>
                <w:color w:val="auto"/>
              </w:rPr>
            </w:pPr>
          </w:p>
        </w:tc>
      </w:tr>
      <w:tr>
        <w:trPr>
          <w:trHeight w:val="274"/>
        </w:trPr>
        <w:tc>
          <w:tcPr>
            <w:tcW w:w="440" w:type="dxa"/>
            <w:vAlign w:val="bottom"/>
          </w:tcPr>
          <w:p>
            <w:pPr>
              <w:spacing w:after="0"/>
              <w:rPr>
                <w:sz w:val="23"/>
                <w:szCs w:val="23"/>
                <w:color w:val="auto"/>
              </w:rPr>
            </w:pPr>
          </w:p>
        </w:tc>
        <w:tc>
          <w:tcPr>
            <w:tcW w:w="22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640" w:type="dxa"/>
            <w:vAlign w:val="bottom"/>
            <w:tcBorders>
              <w:bottom w:val="single" w:sz="8" w:color="EAEAEA"/>
            </w:tcBorders>
            <w:shd w:val="clear" w:color="auto" w:fill="EAEAEA"/>
          </w:tcPr>
          <w:p>
            <w:pPr>
              <w:spacing w:after="0"/>
              <w:rPr>
                <w:sz w:val="23"/>
                <w:szCs w:val="23"/>
                <w:color w:val="auto"/>
              </w:rPr>
            </w:pPr>
          </w:p>
        </w:tc>
        <w:tc>
          <w:tcPr>
            <w:tcW w:w="1940" w:type="dxa"/>
            <w:vAlign w:val="bottom"/>
            <w:tcBorders>
              <w:bottom w:val="single" w:sz="8" w:color="EAEAEA"/>
            </w:tcBorders>
            <w:shd w:val="clear" w:color="auto" w:fill="EAEAEA"/>
          </w:tcPr>
          <w:p>
            <w:pPr>
              <w:spacing w:after="0"/>
              <w:rPr>
                <w:sz w:val="23"/>
                <w:szCs w:val="23"/>
                <w:color w:val="auto"/>
              </w:rPr>
            </w:pPr>
          </w:p>
        </w:tc>
        <w:tc>
          <w:tcPr>
            <w:tcW w:w="620" w:type="dxa"/>
            <w:vAlign w:val="bottom"/>
            <w:tcBorders>
              <w:bottom w:val="single" w:sz="8" w:color="EAEAEA"/>
            </w:tcBorders>
            <w:shd w:val="clear" w:color="auto" w:fill="EAEAEA"/>
          </w:tcPr>
          <w:p>
            <w:pPr>
              <w:spacing w:after="0"/>
              <w:rPr>
                <w:sz w:val="23"/>
                <w:szCs w:val="23"/>
                <w:color w:val="auto"/>
              </w:rPr>
            </w:pPr>
          </w:p>
        </w:tc>
        <w:tc>
          <w:tcPr>
            <w:tcW w:w="3100" w:type="dxa"/>
            <w:vAlign w:val="bottom"/>
            <w:tcBorders>
              <w:bottom w:val="single" w:sz="8" w:color="EAEAEA"/>
            </w:tcBorders>
            <w:gridSpan w:val="3"/>
            <w:shd w:val="clear" w:color="auto" w:fill="EAEAEA"/>
          </w:tcPr>
          <w:p>
            <w:pPr>
              <w:jc w:val="right"/>
              <w:ind w:right="1169"/>
              <w:spacing w:after="0"/>
              <w:rPr>
                <w:sz w:val="20"/>
                <w:szCs w:val="20"/>
                <w:color w:val="auto"/>
              </w:rPr>
            </w:pPr>
            <w:r>
              <w:rPr>
                <w:rFonts w:ascii="Arial" w:cs="Arial" w:eastAsia="Arial" w:hAnsi="Arial"/>
                <w:sz w:val="14"/>
                <w:szCs w:val="14"/>
                <w:b w:val="1"/>
                <w:bCs w:val="1"/>
                <w:color w:val="5D89B4"/>
              </w:rPr>
              <w:t>NUMBER OF RSUs</w:t>
            </w:r>
          </w:p>
        </w:tc>
        <w:tc>
          <w:tcPr>
            <w:tcW w:w="15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NUMBER OF PSUs</w:t>
            </w:r>
          </w:p>
        </w:tc>
        <w:tc>
          <w:tcPr>
            <w:tcW w:w="440" w:type="dxa"/>
            <w:vAlign w:val="bottom"/>
          </w:tcPr>
          <w:p>
            <w:pPr>
              <w:spacing w:after="0"/>
              <w:rPr>
                <w:sz w:val="23"/>
                <w:szCs w:val="23"/>
                <w:color w:val="auto"/>
              </w:rPr>
            </w:pPr>
          </w:p>
        </w:tc>
      </w:tr>
      <w:tr>
        <w:trPr>
          <w:trHeight w:val="245"/>
        </w:trPr>
        <w:tc>
          <w:tcPr>
            <w:tcW w:w="440" w:type="dxa"/>
            <w:vAlign w:val="bottom"/>
          </w:tcPr>
          <w:p>
            <w:pPr>
              <w:spacing w:after="0"/>
              <w:rPr>
                <w:sz w:val="21"/>
                <w:szCs w:val="21"/>
                <w:color w:val="auto"/>
              </w:rPr>
            </w:pPr>
          </w:p>
        </w:tc>
        <w:tc>
          <w:tcPr>
            <w:tcW w:w="220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40" w:type="dxa"/>
            <w:vAlign w:val="bottom"/>
            <w:gridSpan w:val="2"/>
          </w:tcPr>
          <w:p>
            <w:pPr>
              <w:jc w:val="right"/>
              <w:ind w:right="1169"/>
              <w:spacing w:after="0"/>
              <w:rPr>
                <w:sz w:val="20"/>
                <w:szCs w:val="20"/>
                <w:color w:val="auto"/>
              </w:rPr>
            </w:pPr>
            <w:r>
              <w:rPr>
                <w:rFonts w:ascii="Arial" w:cs="Arial" w:eastAsia="Arial" w:hAnsi="Arial"/>
                <w:sz w:val="15"/>
                <w:szCs w:val="15"/>
                <w:color w:val="auto"/>
              </w:rPr>
              <w:t>15,834</w:t>
            </w:r>
          </w:p>
        </w:tc>
        <w:tc>
          <w:tcPr>
            <w:tcW w:w="1540" w:type="dxa"/>
            <w:vAlign w:val="bottom"/>
          </w:tcPr>
          <w:p>
            <w:pPr>
              <w:jc w:val="right"/>
              <w:spacing w:after="0"/>
              <w:rPr>
                <w:sz w:val="20"/>
                <w:szCs w:val="20"/>
                <w:color w:val="auto"/>
              </w:rPr>
            </w:pPr>
            <w:r>
              <w:rPr>
                <w:rFonts w:ascii="Arial" w:cs="Arial" w:eastAsia="Arial" w:hAnsi="Arial"/>
                <w:sz w:val="15"/>
                <w:szCs w:val="15"/>
                <w:color w:val="auto"/>
              </w:rPr>
              <w:t>21,975</w:t>
            </w:r>
          </w:p>
        </w:tc>
        <w:tc>
          <w:tcPr>
            <w:tcW w:w="440" w:type="dxa"/>
            <w:vAlign w:val="bottom"/>
          </w:tcPr>
          <w:p>
            <w:pPr>
              <w:spacing w:after="0"/>
              <w:rPr>
                <w:sz w:val="21"/>
                <w:szCs w:val="21"/>
                <w:color w:val="auto"/>
              </w:rPr>
            </w:pPr>
          </w:p>
        </w:tc>
      </w:tr>
      <w:tr>
        <w:trPr>
          <w:trHeight w:val="50"/>
        </w:trPr>
        <w:tc>
          <w:tcPr>
            <w:tcW w:w="440" w:type="dxa"/>
            <w:vAlign w:val="bottom"/>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2040" w:type="dxa"/>
            <w:vAlign w:val="bottom"/>
            <w:tcBorders>
              <w:bottom w:val="single" w:sz="8" w:color="5D89B4"/>
            </w:tcBorders>
            <w:gridSpan w:val="2"/>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220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40" w:type="dxa"/>
            <w:vAlign w:val="bottom"/>
            <w:gridSpan w:val="2"/>
          </w:tcPr>
          <w:p>
            <w:pPr>
              <w:jc w:val="right"/>
              <w:ind w:right="1169"/>
              <w:spacing w:after="0"/>
              <w:rPr>
                <w:sz w:val="20"/>
                <w:szCs w:val="20"/>
                <w:color w:val="auto"/>
              </w:rPr>
            </w:pPr>
            <w:r>
              <w:rPr>
                <w:rFonts w:ascii="Arial" w:cs="Arial" w:eastAsia="Arial" w:hAnsi="Arial"/>
                <w:sz w:val="15"/>
                <w:szCs w:val="15"/>
                <w:color w:val="auto"/>
              </w:rPr>
              <w:t>19,184</w:t>
            </w:r>
          </w:p>
        </w:tc>
        <w:tc>
          <w:tcPr>
            <w:tcW w:w="1540" w:type="dxa"/>
            <w:vAlign w:val="bottom"/>
          </w:tcPr>
          <w:p>
            <w:pPr>
              <w:jc w:val="right"/>
              <w:spacing w:after="0"/>
              <w:rPr>
                <w:sz w:val="20"/>
                <w:szCs w:val="20"/>
                <w:color w:val="auto"/>
              </w:rPr>
            </w:pPr>
            <w:r>
              <w:rPr>
                <w:rFonts w:ascii="Arial" w:cs="Arial" w:eastAsia="Arial" w:hAnsi="Arial"/>
                <w:sz w:val="15"/>
                <w:szCs w:val="15"/>
                <w:color w:val="auto"/>
              </w:rPr>
              <w:t>5,860</w:t>
            </w:r>
          </w:p>
        </w:tc>
        <w:tc>
          <w:tcPr>
            <w:tcW w:w="440" w:type="dxa"/>
            <w:vAlign w:val="bottom"/>
          </w:tcPr>
          <w:p>
            <w:pPr>
              <w:spacing w:after="0"/>
              <w:rPr>
                <w:sz w:val="19"/>
                <w:szCs w:val="19"/>
                <w:color w:val="auto"/>
              </w:rPr>
            </w:pPr>
          </w:p>
        </w:tc>
      </w:tr>
      <w:tr>
        <w:trPr>
          <w:trHeight w:val="50"/>
        </w:trPr>
        <w:tc>
          <w:tcPr>
            <w:tcW w:w="440" w:type="dxa"/>
            <w:vAlign w:val="bottom"/>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2040" w:type="dxa"/>
            <w:vAlign w:val="bottom"/>
            <w:tcBorders>
              <w:bottom w:val="single" w:sz="8" w:color="5D89B4"/>
            </w:tcBorders>
            <w:gridSpan w:val="2"/>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220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40" w:type="dxa"/>
            <w:vAlign w:val="bottom"/>
            <w:gridSpan w:val="2"/>
          </w:tcPr>
          <w:p>
            <w:pPr>
              <w:jc w:val="right"/>
              <w:ind w:right="1169"/>
              <w:spacing w:after="0"/>
              <w:rPr>
                <w:sz w:val="20"/>
                <w:szCs w:val="20"/>
                <w:color w:val="auto"/>
              </w:rPr>
            </w:pPr>
            <w:r>
              <w:rPr>
                <w:rFonts w:ascii="Arial" w:cs="Arial" w:eastAsia="Arial" w:hAnsi="Arial"/>
                <w:sz w:val="15"/>
                <w:szCs w:val="15"/>
                <w:color w:val="auto"/>
              </w:rPr>
              <w:t>3,186</w:t>
            </w:r>
          </w:p>
        </w:tc>
        <w:tc>
          <w:tcPr>
            <w:tcW w:w="19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r>
      <w:tr>
        <w:trPr>
          <w:trHeight w:val="50"/>
        </w:trPr>
        <w:tc>
          <w:tcPr>
            <w:tcW w:w="440" w:type="dxa"/>
            <w:vAlign w:val="bottom"/>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2040" w:type="dxa"/>
            <w:vAlign w:val="bottom"/>
            <w:tcBorders>
              <w:bottom w:val="single" w:sz="8" w:color="5D89B4"/>
            </w:tcBorders>
            <w:gridSpan w:val="2"/>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220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40" w:type="dxa"/>
            <w:vAlign w:val="bottom"/>
            <w:gridSpan w:val="2"/>
          </w:tcPr>
          <w:p>
            <w:pPr>
              <w:jc w:val="right"/>
              <w:ind w:right="1169"/>
              <w:spacing w:after="0"/>
              <w:rPr>
                <w:sz w:val="20"/>
                <w:szCs w:val="20"/>
                <w:color w:val="auto"/>
              </w:rPr>
            </w:pPr>
            <w:r>
              <w:rPr>
                <w:rFonts w:ascii="Arial" w:cs="Arial" w:eastAsia="Arial" w:hAnsi="Arial"/>
                <w:sz w:val="15"/>
                <w:szCs w:val="15"/>
                <w:color w:val="auto"/>
              </w:rPr>
              <w:t>1,408</w:t>
            </w:r>
          </w:p>
        </w:tc>
        <w:tc>
          <w:tcPr>
            <w:tcW w:w="1540" w:type="dxa"/>
            <w:vAlign w:val="bottom"/>
          </w:tcPr>
          <w:p>
            <w:pPr>
              <w:jc w:val="right"/>
              <w:spacing w:after="0"/>
              <w:rPr>
                <w:sz w:val="20"/>
                <w:szCs w:val="20"/>
                <w:color w:val="auto"/>
              </w:rPr>
            </w:pPr>
            <w:r>
              <w:rPr>
                <w:rFonts w:ascii="Arial" w:cs="Arial" w:eastAsia="Arial" w:hAnsi="Arial"/>
                <w:sz w:val="15"/>
                <w:szCs w:val="15"/>
                <w:color w:val="auto"/>
              </w:rPr>
              <w:t>1,954</w:t>
            </w:r>
          </w:p>
        </w:tc>
        <w:tc>
          <w:tcPr>
            <w:tcW w:w="440" w:type="dxa"/>
            <w:vAlign w:val="bottom"/>
          </w:tcPr>
          <w:p>
            <w:pPr>
              <w:spacing w:after="0"/>
              <w:rPr>
                <w:sz w:val="19"/>
                <w:szCs w:val="19"/>
                <w:color w:val="auto"/>
              </w:rPr>
            </w:pPr>
          </w:p>
        </w:tc>
      </w:tr>
      <w:tr>
        <w:trPr>
          <w:trHeight w:val="50"/>
        </w:trPr>
        <w:tc>
          <w:tcPr>
            <w:tcW w:w="440" w:type="dxa"/>
            <w:vAlign w:val="bottom"/>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3100" w:type="dxa"/>
            <w:vAlign w:val="bottom"/>
            <w:tcBorders>
              <w:bottom w:val="single" w:sz="8" w:color="5D89B4"/>
            </w:tcBorders>
            <w:gridSpan w:val="3"/>
          </w:tcPr>
          <w:p>
            <w:pPr>
              <w:spacing w:after="0"/>
              <w:rPr>
                <w:sz w:val="4"/>
                <w:szCs w:val="4"/>
                <w:color w:val="auto"/>
              </w:rPr>
            </w:pPr>
          </w:p>
        </w:tc>
        <w:tc>
          <w:tcPr>
            <w:tcW w:w="154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167"/>
        </w:trPr>
        <w:tc>
          <w:tcPr>
            <w:tcW w:w="440" w:type="dxa"/>
            <w:vAlign w:val="bottom"/>
            <w:tcBorders>
              <w:bottom w:val="single" w:sz="8" w:color="5D89B4"/>
            </w:tcBorders>
          </w:tcPr>
          <w:p>
            <w:pPr>
              <w:spacing w:after="0"/>
              <w:rPr>
                <w:sz w:val="14"/>
                <w:szCs w:val="14"/>
                <w:color w:val="auto"/>
              </w:rPr>
            </w:pPr>
          </w:p>
        </w:tc>
        <w:tc>
          <w:tcPr>
            <w:tcW w:w="2200" w:type="dxa"/>
            <w:vAlign w:val="bottom"/>
            <w:tcBorders>
              <w:bottom w:val="single" w:sz="8" w:color="5D89B4"/>
            </w:tcBorders>
          </w:tcPr>
          <w:p>
            <w:pPr>
              <w:spacing w:after="0"/>
              <w:rPr>
                <w:sz w:val="14"/>
                <w:szCs w:val="14"/>
                <w:color w:val="auto"/>
              </w:rPr>
            </w:pPr>
          </w:p>
        </w:tc>
        <w:tc>
          <w:tcPr>
            <w:tcW w:w="640" w:type="dxa"/>
            <w:vAlign w:val="bottom"/>
            <w:tcBorders>
              <w:bottom w:val="single" w:sz="8" w:color="5D89B4"/>
            </w:tcBorders>
          </w:tcPr>
          <w:p>
            <w:pPr>
              <w:spacing w:after="0"/>
              <w:rPr>
                <w:sz w:val="14"/>
                <w:szCs w:val="14"/>
                <w:color w:val="auto"/>
              </w:rPr>
            </w:pPr>
          </w:p>
        </w:tc>
        <w:tc>
          <w:tcPr>
            <w:tcW w:w="1940" w:type="dxa"/>
            <w:vAlign w:val="bottom"/>
            <w:tcBorders>
              <w:bottom w:val="single" w:sz="8" w:color="5D89B4"/>
            </w:tcBorders>
          </w:tcPr>
          <w:p>
            <w:pPr>
              <w:spacing w:after="0"/>
              <w:rPr>
                <w:sz w:val="14"/>
                <w:szCs w:val="14"/>
                <w:color w:val="auto"/>
              </w:rPr>
            </w:pPr>
          </w:p>
        </w:tc>
        <w:tc>
          <w:tcPr>
            <w:tcW w:w="620" w:type="dxa"/>
            <w:vAlign w:val="bottom"/>
            <w:tcBorders>
              <w:bottom w:val="single" w:sz="8" w:color="5D89B4"/>
            </w:tcBorders>
          </w:tcPr>
          <w:p>
            <w:pPr>
              <w:spacing w:after="0"/>
              <w:rPr>
                <w:sz w:val="14"/>
                <w:szCs w:val="14"/>
                <w:color w:val="auto"/>
              </w:rPr>
            </w:pPr>
          </w:p>
        </w:tc>
        <w:tc>
          <w:tcPr>
            <w:tcW w:w="3100" w:type="dxa"/>
            <w:vAlign w:val="bottom"/>
            <w:tcBorders>
              <w:bottom w:val="single" w:sz="8" w:color="5D89B4"/>
            </w:tcBorders>
            <w:gridSpan w:val="3"/>
          </w:tcPr>
          <w:p>
            <w:pPr>
              <w:spacing w:after="0"/>
              <w:rPr>
                <w:sz w:val="14"/>
                <w:szCs w:val="14"/>
                <w:color w:val="auto"/>
              </w:rPr>
            </w:pPr>
          </w:p>
        </w:tc>
        <w:tc>
          <w:tcPr>
            <w:tcW w:w="1540" w:type="dxa"/>
            <w:vAlign w:val="bottom"/>
            <w:tcBorders>
              <w:bottom w:val="single" w:sz="8" w:color="5D89B4"/>
            </w:tcBorders>
          </w:tcPr>
          <w:p>
            <w:pPr>
              <w:spacing w:after="0"/>
              <w:rPr>
                <w:sz w:val="14"/>
                <w:szCs w:val="14"/>
                <w:color w:val="auto"/>
              </w:rPr>
            </w:pPr>
          </w:p>
        </w:tc>
        <w:tc>
          <w:tcPr>
            <w:tcW w:w="440" w:type="dxa"/>
            <w:vAlign w:val="bottom"/>
            <w:tcBorders>
              <w:bottom w:val="single" w:sz="8" w:color="5D89B4"/>
            </w:tcBorders>
          </w:tcPr>
          <w:p>
            <w:pPr>
              <w:spacing w:after="0"/>
              <w:rPr>
                <w:sz w:val="14"/>
                <w:szCs w:val="14"/>
                <w:color w:val="auto"/>
              </w:rPr>
            </w:pPr>
          </w:p>
        </w:tc>
      </w:tr>
      <w:tr>
        <w:trPr>
          <w:trHeight w:val="372"/>
        </w:trPr>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20" w:type="dxa"/>
            <w:vAlign w:val="bottom"/>
          </w:tcPr>
          <w:p>
            <w:pPr>
              <w:jc w:val="right"/>
              <w:ind w:right="175"/>
              <w:spacing w:after="0"/>
              <w:rPr>
                <w:sz w:val="20"/>
                <w:szCs w:val="20"/>
                <w:color w:val="auto"/>
              </w:rPr>
            </w:pPr>
            <w:r>
              <w:rPr>
                <w:rFonts w:ascii="Arial" w:cs="Arial" w:eastAsia="Arial" w:hAnsi="Arial"/>
                <w:sz w:val="20"/>
                <w:szCs w:val="20"/>
                <w:b w:val="1"/>
                <w:bCs w:val="1"/>
                <w:color w:val="5D89B4"/>
              </w:rPr>
              <w:t>55</w:t>
            </w:r>
          </w:p>
        </w:tc>
        <w:tc>
          <w:tcPr>
            <w:tcW w:w="3100" w:type="dxa"/>
            <w:vAlign w:val="bottom"/>
            <w:gridSpan w:val="3"/>
          </w:tcPr>
          <w:p>
            <w:pPr>
              <w:jc w:val="right"/>
              <w:ind w:right="1189"/>
              <w:spacing w:after="0"/>
              <w:rPr>
                <w:sz w:val="20"/>
                <w:szCs w:val="20"/>
                <w:color w:val="auto"/>
              </w:rPr>
            </w:pPr>
            <w:r>
              <w:rPr>
                <w:rFonts w:ascii="Arial" w:cs="Arial" w:eastAsia="Arial" w:hAnsi="Arial"/>
                <w:sz w:val="16"/>
                <w:szCs w:val="16"/>
                <w:b w:val="1"/>
                <w:bCs w:val="1"/>
                <w:color w:val="BFBFBF"/>
              </w:rPr>
              <w:t>2022 Proxy Statement</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-146685</wp:posOffset>
            </wp:positionV>
            <wp:extent cx="934085" cy="169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Nonqualified Deferred Compensation in 2021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940" w:type="dxa"/>
            <w:vAlign w:val="bottom"/>
            <w:shd w:val="clear" w:color="auto" w:fill="EAEAEA"/>
          </w:tcPr>
          <w:p>
            <w:pPr>
              <w:spacing w:after="0"/>
              <w:rPr>
                <w:sz w:val="18"/>
                <w:szCs w:val="18"/>
                <w:color w:val="auto"/>
              </w:rPr>
            </w:pPr>
          </w:p>
        </w:tc>
        <w:tc>
          <w:tcPr>
            <w:tcW w:w="1120" w:type="dxa"/>
            <w:vAlign w:val="bottom"/>
            <w:shd w:val="clear" w:color="auto" w:fill="EAEAEA"/>
          </w:tcPr>
          <w:p>
            <w:pPr>
              <w:spacing w:after="0"/>
              <w:rPr>
                <w:sz w:val="18"/>
                <w:szCs w:val="18"/>
                <w:color w:val="auto"/>
              </w:rPr>
            </w:pPr>
          </w:p>
        </w:tc>
        <w:tc>
          <w:tcPr>
            <w:tcW w:w="162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EXECUTIVE</w:t>
            </w:r>
          </w:p>
        </w:tc>
        <w:tc>
          <w:tcPr>
            <w:tcW w:w="164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REGISTRANT</w:t>
            </w:r>
          </w:p>
        </w:tc>
        <w:tc>
          <w:tcPr>
            <w:tcW w:w="134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AGGREGATE</w:t>
            </w:r>
          </w:p>
        </w:tc>
        <w:tc>
          <w:tcPr>
            <w:tcW w:w="15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AGGREGATE</w:t>
            </w:r>
          </w:p>
        </w:tc>
        <w:tc>
          <w:tcPr>
            <w:tcW w:w="16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AGGREGATE</w:t>
            </w:r>
          </w:p>
        </w:tc>
      </w:tr>
      <w:tr>
        <w:trPr>
          <w:trHeight w:val="160"/>
        </w:trPr>
        <w:tc>
          <w:tcPr>
            <w:tcW w:w="194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162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CONTRIBUTIONS</w:t>
            </w:r>
          </w:p>
        </w:tc>
        <w:tc>
          <w:tcPr>
            <w:tcW w:w="164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CONTRIBUTIONS</w:t>
            </w:r>
          </w:p>
        </w:tc>
        <w:tc>
          <w:tcPr>
            <w:tcW w:w="134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EARNINGS</w:t>
            </w:r>
          </w:p>
        </w:tc>
        <w:tc>
          <w:tcPr>
            <w:tcW w:w="15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WITHDRAWALS/</w:t>
            </w:r>
          </w:p>
        </w:tc>
        <w:tc>
          <w:tcPr>
            <w:tcW w:w="16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BALANCE AT</w:t>
            </w:r>
          </w:p>
        </w:tc>
      </w:tr>
      <w:tr>
        <w:trPr>
          <w:trHeight w:val="160"/>
        </w:trPr>
        <w:tc>
          <w:tcPr>
            <w:tcW w:w="194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5D89B4"/>
              </w:rPr>
              <w:t>NAME &amp; PRINCIPAL</w:t>
            </w:r>
          </w:p>
        </w:tc>
        <w:tc>
          <w:tcPr>
            <w:tcW w:w="1120" w:type="dxa"/>
            <w:vAlign w:val="bottom"/>
            <w:shd w:val="clear" w:color="auto" w:fill="EAEAEA"/>
          </w:tcPr>
          <w:p>
            <w:pPr>
              <w:spacing w:after="0"/>
              <w:rPr>
                <w:sz w:val="13"/>
                <w:szCs w:val="13"/>
                <w:color w:val="auto"/>
              </w:rPr>
            </w:pPr>
          </w:p>
        </w:tc>
        <w:tc>
          <w:tcPr>
            <w:tcW w:w="162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IN 2021</w:t>
            </w:r>
          </w:p>
        </w:tc>
        <w:tc>
          <w:tcPr>
            <w:tcW w:w="164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IN 2021</w:t>
            </w:r>
          </w:p>
        </w:tc>
        <w:tc>
          <w:tcPr>
            <w:tcW w:w="134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IN 2021</w:t>
            </w:r>
          </w:p>
        </w:tc>
        <w:tc>
          <w:tcPr>
            <w:tcW w:w="15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DISTRIBUTIONS</w:t>
            </w:r>
          </w:p>
        </w:tc>
        <w:tc>
          <w:tcPr>
            <w:tcW w:w="16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DECEMBER 31, 2021</w:t>
            </w:r>
          </w:p>
        </w:tc>
      </w:tr>
      <w:tr>
        <w:trPr>
          <w:trHeight w:val="234"/>
        </w:trPr>
        <w:tc>
          <w:tcPr>
            <w:tcW w:w="19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POSITION</w:t>
            </w:r>
          </w:p>
        </w:tc>
        <w:tc>
          <w:tcPr>
            <w:tcW w:w="112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PLAN</w:t>
            </w:r>
          </w:p>
        </w:tc>
        <w:tc>
          <w:tcPr>
            <w:tcW w:w="1620" w:type="dxa"/>
            <w:vAlign w:val="bottom"/>
            <w:tcBorders>
              <w:bottom w:val="single" w:sz="8" w:color="EAEAEA"/>
            </w:tcBorders>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($)(1)</w:t>
            </w:r>
          </w:p>
        </w:tc>
        <w:tc>
          <w:tcPr>
            <w:tcW w:w="1640" w:type="dxa"/>
            <w:vAlign w:val="bottom"/>
            <w:tcBorders>
              <w:bottom w:val="single" w:sz="8" w:color="EAEAEA"/>
            </w:tcBorders>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w:t>
            </w:r>
          </w:p>
        </w:tc>
        <w:tc>
          <w:tcPr>
            <w:tcW w:w="1340" w:type="dxa"/>
            <w:vAlign w:val="bottom"/>
            <w:tcBorders>
              <w:bottom w:val="single" w:sz="8" w:color="EAEAEA"/>
            </w:tcBorders>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w:t>
            </w:r>
          </w:p>
        </w:tc>
        <w:tc>
          <w:tcPr>
            <w:tcW w:w="158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w:t>
            </w:r>
          </w:p>
        </w:tc>
        <w:tc>
          <w:tcPr>
            <w:tcW w:w="16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($)(2)</w:t>
            </w:r>
          </w:p>
        </w:tc>
      </w:tr>
      <w:tr>
        <w:trPr>
          <w:trHeight w:val="232"/>
        </w:trPr>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86"/>
        </w:trPr>
        <w:tc>
          <w:tcPr>
            <w:tcW w:w="1940" w:type="dxa"/>
            <w:vAlign w:val="bottom"/>
          </w:tcPr>
          <w:p>
            <w:pPr>
              <w:ind w:left="80"/>
              <w:spacing w:after="0"/>
              <w:rPr>
                <w:sz w:val="20"/>
                <w:szCs w:val="20"/>
                <w:color w:val="auto"/>
              </w:rPr>
            </w:pPr>
            <w:r>
              <w:rPr>
                <w:rFonts w:ascii="Arial" w:cs="Arial" w:eastAsia="Arial" w:hAnsi="Arial"/>
                <w:sz w:val="14"/>
                <w:szCs w:val="14"/>
                <w:color w:val="auto"/>
              </w:rPr>
              <w:t>CEO</w:t>
            </w:r>
          </w:p>
        </w:tc>
        <w:tc>
          <w:tcPr>
            <w:tcW w:w="1120" w:type="dxa"/>
            <w:vAlign w:val="bottom"/>
          </w:tcPr>
          <w:p>
            <w:pPr>
              <w:jc w:val="right"/>
              <w:ind w:right="165"/>
              <w:spacing w:after="0"/>
              <w:rPr>
                <w:sz w:val="20"/>
                <w:szCs w:val="20"/>
                <w:color w:val="auto"/>
              </w:rPr>
            </w:pPr>
            <w:r>
              <w:rPr>
                <w:rFonts w:ascii="Arial" w:cs="Arial" w:eastAsia="Arial" w:hAnsi="Arial"/>
                <w:sz w:val="15"/>
                <w:szCs w:val="15"/>
                <w:color w:val="auto"/>
              </w:rPr>
              <w:t>NQSP</w:t>
            </w:r>
          </w:p>
        </w:tc>
        <w:tc>
          <w:tcPr>
            <w:tcW w:w="1620" w:type="dxa"/>
            <w:vAlign w:val="bottom"/>
          </w:tcPr>
          <w:p>
            <w:pPr>
              <w:jc w:val="right"/>
              <w:ind w:right="146"/>
              <w:spacing w:after="0"/>
              <w:rPr>
                <w:sz w:val="20"/>
                <w:szCs w:val="20"/>
                <w:color w:val="auto"/>
              </w:rPr>
            </w:pPr>
            <w:r>
              <w:rPr>
                <w:rFonts w:ascii="Arial" w:cs="Arial" w:eastAsia="Arial" w:hAnsi="Arial"/>
                <w:sz w:val="15"/>
                <w:szCs w:val="15"/>
                <w:color w:val="auto"/>
              </w:rPr>
              <w:t>50,000</w:t>
            </w:r>
          </w:p>
        </w:tc>
        <w:tc>
          <w:tcPr>
            <w:tcW w:w="1640" w:type="dxa"/>
            <w:vAlign w:val="bottom"/>
          </w:tcPr>
          <w:p>
            <w:pPr>
              <w:jc w:val="right"/>
              <w:ind w:right="146"/>
              <w:spacing w:after="0"/>
              <w:rPr>
                <w:sz w:val="20"/>
                <w:szCs w:val="20"/>
                <w:color w:val="auto"/>
              </w:rPr>
            </w:pPr>
            <w:r>
              <w:rPr>
                <w:rFonts w:ascii="Arial" w:cs="Arial" w:eastAsia="Arial" w:hAnsi="Arial"/>
                <w:sz w:val="15"/>
                <w:szCs w:val="15"/>
                <w:color w:val="auto"/>
              </w:rPr>
              <w:t>50,000</w:t>
            </w:r>
          </w:p>
        </w:tc>
        <w:tc>
          <w:tcPr>
            <w:tcW w:w="1340" w:type="dxa"/>
            <w:vAlign w:val="bottom"/>
          </w:tcPr>
          <w:p>
            <w:pPr>
              <w:jc w:val="right"/>
              <w:ind w:right="146"/>
              <w:spacing w:after="0"/>
              <w:rPr>
                <w:sz w:val="20"/>
                <w:szCs w:val="20"/>
                <w:color w:val="auto"/>
              </w:rPr>
            </w:pPr>
            <w:r>
              <w:rPr>
                <w:rFonts w:ascii="Arial" w:cs="Arial" w:eastAsia="Arial" w:hAnsi="Arial"/>
                <w:sz w:val="15"/>
                <w:szCs w:val="15"/>
                <w:color w:val="auto"/>
              </w:rPr>
              <w:t>225,135</w:t>
            </w:r>
          </w:p>
        </w:tc>
        <w:tc>
          <w:tcPr>
            <w:tcW w:w="15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3,735,939</w:t>
            </w:r>
          </w:p>
        </w:tc>
      </w:tr>
      <w:tr>
        <w:trPr>
          <w:trHeight w:val="50"/>
        </w:trPr>
        <w:tc>
          <w:tcPr>
            <w:tcW w:w="19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680" w:type="dxa"/>
            <w:vAlign w:val="bottom"/>
            <w:tcBorders>
              <w:bottom w:val="single" w:sz="8" w:color="5D89B4"/>
            </w:tcBorders>
          </w:tcPr>
          <w:p>
            <w:pPr>
              <w:spacing w:after="0"/>
              <w:rPr>
                <w:sz w:val="4"/>
                <w:szCs w:val="4"/>
                <w:color w:val="auto"/>
              </w:rPr>
            </w:pPr>
          </w:p>
        </w:tc>
      </w:tr>
      <w:tr>
        <w:trPr>
          <w:trHeight w:val="212"/>
        </w:trPr>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86"/>
        </w:trPr>
        <w:tc>
          <w:tcPr>
            <w:tcW w:w="1940" w:type="dxa"/>
            <w:vAlign w:val="bottom"/>
          </w:tcPr>
          <w:p>
            <w:pPr>
              <w:ind w:left="80"/>
              <w:spacing w:after="0"/>
              <w:rPr>
                <w:sz w:val="20"/>
                <w:szCs w:val="20"/>
                <w:color w:val="auto"/>
              </w:rPr>
            </w:pPr>
            <w:r>
              <w:rPr>
                <w:rFonts w:ascii="Arial" w:cs="Arial" w:eastAsia="Arial" w:hAnsi="Arial"/>
                <w:sz w:val="14"/>
                <w:szCs w:val="14"/>
                <w:color w:val="auto"/>
              </w:rPr>
              <w:t>CFO</w:t>
            </w:r>
          </w:p>
        </w:tc>
        <w:tc>
          <w:tcPr>
            <w:tcW w:w="1120" w:type="dxa"/>
            <w:vAlign w:val="bottom"/>
          </w:tcPr>
          <w:p>
            <w:pPr>
              <w:jc w:val="right"/>
              <w:ind w:right="165"/>
              <w:spacing w:after="0"/>
              <w:rPr>
                <w:sz w:val="20"/>
                <w:szCs w:val="20"/>
                <w:color w:val="auto"/>
              </w:rPr>
            </w:pPr>
            <w:r>
              <w:rPr>
                <w:rFonts w:ascii="Arial" w:cs="Arial" w:eastAsia="Arial" w:hAnsi="Arial"/>
                <w:sz w:val="15"/>
                <w:szCs w:val="15"/>
                <w:color w:val="auto"/>
              </w:rPr>
              <w:t>NQSP</w:t>
            </w:r>
          </w:p>
        </w:tc>
        <w:tc>
          <w:tcPr>
            <w:tcW w:w="1620" w:type="dxa"/>
            <w:vAlign w:val="bottom"/>
          </w:tcPr>
          <w:p>
            <w:pPr>
              <w:jc w:val="right"/>
              <w:ind w:right="146"/>
              <w:spacing w:after="0"/>
              <w:rPr>
                <w:sz w:val="20"/>
                <w:szCs w:val="20"/>
                <w:color w:val="auto"/>
              </w:rPr>
            </w:pPr>
            <w:r>
              <w:rPr>
                <w:rFonts w:ascii="Arial" w:cs="Arial" w:eastAsia="Arial" w:hAnsi="Arial"/>
                <w:sz w:val="15"/>
                <w:szCs w:val="15"/>
                <w:color w:val="auto"/>
              </w:rPr>
              <w:t>50,000</w:t>
            </w:r>
          </w:p>
        </w:tc>
        <w:tc>
          <w:tcPr>
            <w:tcW w:w="1640" w:type="dxa"/>
            <w:vAlign w:val="bottom"/>
          </w:tcPr>
          <w:p>
            <w:pPr>
              <w:jc w:val="right"/>
              <w:ind w:right="146"/>
              <w:spacing w:after="0"/>
              <w:rPr>
                <w:sz w:val="20"/>
                <w:szCs w:val="20"/>
                <w:color w:val="auto"/>
              </w:rPr>
            </w:pPr>
            <w:r>
              <w:rPr>
                <w:rFonts w:ascii="Arial" w:cs="Arial" w:eastAsia="Arial" w:hAnsi="Arial"/>
                <w:sz w:val="15"/>
                <w:szCs w:val="15"/>
                <w:color w:val="auto"/>
              </w:rPr>
              <w:t>50,000</w:t>
            </w:r>
          </w:p>
        </w:tc>
        <w:tc>
          <w:tcPr>
            <w:tcW w:w="1340" w:type="dxa"/>
            <w:vAlign w:val="bottom"/>
          </w:tcPr>
          <w:p>
            <w:pPr>
              <w:jc w:val="right"/>
              <w:ind w:right="146"/>
              <w:spacing w:after="0"/>
              <w:rPr>
                <w:sz w:val="20"/>
                <w:szCs w:val="20"/>
                <w:color w:val="auto"/>
              </w:rPr>
            </w:pPr>
            <w:r>
              <w:rPr>
                <w:rFonts w:ascii="Arial" w:cs="Arial" w:eastAsia="Arial" w:hAnsi="Arial"/>
                <w:sz w:val="15"/>
                <w:szCs w:val="15"/>
                <w:color w:val="auto"/>
              </w:rPr>
              <w:t>59,570</w:t>
            </w:r>
          </w:p>
        </w:tc>
        <w:tc>
          <w:tcPr>
            <w:tcW w:w="15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542,179</w:t>
            </w:r>
          </w:p>
        </w:tc>
      </w:tr>
      <w:tr>
        <w:trPr>
          <w:trHeight w:val="50"/>
        </w:trPr>
        <w:tc>
          <w:tcPr>
            <w:tcW w:w="19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680" w:type="dxa"/>
            <w:vAlign w:val="bottom"/>
            <w:tcBorders>
              <w:bottom w:val="single" w:sz="8" w:color="5D89B4"/>
            </w:tcBorders>
          </w:tcPr>
          <w:p>
            <w:pPr>
              <w:spacing w:after="0"/>
              <w:rPr>
                <w:sz w:val="4"/>
                <w:szCs w:val="4"/>
                <w:color w:val="auto"/>
              </w:rPr>
            </w:pPr>
          </w:p>
        </w:tc>
      </w:tr>
      <w:tr>
        <w:trPr>
          <w:trHeight w:val="212"/>
        </w:trPr>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60"/>
        </w:trPr>
        <w:tc>
          <w:tcPr>
            <w:tcW w:w="1940" w:type="dxa"/>
            <w:vAlign w:val="bottom"/>
          </w:tcPr>
          <w:p>
            <w:pPr>
              <w:ind w:left="80"/>
              <w:spacing w:after="0"/>
              <w:rPr>
                <w:sz w:val="20"/>
                <w:szCs w:val="20"/>
                <w:color w:val="auto"/>
              </w:rPr>
            </w:pPr>
            <w:r>
              <w:rPr>
                <w:rFonts w:ascii="Arial" w:cs="Arial" w:eastAsia="Arial" w:hAnsi="Arial"/>
                <w:sz w:val="14"/>
                <w:szCs w:val="14"/>
                <w:color w:val="auto"/>
              </w:rPr>
              <w:t>Chief People and Culture</w:t>
            </w: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86"/>
        </w:trPr>
        <w:tc>
          <w:tcPr>
            <w:tcW w:w="1940" w:type="dxa"/>
            <w:vAlign w:val="bottom"/>
          </w:tcPr>
          <w:p>
            <w:pPr>
              <w:ind w:left="80"/>
              <w:spacing w:after="0"/>
              <w:rPr>
                <w:sz w:val="20"/>
                <w:szCs w:val="20"/>
                <w:color w:val="auto"/>
              </w:rPr>
            </w:pPr>
            <w:r>
              <w:rPr>
                <w:rFonts w:ascii="Arial" w:cs="Arial" w:eastAsia="Arial" w:hAnsi="Arial"/>
                <w:sz w:val="14"/>
                <w:szCs w:val="14"/>
                <w:color w:val="auto"/>
              </w:rPr>
              <w:t>Officer</w:t>
            </w:r>
          </w:p>
        </w:tc>
        <w:tc>
          <w:tcPr>
            <w:tcW w:w="1120" w:type="dxa"/>
            <w:vAlign w:val="bottom"/>
          </w:tcPr>
          <w:p>
            <w:pPr>
              <w:jc w:val="right"/>
              <w:ind w:right="165"/>
              <w:spacing w:after="0"/>
              <w:rPr>
                <w:sz w:val="20"/>
                <w:szCs w:val="20"/>
                <w:color w:val="auto"/>
              </w:rPr>
            </w:pPr>
            <w:r>
              <w:rPr>
                <w:rFonts w:ascii="Arial" w:cs="Arial" w:eastAsia="Arial" w:hAnsi="Arial"/>
                <w:sz w:val="15"/>
                <w:szCs w:val="15"/>
                <w:color w:val="auto"/>
              </w:rPr>
              <w:t>NQSP</w:t>
            </w:r>
          </w:p>
        </w:tc>
        <w:tc>
          <w:tcPr>
            <w:tcW w:w="1620" w:type="dxa"/>
            <w:vAlign w:val="bottom"/>
          </w:tcPr>
          <w:p>
            <w:pPr>
              <w:jc w:val="right"/>
              <w:ind w:right="146"/>
              <w:spacing w:after="0"/>
              <w:rPr>
                <w:sz w:val="20"/>
                <w:szCs w:val="20"/>
                <w:color w:val="auto"/>
              </w:rPr>
            </w:pPr>
            <w:r>
              <w:rPr>
                <w:rFonts w:ascii="Arial" w:cs="Arial" w:eastAsia="Arial" w:hAnsi="Arial"/>
                <w:sz w:val="15"/>
                <w:szCs w:val="15"/>
                <w:color w:val="auto"/>
              </w:rPr>
              <w:t>50,000</w:t>
            </w:r>
          </w:p>
        </w:tc>
        <w:tc>
          <w:tcPr>
            <w:tcW w:w="1640" w:type="dxa"/>
            <w:vAlign w:val="bottom"/>
          </w:tcPr>
          <w:p>
            <w:pPr>
              <w:jc w:val="right"/>
              <w:ind w:right="146"/>
              <w:spacing w:after="0"/>
              <w:rPr>
                <w:sz w:val="20"/>
                <w:szCs w:val="20"/>
                <w:color w:val="auto"/>
              </w:rPr>
            </w:pPr>
            <w:r>
              <w:rPr>
                <w:rFonts w:ascii="Arial" w:cs="Arial" w:eastAsia="Arial" w:hAnsi="Arial"/>
                <w:sz w:val="15"/>
                <w:szCs w:val="15"/>
                <w:color w:val="auto"/>
              </w:rPr>
              <w:t>15,339</w:t>
            </w:r>
          </w:p>
        </w:tc>
        <w:tc>
          <w:tcPr>
            <w:tcW w:w="1340" w:type="dxa"/>
            <w:vAlign w:val="bottom"/>
          </w:tcPr>
          <w:p>
            <w:pPr>
              <w:jc w:val="right"/>
              <w:ind w:right="146"/>
              <w:spacing w:after="0"/>
              <w:rPr>
                <w:sz w:val="20"/>
                <w:szCs w:val="20"/>
                <w:color w:val="auto"/>
              </w:rPr>
            </w:pPr>
            <w:r>
              <w:rPr>
                <w:rFonts w:ascii="Arial" w:cs="Arial" w:eastAsia="Arial" w:hAnsi="Arial"/>
                <w:sz w:val="15"/>
                <w:szCs w:val="15"/>
                <w:color w:val="auto"/>
              </w:rPr>
              <w:t>6,964</w:t>
            </w:r>
          </w:p>
        </w:tc>
        <w:tc>
          <w:tcPr>
            <w:tcW w:w="15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72,303</w:t>
            </w:r>
          </w:p>
        </w:tc>
      </w:tr>
      <w:tr>
        <w:trPr>
          <w:trHeight w:val="50"/>
        </w:trPr>
        <w:tc>
          <w:tcPr>
            <w:tcW w:w="19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680" w:type="dxa"/>
            <w:vAlign w:val="bottom"/>
            <w:tcBorders>
              <w:bottom w:val="single" w:sz="8" w:color="5D89B4"/>
            </w:tcBorders>
          </w:tcPr>
          <w:p>
            <w:pPr>
              <w:spacing w:after="0"/>
              <w:rPr>
                <w:sz w:val="4"/>
                <w:szCs w:val="4"/>
                <w:color w:val="auto"/>
              </w:rPr>
            </w:pPr>
          </w:p>
        </w:tc>
      </w:tr>
      <w:tr>
        <w:trPr>
          <w:trHeight w:val="212"/>
        </w:trPr>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60"/>
        </w:trPr>
        <w:tc>
          <w:tcPr>
            <w:tcW w:w="1940" w:type="dxa"/>
            <w:vAlign w:val="bottom"/>
          </w:tcPr>
          <w:p>
            <w:pPr>
              <w:ind w:left="80"/>
              <w:spacing w:after="0"/>
              <w:rPr>
                <w:sz w:val="20"/>
                <w:szCs w:val="20"/>
                <w:color w:val="auto"/>
              </w:rPr>
            </w:pPr>
            <w:r>
              <w:rPr>
                <w:rFonts w:ascii="Arial" w:cs="Arial" w:eastAsia="Arial" w:hAnsi="Arial"/>
                <w:sz w:val="14"/>
                <w:szCs w:val="14"/>
                <w:color w:val="auto"/>
              </w:rPr>
              <w:t>SVP, General Counsel and</w:t>
            </w: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86"/>
        </w:trPr>
        <w:tc>
          <w:tcPr>
            <w:tcW w:w="1940" w:type="dxa"/>
            <w:vAlign w:val="bottom"/>
          </w:tcPr>
          <w:p>
            <w:pPr>
              <w:ind w:left="80"/>
              <w:spacing w:after="0"/>
              <w:rPr>
                <w:sz w:val="20"/>
                <w:szCs w:val="20"/>
                <w:color w:val="auto"/>
              </w:rPr>
            </w:pPr>
            <w:r>
              <w:rPr>
                <w:rFonts w:ascii="Arial" w:cs="Arial" w:eastAsia="Arial" w:hAnsi="Arial"/>
                <w:sz w:val="14"/>
                <w:szCs w:val="14"/>
                <w:color w:val="auto"/>
              </w:rPr>
              <w:t>Secretary</w:t>
            </w:r>
          </w:p>
        </w:tc>
        <w:tc>
          <w:tcPr>
            <w:tcW w:w="1120" w:type="dxa"/>
            <w:vAlign w:val="bottom"/>
          </w:tcPr>
          <w:p>
            <w:pPr>
              <w:jc w:val="right"/>
              <w:ind w:right="165"/>
              <w:spacing w:after="0"/>
              <w:rPr>
                <w:sz w:val="20"/>
                <w:szCs w:val="20"/>
                <w:color w:val="auto"/>
              </w:rPr>
            </w:pPr>
            <w:r>
              <w:rPr>
                <w:rFonts w:ascii="Arial" w:cs="Arial" w:eastAsia="Arial" w:hAnsi="Arial"/>
                <w:sz w:val="15"/>
                <w:szCs w:val="15"/>
                <w:color w:val="auto"/>
              </w:rPr>
              <w:t>NQSP</w:t>
            </w:r>
          </w:p>
        </w:tc>
        <w:tc>
          <w:tcPr>
            <w:tcW w:w="1620" w:type="dxa"/>
            <w:vAlign w:val="bottom"/>
          </w:tcPr>
          <w:p>
            <w:pPr>
              <w:jc w:val="right"/>
              <w:ind w:right="146"/>
              <w:spacing w:after="0"/>
              <w:rPr>
                <w:sz w:val="20"/>
                <w:szCs w:val="20"/>
                <w:color w:val="auto"/>
              </w:rPr>
            </w:pPr>
            <w:r>
              <w:rPr>
                <w:rFonts w:ascii="Arial" w:cs="Arial" w:eastAsia="Arial" w:hAnsi="Arial"/>
                <w:sz w:val="15"/>
                <w:szCs w:val="15"/>
                <w:color w:val="auto"/>
              </w:rPr>
              <w:t>48,717</w:t>
            </w:r>
          </w:p>
        </w:tc>
        <w:tc>
          <w:tcPr>
            <w:tcW w:w="1640" w:type="dxa"/>
            <w:vAlign w:val="bottom"/>
          </w:tcPr>
          <w:p>
            <w:pPr>
              <w:jc w:val="right"/>
              <w:ind w:right="146"/>
              <w:spacing w:after="0"/>
              <w:rPr>
                <w:sz w:val="20"/>
                <w:szCs w:val="20"/>
                <w:color w:val="auto"/>
              </w:rPr>
            </w:pPr>
            <w:r>
              <w:rPr>
                <w:rFonts w:ascii="Arial" w:cs="Arial" w:eastAsia="Arial" w:hAnsi="Arial"/>
                <w:sz w:val="15"/>
                <w:szCs w:val="15"/>
                <w:color w:val="auto"/>
              </w:rPr>
              <w:t>45,552</w:t>
            </w:r>
          </w:p>
        </w:tc>
        <w:tc>
          <w:tcPr>
            <w:tcW w:w="1340" w:type="dxa"/>
            <w:vAlign w:val="bottom"/>
          </w:tcPr>
          <w:p>
            <w:pPr>
              <w:jc w:val="right"/>
              <w:ind w:right="146"/>
              <w:spacing w:after="0"/>
              <w:rPr>
                <w:sz w:val="20"/>
                <w:szCs w:val="20"/>
                <w:color w:val="auto"/>
              </w:rPr>
            </w:pPr>
            <w:r>
              <w:rPr>
                <w:rFonts w:ascii="Arial" w:cs="Arial" w:eastAsia="Arial" w:hAnsi="Arial"/>
                <w:sz w:val="15"/>
                <w:szCs w:val="15"/>
                <w:color w:val="auto"/>
              </w:rPr>
              <w:t>157,092</w:t>
            </w:r>
          </w:p>
        </w:tc>
        <w:tc>
          <w:tcPr>
            <w:tcW w:w="15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1,050,246</w:t>
            </w:r>
          </w:p>
        </w:tc>
      </w:tr>
      <w:tr>
        <w:trPr>
          <w:trHeight w:val="50"/>
        </w:trPr>
        <w:tc>
          <w:tcPr>
            <w:tcW w:w="19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68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right="20" w:hanging="433"/>
        <w:spacing w:after="0" w:line="244" w:lineRule="auto"/>
        <w:tabs>
          <w:tab w:leader="none" w:pos="4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These amounts reflect contributions made by the executive officers from their 2021 salary, which amounts were also included in the salary column for each executive officer in the Summary Compensation Table. Of the amounts disclosed in this column for the Nonqualified Savings Plan, the following contributions are attributable to a portion of the 2020 annual incentive, which was disclosed in the 2020 Summary Compensation Table for all NEOs: Mr. Prising — $38,462; Mr. McGinnis — $16,748; Ms. Nettles — $17,325; and Mr. Buchband — $8,269.</w:t>
      </w:r>
    </w:p>
    <w:p>
      <w:pPr>
        <w:spacing w:after="0" w:line="67" w:lineRule="exact"/>
        <w:rPr>
          <w:rFonts w:ascii="Arial" w:cs="Arial" w:eastAsia="Arial" w:hAnsi="Arial"/>
          <w:sz w:val="14"/>
          <w:szCs w:val="14"/>
          <w:color w:val="auto"/>
        </w:rPr>
      </w:pPr>
    </w:p>
    <w:p>
      <w:pPr>
        <w:ind w:left="440" w:hanging="433"/>
        <w:spacing w:after="0" w:line="244" w:lineRule="auto"/>
        <w:tabs>
          <w:tab w:leader="none" w:pos="4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Of the amounts disclosed in this column for the Nonqualified Savings Plan, the following amounts were previously reported in the Summary Compensation Table in either 2021 or prior to 2021: Mr. Prising — $1,627,449; Mr. McGinnis — $388,870; Ms. Nettles — $65,339 and Mr. Buchband — $328,196.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p>
    <w:p>
      <w:pPr>
        <w:spacing w:after="0" w:line="108" w:lineRule="exact"/>
        <w:rPr>
          <w:sz w:val="20"/>
          <w:szCs w:val="20"/>
          <w:color w:val="auto"/>
        </w:rPr>
      </w:pPr>
    </w:p>
    <w:p>
      <w:pPr>
        <w:ind w:right="80"/>
        <w:spacing w:after="0" w:line="228" w:lineRule="auto"/>
        <w:rPr>
          <w:sz w:val="20"/>
          <w:szCs w:val="20"/>
          <w:color w:val="auto"/>
        </w:rPr>
      </w:pPr>
      <w:r>
        <w:rPr>
          <w:rFonts w:ascii="Arial" w:cs="Arial" w:eastAsia="Arial" w:hAnsi="Arial"/>
          <w:sz w:val="15"/>
          <w:szCs w:val="15"/>
          <w:b w:val="1"/>
          <w:bCs w:val="1"/>
          <w:color w:val="5D89B4"/>
        </w:rPr>
        <w:t xml:space="preserve">Nonqualified Savings Plan. </w:t>
      </w:r>
      <w:r>
        <w:rPr>
          <w:rFonts w:ascii="Arial" w:cs="Arial" w:eastAsia="Arial" w:hAnsi="Arial"/>
          <w:sz w:val="15"/>
          <w:szCs w:val="15"/>
          <w:color w:val="000000"/>
        </w:rPr>
        <w:t>Pursuant to the Nonqualified Savings Plan (the “NQSP Plan”), certain executives, including the NEOs, may defer a portion of their</w:t>
      </w:r>
      <w:r>
        <w:rPr>
          <w:rFonts w:ascii="Arial" w:cs="Arial" w:eastAsia="Arial" w:hAnsi="Arial"/>
          <w:sz w:val="15"/>
          <w:szCs w:val="15"/>
          <w:b w:val="1"/>
          <w:bCs w:val="1"/>
          <w:color w:val="5D89B4"/>
        </w:rPr>
        <w:t xml:space="preserve"> </w:t>
      </w:r>
      <w:r>
        <w:rPr>
          <w:rFonts w:ascii="Arial" w:cs="Arial" w:eastAsia="Arial" w:hAnsi="Arial"/>
          <w:sz w:val="15"/>
          <w:szCs w:val="15"/>
          <w:color w:val="000000"/>
        </w:rPr>
        <w:t>salary and incentive awards. Elections must be made by the executive officers before December 31 of the year prior to the year in which it will be earned. The executive officers are permitted to defer up to 50% of their salary and 50% of their annual incentive under the plan, but the total annual contributions cannot exceed $50,000 per participant. Pursuant to the plan, the executive officers, as well as all other plan participants, may receive a matching contribution of 50% of the deferrals they have made during the year, up to a maximum of 6% of their annual compensation. The NQSP Plan also permits the Company to provide an Enhanced Matching Contribution (“EMC”) to participants. The EMC can range from 0% to 50% on the employee’s first 6% of deferrals from the prior year. The EMC is in addition to the regular 50% match of a participant’s deferrals made (on the first 6% of employee deferrals). In 2021, ManpowerGroup made a 50% EMC match to the NEOs who participated in the plan in 2020. ManpowerGroup’s contributions to a participant’s account under the NQSP Plan (both matching contributions and EMCs) are not fully vested until a participant has at least three years of credited service with ManpowerGroup, with vesting occurring on a pro-rata basis during those three years. All of the NEOs who participate in the plan were fully vested in their matching contributions and EMCs as of December 31, 2021, except Ms. Nettles who joined the Company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56</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8" w:name="page69"/>
    <w:bookmarkEnd w:id="68"/>
    <w:p>
      <w:pPr>
        <w:ind w:left="89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77" w:lineRule="exact"/>
        <w:rPr>
          <w:sz w:val="20"/>
          <w:szCs w:val="20"/>
          <w:color w:val="auto"/>
        </w:rPr>
      </w:pPr>
    </w:p>
    <w:p>
      <w:pPr>
        <w:ind w:right="260"/>
        <w:spacing w:after="0" w:line="232" w:lineRule="auto"/>
        <w:rPr>
          <w:sz w:val="20"/>
          <w:szCs w:val="20"/>
          <w:color w:val="auto"/>
        </w:rPr>
      </w:pPr>
      <w:r>
        <w:rPr>
          <w:rFonts w:ascii="Arial" w:cs="Arial" w:eastAsia="Arial" w:hAnsi="Arial"/>
          <w:sz w:val="15"/>
          <w:szCs w:val="15"/>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4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 OF FUND</w:t>
            </w:r>
          </w:p>
        </w:tc>
        <w:tc>
          <w:tcPr>
            <w:tcW w:w="2460" w:type="dxa"/>
            <w:vAlign w:val="bottom"/>
            <w:tcBorders>
              <w:bottom w:val="single" w:sz="8" w:color="EAEAEA"/>
            </w:tcBorders>
            <w:shd w:val="clear" w:color="auto" w:fill="EAEAEA"/>
          </w:tcPr>
          <w:p>
            <w:pPr>
              <w:jc w:val="right"/>
              <w:ind w:right="424"/>
              <w:spacing w:after="0"/>
              <w:rPr>
                <w:sz w:val="20"/>
                <w:szCs w:val="20"/>
                <w:color w:val="auto"/>
              </w:rPr>
            </w:pPr>
            <w:r>
              <w:rPr>
                <w:rFonts w:ascii="Arial" w:cs="Arial" w:eastAsia="Arial" w:hAnsi="Arial"/>
                <w:sz w:val="14"/>
                <w:szCs w:val="14"/>
                <w:b w:val="1"/>
                <w:bCs w:val="1"/>
                <w:color w:val="5D89B4"/>
              </w:rPr>
              <w:t>ANNUAL RETURN</w:t>
            </w:r>
          </w:p>
        </w:tc>
      </w:tr>
      <w:tr>
        <w:trPr>
          <w:trHeight w:val="24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Chase Bank U.S. Active Core Equity Fund</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28.80%</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Vanguard Total Stock Market Index Fund Institutional Shares</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25.73%</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Hartford International Opportunities Fund</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7.71%</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Eaton Vance Atlanta Capital SMID-Cap Fund</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22.33%</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Vanguard Total International Stock Market Index Fund Institutional Shares</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8.68%</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T. Rowe Price Global Growth Stock Fund</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11.35%</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2020</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6.36%</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2025</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9.07%</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2030</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11.33%</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2035</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14.09%</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2040</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15.94%</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2045</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17.75%</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2050</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17.76%</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2055</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17.81%</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2060</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17.76%</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Income Fund</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6.33%</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Fidelity Short Term Bond</w:t>
            </w:r>
          </w:p>
        </w:tc>
        <w:tc>
          <w:tcPr>
            <w:tcW w:w="2460" w:type="dxa"/>
            <w:vAlign w:val="bottom"/>
          </w:tcPr>
          <w:p>
            <w:pPr>
              <w:jc w:val="right"/>
              <w:ind w:right="244"/>
              <w:spacing w:after="0"/>
              <w:rPr>
                <w:sz w:val="20"/>
                <w:szCs w:val="20"/>
                <w:color w:val="auto"/>
              </w:rPr>
            </w:pPr>
            <w:r>
              <w:rPr>
                <w:rFonts w:ascii="Arial" w:cs="Arial" w:eastAsia="Arial" w:hAnsi="Arial"/>
                <w:sz w:val="15"/>
                <w:szCs w:val="15"/>
                <w:color w:val="auto"/>
              </w:rPr>
              <w:t>(0.73)%</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PGIM Total Return Bond Fund - Class R6</w:t>
            </w:r>
          </w:p>
        </w:tc>
        <w:tc>
          <w:tcPr>
            <w:tcW w:w="2460" w:type="dxa"/>
            <w:vAlign w:val="bottom"/>
          </w:tcPr>
          <w:p>
            <w:pPr>
              <w:jc w:val="right"/>
              <w:ind w:right="244"/>
              <w:spacing w:after="0"/>
              <w:rPr>
                <w:sz w:val="20"/>
                <w:szCs w:val="20"/>
                <w:color w:val="auto"/>
              </w:rPr>
            </w:pPr>
            <w:r>
              <w:rPr>
                <w:rFonts w:ascii="Arial" w:cs="Arial" w:eastAsia="Arial" w:hAnsi="Arial"/>
                <w:sz w:val="15"/>
                <w:szCs w:val="15"/>
                <w:color w:val="auto"/>
              </w:rPr>
              <w:t>(1.15)%</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Vanguard Total Bond Market Index Fund Institutional Shares</w:t>
            </w:r>
          </w:p>
        </w:tc>
        <w:tc>
          <w:tcPr>
            <w:tcW w:w="2460" w:type="dxa"/>
            <w:vAlign w:val="bottom"/>
          </w:tcPr>
          <w:p>
            <w:pPr>
              <w:jc w:val="right"/>
              <w:ind w:right="244"/>
              <w:spacing w:after="0"/>
              <w:rPr>
                <w:sz w:val="20"/>
                <w:szCs w:val="20"/>
                <w:color w:val="auto"/>
              </w:rPr>
            </w:pPr>
            <w:r>
              <w:rPr>
                <w:rFonts w:ascii="Arial" w:cs="Arial" w:eastAsia="Arial" w:hAnsi="Arial"/>
                <w:sz w:val="15"/>
                <w:szCs w:val="15"/>
                <w:color w:val="auto"/>
              </w:rPr>
              <w:t>(1.65)%</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Vanguard Federal Money Market Fund Investor Shares</w:t>
            </w:r>
          </w:p>
        </w:tc>
        <w:tc>
          <w:tcPr>
            <w:tcW w:w="2460" w:type="dxa"/>
            <w:vAlign w:val="bottom"/>
          </w:tcPr>
          <w:p>
            <w:pPr>
              <w:jc w:val="right"/>
              <w:ind w:right="304"/>
              <w:spacing w:after="0"/>
              <w:rPr>
                <w:sz w:val="20"/>
                <w:szCs w:val="20"/>
                <w:color w:val="auto"/>
              </w:rPr>
            </w:pPr>
            <w:r>
              <w:rPr>
                <w:rFonts w:ascii="Arial" w:cs="Arial" w:eastAsia="Arial" w:hAnsi="Arial"/>
                <w:sz w:val="15"/>
                <w:szCs w:val="15"/>
                <w:color w:val="auto"/>
              </w:rPr>
              <w:t>0.01%</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bl>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57</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Termination of Employment and Change of Control Arrangements</w:t>
      </w:r>
    </w:p>
    <w:p>
      <w:pPr>
        <w:spacing w:after="0" w:line="179" w:lineRule="exact"/>
        <w:rPr>
          <w:sz w:val="20"/>
          <w:szCs w:val="20"/>
          <w:color w:val="auto"/>
        </w:rPr>
      </w:pPr>
    </w:p>
    <w:p>
      <w:pPr>
        <w:spacing w:after="0" w:line="225" w:lineRule="auto"/>
        <w:rPr>
          <w:sz w:val="20"/>
          <w:szCs w:val="20"/>
          <w:color w:val="auto"/>
        </w:rPr>
      </w:pPr>
      <w:r>
        <w:rPr>
          <w:rFonts w:ascii="Arial" w:cs="Arial" w:eastAsia="Arial" w:hAnsi="Arial"/>
          <w:sz w:val="15"/>
          <w:szCs w:val="15"/>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The tables following the descriptions of these arrangements illustrate the amount of enhanced benefits the NEOs would receive under all such arrangements if ManpowerGroup terminated their employment on December 31, 2021 for the reasons specified within the tables. None of the tables illustrate the value of any vested benefits payable to the NEOs upon a termination of employment (i.e., vested equity awards, or vested balances accrued under the Nonqualified Savings Plan), nor does any table illustrate the value of any enhanced benefits upon retirement of an NEO who was not eligible for retirement treatment as of December 31, 2021 with respect to any of their unvested benefits. The tables below assume that in a “change of control,” the acquiring or surviving company would have assumed all unvested equity awards.</w:t>
      </w:r>
    </w:p>
    <w:p>
      <w:pPr>
        <w:spacing w:after="0" w:line="115" w:lineRule="exact"/>
        <w:rPr>
          <w:sz w:val="20"/>
          <w:szCs w:val="20"/>
          <w:color w:val="auto"/>
        </w:rPr>
      </w:pPr>
    </w:p>
    <w:p>
      <w:pPr>
        <w:spacing w:after="0" w:line="234" w:lineRule="auto"/>
        <w:rPr>
          <w:sz w:val="20"/>
          <w:szCs w:val="20"/>
          <w:color w:val="auto"/>
        </w:rPr>
      </w:pPr>
      <w:r>
        <w:rPr>
          <w:rFonts w:ascii="Arial" w:cs="Arial" w:eastAsia="Arial" w:hAnsi="Arial"/>
          <w:sz w:val="15"/>
          <w:szCs w:val="15"/>
          <w:b w:val="1"/>
          <w:bCs w:val="1"/>
          <w:color w:val="5D89B4"/>
        </w:rPr>
        <w:t xml:space="preserve">Severance agreements. </w:t>
      </w:r>
      <w:r>
        <w:rPr>
          <w:rFonts w:ascii="Arial" w:cs="Arial" w:eastAsia="Arial" w:hAnsi="Arial"/>
          <w:sz w:val="15"/>
          <w:szCs w:val="15"/>
          <w:color w:val="000000"/>
        </w:rPr>
        <w:t>Under the severance agreements, upon the involuntary termination of the NEO’s employment (other than for cause, as described below)</w:t>
      </w:r>
      <w:r>
        <w:rPr>
          <w:rFonts w:ascii="Arial" w:cs="Arial" w:eastAsia="Arial" w:hAnsi="Arial"/>
          <w:sz w:val="15"/>
          <w:szCs w:val="15"/>
          <w:b w:val="1"/>
          <w:bCs w:val="1"/>
          <w:color w:val="5D89B4"/>
        </w:rPr>
        <w:t xml:space="preserve"> </w:t>
      </w:r>
      <w:r>
        <w:rPr>
          <w:rFonts w:ascii="Arial" w:cs="Arial" w:eastAsia="Arial" w:hAnsi="Arial"/>
          <w:sz w:val="15"/>
          <w:szCs w:val="15"/>
          <w:color w:val="000000"/>
        </w:rPr>
        <w:t>or upon the voluntary termination of employment by the NEO for good reason (as described below), the NEO is entitled to receive a severance payment equal to the sum of the executive’s base salary and annual incentive. The severance payment to the CEO is capped at 2.5 times his base salary in effect at the time of the termination, while the CFO’s severance payment is capped at 2 times his base salary in effect at the time of the termination. There is no cap applicable to the other NEOs.</w:t>
      </w:r>
    </w:p>
    <w:p>
      <w:pPr>
        <w:spacing w:after="0" w:line="113" w:lineRule="exact"/>
        <w:rPr>
          <w:sz w:val="20"/>
          <w:szCs w:val="20"/>
          <w:color w:val="auto"/>
        </w:rPr>
      </w:pPr>
    </w:p>
    <w:p>
      <w:pPr>
        <w:ind w:right="60"/>
        <w:spacing w:after="0" w:line="227" w:lineRule="auto"/>
        <w:rPr>
          <w:sz w:val="20"/>
          <w:szCs w:val="20"/>
          <w:color w:val="auto"/>
        </w:rPr>
      </w:pPr>
      <w:r>
        <w:rPr>
          <w:rFonts w:ascii="Arial" w:cs="Arial" w:eastAsia="Arial" w:hAnsi="Arial"/>
          <w:sz w:val="15"/>
          <w:szCs w:val="15"/>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29" w:lineRule="exact"/>
        <w:rPr>
          <w:sz w:val="20"/>
          <w:szCs w:val="20"/>
          <w:color w:val="auto"/>
        </w:rPr>
      </w:pPr>
    </w:p>
    <w:p>
      <w:pPr>
        <w:ind w:right="20"/>
        <w:spacing w:after="0" w:line="226" w:lineRule="auto"/>
        <w:rPr>
          <w:sz w:val="20"/>
          <w:szCs w:val="20"/>
          <w:color w:val="auto"/>
        </w:rPr>
      </w:pPr>
      <w:r>
        <w:rPr>
          <w:rFonts w:ascii="Arial" w:cs="Arial" w:eastAsia="Arial" w:hAnsi="Arial"/>
          <w:sz w:val="15"/>
          <w:szCs w:val="15"/>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(v) a material reduction in the executive’s target bonus opportunity that is not coupled with a material diminution in the executive’s authority, duties or responsibilities, but that occurs within two years after a change of control, or (vi) a relocation to a new principal office that is in excess of 50 miles from the NEO’s prior principal office.</w:t>
      </w:r>
    </w:p>
    <w:p>
      <w:pPr>
        <w:spacing w:after="0" w:line="128" w:lineRule="exact"/>
        <w:rPr>
          <w:sz w:val="20"/>
          <w:szCs w:val="20"/>
          <w:color w:val="auto"/>
        </w:rPr>
      </w:pPr>
    </w:p>
    <w:p>
      <w:pPr>
        <w:ind w:right="80"/>
        <w:spacing w:after="0" w:line="232" w:lineRule="auto"/>
        <w:rPr>
          <w:sz w:val="20"/>
          <w:szCs w:val="20"/>
          <w:color w:val="auto"/>
        </w:rPr>
      </w:pPr>
      <w:r>
        <w:rPr>
          <w:rFonts w:ascii="Arial" w:cs="Arial" w:eastAsia="Arial" w:hAnsi="Arial"/>
          <w:sz w:val="15"/>
          <w:szCs w:val="15"/>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w:t>
      </w:r>
    </w:p>
    <w:p>
      <w:pPr>
        <w:spacing w:after="0" w:line="115"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Effective as of November 12, 2021, ManpowerGroup entered into new severance agreements with Messrs. McGinnis and Buchband, replacing their prior severance agreements that were scheduled to expire December 12, 2021 and November 8, 2021, respectively. These severance agreements replace their previous severance agreements dated as of December 12, 2018 and November 8, 2018, respectively. The new severance agreements contain terms substantially similar to their prior severance agreements and are set to expire on the first to occur of (1) the date two years after the occurrence of a change of control of ManpowerGroup or (2) November 12, 2024 if no such change of control occurs before 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58</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164" w:right="519" w:bottom="1440" w:gutter="0" w:footer="0" w:header="0"/>
        </w:sectPr>
      </w:pPr>
    </w:p>
    <w:bookmarkStart w:id="70" w:name="page71"/>
    <w:bookmarkEnd w:id="70"/>
    <w:p>
      <w:pPr>
        <w:ind w:left="89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77" w:lineRule="exact"/>
        <w:rPr>
          <w:sz w:val="20"/>
          <w:szCs w:val="20"/>
          <w:color w:val="auto"/>
        </w:rPr>
      </w:pPr>
    </w:p>
    <w:p>
      <w:pPr>
        <w:ind w:right="20"/>
        <w:spacing w:after="0" w:line="226" w:lineRule="auto"/>
        <w:rPr>
          <w:sz w:val="20"/>
          <w:szCs w:val="20"/>
          <w:color w:val="auto"/>
        </w:rPr>
      </w:pPr>
      <w:r>
        <w:rPr>
          <w:rFonts w:ascii="Arial" w:cs="Arial" w:eastAsia="Arial" w:hAnsi="Arial"/>
          <w:sz w:val="15"/>
          <w:szCs w:val="15"/>
          <w:color w:val="auto"/>
        </w:rPr>
        <w:t>Under the severance agreements, upon the NEO’s (i) involuntary termination (other than for cause), (ii) voluntary termination for good reason or (iii) termination due to the death or disability of the NEO, the NEOs are entitled to receive a prorated incentive for the year in which termination occurs.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114" w:lineRule="exact"/>
        <w:rPr>
          <w:sz w:val="20"/>
          <w:szCs w:val="20"/>
          <w:color w:val="auto"/>
        </w:rPr>
      </w:pPr>
    </w:p>
    <w:p>
      <w:pPr>
        <w:ind w:right="80"/>
        <w:spacing w:after="0" w:line="228" w:lineRule="auto"/>
        <w:rPr>
          <w:sz w:val="20"/>
          <w:szCs w:val="20"/>
          <w:color w:val="auto"/>
        </w:rPr>
      </w:pPr>
      <w:r>
        <w:rPr>
          <w:rFonts w:ascii="Arial" w:cs="Arial" w:eastAsia="Arial" w:hAnsi="Arial"/>
          <w:sz w:val="15"/>
          <w:szCs w:val="15"/>
          <w:b w:val="1"/>
          <w:bCs w:val="1"/>
          <w:color w:val="5D89B4"/>
        </w:rPr>
        <w:t xml:space="preserve">Stock options. </w:t>
      </w:r>
      <w:r>
        <w:rPr>
          <w:rFonts w:ascii="Arial" w:cs="Arial" w:eastAsia="Arial" w:hAnsi="Arial"/>
          <w:sz w:val="15"/>
          <w:szCs w:val="15"/>
          <w:color w:val="000000"/>
        </w:rPr>
        <w:t>As of December 31, 2021, each of the NEOs held unvested stock options granted under the 2011 Equity Incentive Plan. Under the terms of the</w:t>
      </w:r>
      <w:r>
        <w:rPr>
          <w:rFonts w:ascii="Arial" w:cs="Arial" w:eastAsia="Arial" w:hAnsi="Arial"/>
          <w:sz w:val="15"/>
          <w:szCs w:val="15"/>
          <w:b w:val="1"/>
          <w:bCs w:val="1"/>
          <w:color w:val="5D89B4"/>
        </w:rPr>
        <w:t xml:space="preserve"> </w:t>
      </w:r>
      <w:r>
        <w:rPr>
          <w:rFonts w:ascii="Arial" w:cs="Arial" w:eastAsia="Arial" w:hAnsi="Arial"/>
          <w:sz w:val="15"/>
          <w:szCs w:val="15"/>
          <w:color w:val="000000"/>
        </w:rPr>
        <w:t>stock option agreements that ManpowerGroup entered into with each of the NEOs, unvested options immediately vest upon the NEO’s death or disability. Furthermore, upon a change of control where the options are converted on a tax-free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of the acquirer’s shares on a tax-free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unvested options also immediately vest upon the NEO’s “retirement.” Here, retirement means the termination of the NEO’s employment on or after age 55 and the NEO has completed 10 years of service with ManpowerGroup. Unvested options are forfeited upon the NEO’s termination of employment for reasons other than death, disability, retirement, or in connection with a change in control.</w:t>
      </w:r>
    </w:p>
    <w:p>
      <w:pPr>
        <w:spacing w:after="0" w:line="110" w:lineRule="exact"/>
        <w:rPr>
          <w:sz w:val="20"/>
          <w:szCs w:val="20"/>
          <w:color w:val="auto"/>
        </w:rPr>
      </w:pPr>
    </w:p>
    <w:p>
      <w:pPr>
        <w:spacing w:after="0" w:line="236" w:lineRule="auto"/>
        <w:rPr>
          <w:sz w:val="20"/>
          <w:szCs w:val="20"/>
          <w:color w:val="auto"/>
        </w:rPr>
      </w:pPr>
      <w:r>
        <w:rPr>
          <w:rFonts w:ascii="Arial" w:cs="Arial" w:eastAsia="Arial" w:hAnsi="Arial"/>
          <w:sz w:val="15"/>
          <w:szCs w:val="15"/>
          <w:b w:val="1"/>
          <w:bCs w:val="1"/>
          <w:color w:val="5D89B4"/>
        </w:rPr>
        <w:t xml:space="preserve">RSUs. </w:t>
      </w:r>
      <w:r>
        <w:rPr>
          <w:rFonts w:ascii="Arial" w:cs="Arial" w:eastAsia="Arial" w:hAnsi="Arial"/>
          <w:sz w:val="15"/>
          <w:szCs w:val="15"/>
          <w:color w:val="000000"/>
        </w:rPr>
        <w:t>As of December 31, 2021, the NEOs held unvested RSUs granted under the 2011 Equity Incentive Plan. A NEO will become fully vested in his or her RSUs</w:t>
      </w:r>
      <w:r>
        <w:rPr>
          <w:rFonts w:ascii="Arial" w:cs="Arial" w:eastAsia="Arial" w:hAnsi="Arial"/>
          <w:sz w:val="15"/>
          <w:szCs w:val="15"/>
          <w:b w:val="1"/>
          <w:bCs w:val="1"/>
          <w:color w:val="5D89B4"/>
        </w:rPr>
        <w:t xml:space="preserve"> </w:t>
      </w:r>
      <w:r>
        <w:rPr>
          <w:rFonts w:ascii="Arial" w:cs="Arial" w:eastAsia="Arial" w:hAnsi="Arial"/>
          <w:sz w:val="15"/>
          <w:szCs w:val="15"/>
          <w:color w:val="000000"/>
        </w:rPr>
        <w:t>upon a termination of employment due to death or disability. All RSUs held by the NEOs will become fully vested upon a termination of employment due to the NEO’s retirement. For these awards, “retirement” generally means the termination of the NEO’s employment on or after age 55 if the NEO has completed 10 years of service with ManpowerGroup. Upon a change of control, the RSUs shall vest according to the same terms as described above for stock options.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RSUs are forfeited upon the NEO’s termination of employment for reasons other than death, disability, retirement, or in connection with a change in control.</w:t>
      </w:r>
    </w:p>
    <w:p>
      <w:pPr>
        <w:spacing w:after="0" w:line="117"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b w:val="1"/>
          <w:bCs w:val="1"/>
          <w:color w:val="5D89B4"/>
        </w:rPr>
        <w:t xml:space="preserve">PSUs. </w:t>
      </w:r>
      <w:r>
        <w:rPr>
          <w:rFonts w:ascii="Arial" w:cs="Arial" w:eastAsia="Arial" w:hAnsi="Arial"/>
          <w:sz w:val="15"/>
          <w:szCs w:val="15"/>
          <w:color w:val="000000"/>
        </w:rPr>
        <w:t>As of December 31, 2021, all NEOs held outstanding PSUs granted under the 2011 Equity Incentive Plan. Generally, under these awards, upon a NEO’s</w:t>
      </w:r>
      <w:r>
        <w:rPr>
          <w:rFonts w:ascii="Arial" w:cs="Arial" w:eastAsia="Arial" w:hAnsi="Arial"/>
          <w:sz w:val="15"/>
          <w:szCs w:val="15"/>
          <w:b w:val="1"/>
          <w:bCs w:val="1"/>
          <w:color w:val="5D89B4"/>
        </w:rPr>
        <w:t xml:space="preserve"> </w:t>
      </w:r>
      <w:r>
        <w:rPr>
          <w:rFonts w:ascii="Arial" w:cs="Arial" w:eastAsia="Arial" w:hAnsi="Arial"/>
          <w:sz w:val="15"/>
          <w:szCs w:val="15"/>
          <w:color w:val="000000"/>
        </w:rPr>
        <w:t>termination of employment due to retirement (here, employment termination after age 55 with 10 years of completed service), the NEO is entitled to receive a pro-rata number of shares based on the actual results at the end of the applicable performance period, prorated based on the time elapsed after the agreement date and during the applicable service periods. No proration will apply under the 2019, 2020 or 2021 award of performance units upon a NEO’s termination of employment due to retirement (here, employment termination after age 55 with 10 years of completed service), if the Committee has approved a succession plan, as recommended by the CEO, for the NEO or with respect to his or her position. PSUs are forfeited upon a termination of employment prior to the end of the performance period for reasons other than death, disability, retirement, or in connection with a change in control.</w:t>
      </w:r>
    </w:p>
    <w:p>
      <w:pPr>
        <w:spacing w:after="0" w:line="131"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Generally, upon the death or disability of a NEO during the performance period, the NEO is entitled to receive the target amount of shares. However, NEOs received a special PSU grant during 2021 with a two-year performance period (the “2021 Special Grant”) that does not vest upon the NEO’s death or disability prior to the end of the performance period. In the event of a change of control of ManpowerGroup, if the NEO’s employment were terminated prior to the end of the vesting period for such awards (either by ManpowerGroup other than for cause or by the NEO for good reason), the NEO generally would be entitled to accelerated vesting of any unpaid PSUs, where the total number of shares payable under the award will be based on an amount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59</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7" w:lineRule="exact"/>
        <w:rPr>
          <w:sz w:val="20"/>
          <w:szCs w:val="20"/>
          <w:color w:val="auto"/>
        </w:rPr>
      </w:pPr>
    </w:p>
    <w:p>
      <w:pPr>
        <w:spacing w:after="0" w:line="236" w:lineRule="auto"/>
        <w:rPr>
          <w:sz w:val="20"/>
          <w:szCs w:val="20"/>
          <w:color w:val="auto"/>
        </w:rPr>
      </w:pPr>
      <w:r>
        <w:rPr>
          <w:rFonts w:ascii="Arial" w:cs="Arial" w:eastAsia="Arial" w:hAnsi="Arial"/>
          <w:sz w:val="15"/>
          <w:szCs w:val="15"/>
          <w:b w:val="1"/>
          <w:bCs w:val="1"/>
          <w:color w:val="5D89B4"/>
        </w:rPr>
        <w:t xml:space="preserve">Annual Incentive Plan. </w:t>
      </w:r>
      <w:r>
        <w:rPr>
          <w:rFonts w:ascii="Arial" w:cs="Arial" w:eastAsia="Arial" w:hAnsi="Arial"/>
          <w:sz w:val="15"/>
          <w:szCs w:val="15"/>
          <w:color w:val="000000"/>
        </w:rPr>
        <w:t>The ManpowerGroup Annual Incentive Plan (the “Annual Incentive Plan”) provides that a bonus will become vested upon retirement. For</w:t>
      </w:r>
      <w:r>
        <w:rPr>
          <w:rFonts w:ascii="Arial" w:cs="Arial" w:eastAsia="Arial" w:hAnsi="Arial"/>
          <w:sz w:val="15"/>
          <w:szCs w:val="15"/>
          <w:b w:val="1"/>
          <w:bCs w:val="1"/>
          <w:color w:val="5D89B4"/>
        </w:rPr>
        <w:t xml:space="preserve"> </w:t>
      </w:r>
      <w:r>
        <w:rPr>
          <w:rFonts w:ascii="Arial" w:cs="Arial" w:eastAsia="Arial" w:hAnsi="Arial"/>
          <w:sz w:val="15"/>
          <w:szCs w:val="15"/>
          <w:color w:val="000000"/>
        </w:rPr>
        <w:t>purposes of this plan, “retirement” means the NEO terminates employment after he or she has (i) reached age 55 and (ii) completed 10 years of service. The amount of the bonus earned for the year of retirement will be based on the actual bonus that would have been earned had the NEO continued employment, but the bonus will be prorated based on the actual number of days the NEO was employed by ManpowerGroup during the year of retirement.</w:t>
      </w:r>
    </w:p>
    <w:p>
      <w:pPr>
        <w:spacing w:after="0" w:line="70" w:lineRule="exact"/>
        <w:rPr>
          <w:sz w:val="20"/>
          <w:szCs w:val="20"/>
          <w:color w:val="auto"/>
        </w:rPr>
      </w:pPr>
    </w:p>
    <w:p>
      <w:pPr>
        <w:spacing w:after="0" w:line="234" w:lineRule="auto"/>
        <w:rPr>
          <w:sz w:val="20"/>
          <w:szCs w:val="20"/>
          <w:color w:val="auto"/>
        </w:rPr>
      </w:pPr>
      <w:r>
        <w:rPr>
          <w:rFonts w:ascii="Arial" w:cs="Arial" w:eastAsia="Arial" w:hAnsi="Arial"/>
          <w:sz w:val="15"/>
          <w:szCs w:val="15"/>
          <w:b w:val="1"/>
          <w:bCs w:val="1"/>
          <w:color w:val="5D89B4"/>
        </w:rPr>
        <w:t xml:space="preserve">Nonqualified Savings Plan. </w:t>
      </w:r>
      <w:r>
        <w:rPr>
          <w:rFonts w:ascii="Arial" w:cs="Arial" w:eastAsia="Arial" w:hAnsi="Arial"/>
          <w:sz w:val="15"/>
          <w:szCs w:val="15"/>
          <w:color w:val="000000"/>
        </w:rPr>
        <w:t>The amount of any unvested benefits under the Nonqualified Savings Plan will become vested upon a participant’s death, disability or</w:t>
      </w:r>
      <w:r>
        <w:rPr>
          <w:rFonts w:ascii="Arial" w:cs="Arial" w:eastAsia="Arial" w:hAnsi="Arial"/>
          <w:sz w:val="15"/>
          <w:szCs w:val="15"/>
          <w:b w:val="1"/>
          <w:bCs w:val="1"/>
          <w:color w:val="5D89B4"/>
        </w:rPr>
        <w:t xml:space="preserve"> </w:t>
      </w:r>
      <w:r>
        <w:rPr>
          <w:rFonts w:ascii="Arial" w:cs="Arial" w:eastAsia="Arial" w:hAnsi="Arial"/>
          <w:sz w:val="15"/>
          <w:szCs w:val="15"/>
          <w:color w:val="000000"/>
        </w:rPr>
        <w:t>retirement. For purposes of this plan, “retirement” means a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other than Ms. Nettles are already fully vested in their benefits under this plan and therefore, only Ms. Nettles would receive any enhanced benefit upon her death, disability 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60</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72" w:name="page73"/>
    <w:bookmarkEnd w:id="72"/>
    <w:p>
      <w:pPr>
        <w:ind w:left="89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Jonas Prising, CEO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60" w:type="dxa"/>
            <w:vAlign w:val="bottom"/>
            <w:shd w:val="clear" w:color="auto" w:fill="EAEAEA"/>
          </w:tcPr>
          <w:p>
            <w:pPr>
              <w:spacing w:after="0"/>
              <w:rPr>
                <w:sz w:val="18"/>
                <w:szCs w:val="18"/>
                <w:color w:val="auto"/>
              </w:rPr>
            </w:pPr>
          </w:p>
        </w:tc>
        <w:tc>
          <w:tcPr>
            <w:tcW w:w="120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INVOLUNTARY</w:t>
            </w:r>
          </w:p>
        </w:tc>
        <w:tc>
          <w:tcPr>
            <w:tcW w:w="132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DOUBLE</w:t>
            </w:r>
          </w:p>
        </w:tc>
        <w:tc>
          <w:tcPr>
            <w:tcW w:w="96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c>
          <w:tcPr>
            <w:tcW w:w="1300" w:type="dxa"/>
            <w:vAlign w:val="bottom"/>
            <w:shd w:val="clear" w:color="auto" w:fill="EAEAEA"/>
          </w:tcPr>
          <w:p>
            <w:pPr>
              <w:spacing w:after="0"/>
              <w:rPr>
                <w:sz w:val="18"/>
                <w:szCs w:val="18"/>
                <w:color w:val="auto"/>
              </w:rPr>
            </w:pPr>
          </w:p>
        </w:tc>
      </w:tr>
      <w:tr>
        <w:trPr>
          <w:trHeight w:val="160"/>
        </w:trPr>
        <w:tc>
          <w:tcPr>
            <w:tcW w:w="2260" w:type="dxa"/>
            <w:vAlign w:val="bottom"/>
            <w:shd w:val="clear" w:color="auto" w:fill="EAEAEA"/>
          </w:tcPr>
          <w:p>
            <w:pPr>
              <w:spacing w:after="0"/>
              <w:rPr>
                <w:sz w:val="13"/>
                <w:szCs w:val="13"/>
                <w:color w:val="auto"/>
              </w:rPr>
            </w:pPr>
          </w:p>
        </w:tc>
        <w:tc>
          <w:tcPr>
            <w:tcW w:w="120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TERMINATION</w:t>
            </w:r>
          </w:p>
        </w:tc>
        <w:tc>
          <w:tcPr>
            <w:tcW w:w="132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TRIGGER</w:t>
            </w:r>
          </w:p>
        </w:tc>
        <w:tc>
          <w:tcPr>
            <w:tcW w:w="96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r>
      <w:tr>
        <w:trPr>
          <w:trHeight w:val="160"/>
        </w:trPr>
        <w:tc>
          <w:tcPr>
            <w:tcW w:w="2260" w:type="dxa"/>
            <w:vAlign w:val="bottom"/>
            <w:shd w:val="clear" w:color="auto" w:fill="EAEAEA"/>
          </w:tcPr>
          <w:p>
            <w:pPr>
              <w:spacing w:after="0"/>
              <w:rPr>
                <w:sz w:val="13"/>
                <w:szCs w:val="13"/>
                <w:color w:val="auto"/>
              </w:rPr>
            </w:pPr>
          </w:p>
        </w:tc>
        <w:tc>
          <w:tcPr>
            <w:tcW w:w="120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OR GOOD</w:t>
            </w:r>
          </w:p>
        </w:tc>
        <w:tc>
          <w:tcPr>
            <w:tcW w:w="132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(COC+</w:t>
            </w:r>
          </w:p>
        </w:tc>
        <w:tc>
          <w:tcPr>
            <w:tcW w:w="96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r>
      <w:tr>
        <w:trPr>
          <w:trHeight w:val="160"/>
        </w:trPr>
        <w:tc>
          <w:tcPr>
            <w:tcW w:w="2260" w:type="dxa"/>
            <w:vAlign w:val="bottom"/>
            <w:shd w:val="clear" w:color="auto" w:fill="EAEAEA"/>
          </w:tcPr>
          <w:p>
            <w:pPr>
              <w:spacing w:after="0"/>
              <w:rPr>
                <w:sz w:val="13"/>
                <w:szCs w:val="13"/>
                <w:color w:val="auto"/>
              </w:rPr>
            </w:pPr>
          </w:p>
        </w:tc>
        <w:tc>
          <w:tcPr>
            <w:tcW w:w="120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REASON – NO</w:t>
            </w:r>
          </w:p>
        </w:tc>
        <w:tc>
          <w:tcPr>
            <w:tcW w:w="132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TERMINATION)</w:t>
            </w:r>
          </w:p>
        </w:tc>
        <w:tc>
          <w:tcPr>
            <w:tcW w:w="960" w:type="dxa"/>
            <w:vAlign w:val="bottom"/>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FOR</w:t>
            </w:r>
          </w:p>
        </w:tc>
        <w:tc>
          <w:tcPr>
            <w:tcW w:w="134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r>
      <w:tr>
        <w:trPr>
          <w:trHeight w:val="234"/>
        </w:trPr>
        <w:tc>
          <w:tcPr>
            <w:tcW w:w="2260" w:type="dxa"/>
            <w:vAlign w:val="bottom"/>
            <w:tcBorders>
              <w:bottom w:val="single" w:sz="8" w:color="EAEAEA"/>
            </w:tcBorders>
            <w:shd w:val="clear" w:color="auto" w:fill="EAEAEA"/>
          </w:tcPr>
          <w:p>
            <w:pPr>
              <w:spacing w:after="0"/>
              <w:rPr>
                <w:sz w:val="20"/>
                <w:szCs w:val="20"/>
                <w:color w:val="auto"/>
              </w:rPr>
            </w:pPr>
          </w:p>
        </w:tc>
        <w:tc>
          <w:tcPr>
            <w:tcW w:w="120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DEATH($)</w:t>
            </w:r>
          </w:p>
        </w:tc>
        <w:tc>
          <w:tcPr>
            <w:tcW w:w="1260" w:type="dxa"/>
            <w:vAlign w:val="bottom"/>
            <w:tcBorders>
              <w:bottom w:val="single" w:sz="8" w:color="EAEAEA"/>
            </w:tcBorders>
            <w:shd w:val="clear" w:color="auto" w:fill="EAEAEA"/>
          </w:tcPr>
          <w:p>
            <w:pPr>
              <w:jc w:val="right"/>
              <w:ind w:right="85"/>
              <w:spacing w:after="0"/>
              <w:rPr>
                <w:sz w:val="20"/>
                <w:szCs w:val="20"/>
                <w:color w:val="auto"/>
              </w:rPr>
            </w:pPr>
            <w:r>
              <w:rPr>
                <w:rFonts w:ascii="Arial" w:cs="Arial" w:eastAsia="Arial" w:hAnsi="Arial"/>
                <w:sz w:val="14"/>
                <w:szCs w:val="14"/>
                <w:b w:val="1"/>
                <w:bCs w:val="1"/>
                <w:color w:val="5D89B4"/>
              </w:rPr>
              <w:t>DISABILITY($)</w:t>
            </w:r>
          </w:p>
        </w:tc>
        <w:tc>
          <w:tcPr>
            <w:tcW w:w="1280" w:type="dxa"/>
            <w:vAlign w:val="bottom"/>
            <w:tcBorders>
              <w:bottom w:val="single" w:sz="8" w:color="EAEAEA"/>
            </w:tcBorders>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COC($)</w:t>
            </w:r>
          </w:p>
        </w:tc>
        <w:tc>
          <w:tcPr>
            <w:tcW w:w="1320" w:type="dxa"/>
            <w:vAlign w:val="bottom"/>
            <w:tcBorders>
              <w:bottom w:val="single" w:sz="8" w:color="EAEAEA"/>
            </w:tcBorders>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($)(2)</w:t>
            </w:r>
          </w:p>
        </w:tc>
        <w:tc>
          <w:tcPr>
            <w:tcW w:w="96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CAUSE($)</w:t>
            </w:r>
          </w:p>
        </w:tc>
        <w:tc>
          <w:tcPr>
            <w:tcW w:w="134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VOLUNTARY($)</w:t>
            </w:r>
          </w:p>
        </w:tc>
        <w:tc>
          <w:tcPr>
            <w:tcW w:w="13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RETIREMENT($)</w:t>
            </w:r>
          </w:p>
        </w:tc>
      </w:tr>
      <w:tr>
        <w:trPr>
          <w:trHeight w:val="24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3,125,000</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9,750,000</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2,000,000</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2,000,000</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3,400,000</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2,000,000</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3,475,000</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1,461,623</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1,461,623</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1,461,623</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1,461,623</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19,011,664</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19,011,664</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20,853,731</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12,439,845</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6,679,953</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6,679,953</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6,679,953</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6,679,953</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28,371</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43,379</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29,153,240</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29,153,240</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6,553,371</w:t>
            </w:r>
          </w:p>
        </w:tc>
        <w:tc>
          <w:tcPr>
            <w:tcW w:w="1320" w:type="dxa"/>
            <w:vAlign w:val="bottom"/>
          </w:tcPr>
          <w:p>
            <w:pPr>
              <w:jc w:val="right"/>
              <w:ind w:right="66"/>
              <w:spacing w:after="0"/>
              <w:rPr>
                <w:sz w:val="20"/>
                <w:szCs w:val="20"/>
                <w:color w:val="auto"/>
              </w:rPr>
            </w:pPr>
            <w:r>
              <w:rPr>
                <w:rFonts w:ascii="Arial" w:cs="Arial" w:eastAsia="Arial" w:hAnsi="Arial"/>
                <w:sz w:val="15"/>
                <w:szCs w:val="15"/>
                <w:color w:val="auto"/>
              </w:rPr>
              <w:t>40,788,686</w:t>
            </w:r>
          </w:p>
        </w:tc>
        <w:tc>
          <w:tcPr>
            <w:tcW w:w="9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24,056,421</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line="254"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term of Mr. Prising’s severance agreement expires on February 14, 2023. As of December 31, 2021, Mr. Prising was eligible for retirement treatment under certain of his outstanding awards.</w:t>
      </w:r>
    </w:p>
    <w:p>
      <w:pPr>
        <w:spacing w:after="0" w:line="60" w:lineRule="exact"/>
        <w:rPr>
          <w:rFonts w:ascii="Arial" w:cs="Arial" w:eastAsia="Arial" w:hAnsi="Arial"/>
          <w:sz w:val="14"/>
          <w:szCs w:val="14"/>
          <w:color w:val="auto"/>
        </w:rPr>
      </w:pPr>
    </w:p>
    <w:p>
      <w:pPr>
        <w:ind w:left="440" w:right="360" w:hanging="433"/>
        <w:spacing w:after="0" w:line="254"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60" w:lineRule="exact"/>
        <w:rPr>
          <w:rFonts w:ascii="Arial" w:cs="Arial" w:eastAsia="Arial" w:hAnsi="Arial"/>
          <w:sz w:val="14"/>
          <w:szCs w:val="14"/>
          <w:color w:val="auto"/>
        </w:rPr>
      </w:pPr>
    </w:p>
    <w:p>
      <w:pPr>
        <w:ind w:left="440" w:right="160" w:hanging="433"/>
        <w:spacing w:after="0" w:line="244"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amount of the severance payment under Mr. Prising’s severance agreement is equal to the sum of his annual base salary at the highest rate in effect during the terms of the agreement (here, $1,250,000) and his target bonus for the year of the termination (here, $2,000,000). In the case of his involuntary termination (other than for cause) or voluntary termination for good reason, the severance payment is limited to a maximum of 2.5 times Mr. Prising’s annual base salary. In a double-trigger scenario, the amount of his severance payment is multiplied by three.</w:t>
      </w:r>
    </w:p>
    <w:p>
      <w:pPr>
        <w:spacing w:after="0" w:line="67" w:lineRule="exact"/>
        <w:rPr>
          <w:rFonts w:ascii="Arial" w:cs="Arial" w:eastAsia="Arial" w:hAnsi="Arial"/>
          <w:sz w:val="14"/>
          <w:szCs w:val="14"/>
          <w:color w:val="auto"/>
        </w:rPr>
      </w:pPr>
    </w:p>
    <w:p>
      <w:pPr>
        <w:ind w:left="440" w:right="60" w:hanging="433"/>
        <w:spacing w:after="0" w:line="241"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Mr. Prising under his severance agreement is based on the actual incentive earned for 2021 for the financial objectives and the target amount for the operating objectives. In the event of death, disability, or certain terminations following a change of control, the prorated incentive is based on the target incentive for the year of termination. In the event of retirement, the prorated incentive is based on the actual incentive earned for 2021. No proration has been applied here as this table illustrates the effect of such a termination on December 31, 2021, immediately before the incentive was earned, so as not to understate the potential value of the benefit upon the applicable termination of employment. Note that an incentive amount has also been reported as 2021 compensation for Mr. Prising in the Summary Compensation Table, as well as in the Grants of Plan-Based Awards Table.</w:t>
      </w:r>
    </w:p>
    <w:p>
      <w:pPr>
        <w:spacing w:after="0" w:line="71" w:lineRule="exact"/>
        <w:rPr>
          <w:rFonts w:ascii="Arial" w:cs="Arial" w:eastAsia="Arial" w:hAnsi="Arial"/>
          <w:sz w:val="14"/>
          <w:szCs w:val="14"/>
          <w:color w:val="auto"/>
        </w:rPr>
      </w:pPr>
    </w:p>
    <w:p>
      <w:pPr>
        <w:ind w:left="440" w:right="240" w:hanging="433"/>
        <w:spacing w:after="0" w:line="254"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2021 ($97.33) and the exercise price of each unvested stock option held by Mr. Prising on such date.</w:t>
      </w:r>
    </w:p>
    <w:p>
      <w:pPr>
        <w:spacing w:after="0" w:line="60" w:lineRule="exact"/>
        <w:rPr>
          <w:rFonts w:ascii="Arial" w:cs="Arial" w:eastAsia="Arial" w:hAnsi="Arial"/>
          <w:sz w:val="14"/>
          <w:szCs w:val="14"/>
          <w:color w:val="auto"/>
        </w:rPr>
      </w:pPr>
    </w:p>
    <w:p>
      <w:pPr>
        <w:ind w:left="440" w:right="60" w:hanging="433"/>
        <w:spacing w:after="0" w:line="241"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(2019, 2020 and 2021 grants) using the closing stock price on December 31, 2021 ($97.33). In the case of a change of control, the payout is shown based on the number of shares earned based on actual performance for the 2019 award and assuming the Committee would determine the amount of shares earned relating to the 2020 and 2021 awards will equal the target award. In the case of a death or disability, the payout is shown based on the target awards for 2019, 2020 and 2021 (excluding the 2021 Special Grant). In the case of retirement, the prorated award payout is shown based on the number of shares earned based on actual performance for the 2019 award and assuming actual performance for the 2020 and 2021 awards at the target level, where the 2020 and 2021 awards are prorated based on the number of months of the performance period completed as of December 31, 2021. A full payout would only be applicable in the case of a retirement where the Committee had approved a succession plan and no such succession plan was approved for Mr. Prising as of the date hereof.</w:t>
      </w:r>
    </w:p>
    <w:p>
      <w:pPr>
        <w:spacing w:after="0" w:line="70" w:lineRule="exact"/>
        <w:rPr>
          <w:rFonts w:ascii="Arial" w:cs="Arial" w:eastAsia="Arial" w:hAnsi="Arial"/>
          <w:sz w:val="14"/>
          <w:szCs w:val="14"/>
          <w:color w:val="auto"/>
        </w:rPr>
      </w:pPr>
    </w:p>
    <w:p>
      <w:pPr>
        <w:ind w:left="440" w:right="140" w:hanging="433"/>
        <w:spacing w:after="0" w:line="254"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value of any unvested RSUs is illustrated here by measuring the value of the number of shares payable under unvested awards using the closing stock price on December 31, 2021 ($97.33).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61</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John T. McGinnis, CFO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6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440" w:type="dxa"/>
            <w:vAlign w:val="bottom"/>
            <w:shd w:val="clear" w:color="auto" w:fill="EAEAEA"/>
          </w:tcPr>
          <w:p>
            <w:pPr>
              <w:spacing w:after="0"/>
              <w:rPr>
                <w:sz w:val="18"/>
                <w:szCs w:val="18"/>
                <w:color w:val="auto"/>
              </w:rPr>
            </w:pPr>
          </w:p>
        </w:tc>
        <w:tc>
          <w:tcPr>
            <w:tcW w:w="14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INVOLUNTARY</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DOUBLE</w:t>
            </w:r>
          </w:p>
        </w:tc>
        <w:tc>
          <w:tcPr>
            <w:tcW w:w="114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r>
      <w:tr>
        <w:trPr>
          <w:trHeight w:val="160"/>
        </w:trPr>
        <w:tc>
          <w:tcPr>
            <w:tcW w:w="266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TERMINATION</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TRIGGER</w:t>
            </w:r>
          </w:p>
        </w:tc>
        <w:tc>
          <w:tcPr>
            <w:tcW w:w="114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66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OR GOOD</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(COC+</w:t>
            </w:r>
          </w:p>
        </w:tc>
        <w:tc>
          <w:tcPr>
            <w:tcW w:w="114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66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REASON –</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TERMINATION)</w:t>
            </w:r>
          </w:p>
        </w:tc>
        <w:tc>
          <w:tcPr>
            <w:tcW w:w="1140" w:type="dxa"/>
            <w:vAlign w:val="bottom"/>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FOR</w:t>
            </w:r>
          </w:p>
        </w:tc>
        <w:tc>
          <w:tcPr>
            <w:tcW w:w="1340" w:type="dxa"/>
            <w:vAlign w:val="bottom"/>
            <w:shd w:val="clear" w:color="auto" w:fill="EAEAEA"/>
          </w:tcPr>
          <w:p>
            <w:pPr>
              <w:spacing w:after="0"/>
              <w:rPr>
                <w:sz w:val="13"/>
                <w:szCs w:val="13"/>
                <w:color w:val="auto"/>
              </w:rPr>
            </w:pPr>
          </w:p>
        </w:tc>
      </w:tr>
      <w:tr>
        <w:trPr>
          <w:trHeight w:val="234"/>
        </w:trPr>
        <w:tc>
          <w:tcPr>
            <w:tcW w:w="2660" w:type="dxa"/>
            <w:vAlign w:val="bottom"/>
            <w:tcBorders>
              <w:bottom w:val="single" w:sz="8" w:color="EAEAEA"/>
            </w:tcBorders>
            <w:shd w:val="clear" w:color="auto" w:fill="EAEAEA"/>
          </w:tcPr>
          <w:p>
            <w:pPr>
              <w:spacing w:after="0"/>
              <w:rPr>
                <w:sz w:val="20"/>
                <w:szCs w:val="20"/>
                <w:color w:val="auto"/>
              </w:rPr>
            </w:pPr>
          </w:p>
        </w:tc>
        <w:tc>
          <w:tcPr>
            <w:tcW w:w="136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DEATH($)</w:t>
            </w:r>
          </w:p>
        </w:tc>
        <w:tc>
          <w:tcPr>
            <w:tcW w:w="144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DISABILITY($)</w:t>
            </w:r>
          </w:p>
        </w:tc>
        <w:tc>
          <w:tcPr>
            <w:tcW w:w="148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NO COC($)</w:t>
            </w:r>
          </w:p>
        </w:tc>
        <w:tc>
          <w:tcPr>
            <w:tcW w:w="150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($)(2)</w:t>
            </w:r>
          </w:p>
        </w:tc>
        <w:tc>
          <w:tcPr>
            <w:tcW w:w="114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CAUSE($)</w:t>
            </w:r>
          </w:p>
        </w:tc>
        <w:tc>
          <w:tcPr>
            <w:tcW w:w="1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r>
      <w:tr>
        <w:trPr>
          <w:trHeight w:val="24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1,493,500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4,704,525</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821,425</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821,425</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1,396,423</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821,425</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422,170</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422,170</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422,170</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5,548,005</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5,548,005</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6,158,264</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1,947,963</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1,947,963</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1,947,963</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26,778</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40,945</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25,000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25,000</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8,739,563</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8,739,563</w:t>
            </w:r>
          </w:p>
        </w:tc>
        <w:tc>
          <w:tcPr>
            <w:tcW w:w="1480" w:type="dxa"/>
            <w:vAlign w:val="bottom"/>
          </w:tcPr>
          <w:p>
            <w:pPr>
              <w:jc w:val="right"/>
              <w:ind w:right="166"/>
              <w:spacing w:after="0"/>
              <w:rPr>
                <w:sz w:val="20"/>
                <w:szCs w:val="20"/>
                <w:color w:val="auto"/>
              </w:rPr>
            </w:pPr>
            <w:r>
              <w:rPr>
                <w:rFonts w:ascii="Arial" w:cs="Arial" w:eastAsia="Arial" w:hAnsi="Arial"/>
                <w:sz w:val="15"/>
                <w:szCs w:val="15"/>
                <w:color w:val="auto"/>
              </w:rPr>
              <w:t>2,941,701</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14,120,292</w:t>
            </w:r>
          </w:p>
        </w:tc>
        <w:tc>
          <w:tcPr>
            <w:tcW w:w="11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66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right="280" w:hanging="433"/>
        <w:spacing w:after="0" w:line="246" w:lineRule="auto"/>
        <w:tabs>
          <w:tab w:leader="none" w:pos="4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On November 12, 2021 ManpowerGroup Entered into a severance agreement with Mr. McGinnis that replaced his previous agreement, which was scheduled to expire on December 12, 2021. The term of Mr. McGinnis’s severance agreement expires on November 12, 2024. As of December 31, 2021, Mr. McGinnis was not eligible for retirement treatment.</w:t>
      </w:r>
    </w:p>
    <w:p>
      <w:pPr>
        <w:spacing w:after="0" w:line="66" w:lineRule="exact"/>
        <w:rPr>
          <w:rFonts w:ascii="Arial" w:cs="Arial" w:eastAsia="Arial" w:hAnsi="Arial"/>
          <w:sz w:val="14"/>
          <w:szCs w:val="14"/>
          <w:color w:val="auto"/>
        </w:rPr>
      </w:pPr>
    </w:p>
    <w:p>
      <w:pPr>
        <w:ind w:left="440" w:right="360" w:hanging="433"/>
        <w:spacing w:after="0" w:line="254" w:lineRule="auto"/>
        <w:tabs>
          <w:tab w:leader="none" w:pos="4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60" w:lineRule="exact"/>
        <w:rPr>
          <w:rFonts w:ascii="Arial" w:cs="Arial" w:eastAsia="Arial" w:hAnsi="Arial"/>
          <w:sz w:val="14"/>
          <w:szCs w:val="14"/>
          <w:color w:val="auto"/>
        </w:rPr>
      </w:pPr>
    </w:p>
    <w:p>
      <w:pPr>
        <w:ind w:left="440" w:right="240" w:hanging="433"/>
        <w:spacing w:after="0" w:line="244" w:lineRule="auto"/>
        <w:tabs>
          <w:tab w:leader="none" w:pos="4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amount of the severance payment under Mr. McGinnis’s severance agreement is equal to his annual base salary at the highest rate in effect during the term of the agreement (here, $746,750) and his target annual incentive for the fiscal year in which the termination occurs (here, $821,425). In the case of his involuntary termination (other than for cause) or voluntary termination for good reason, the severance payment is limited to a maximum of 2 times Mr. McGinnis’ annual base salary. In a double-trigger scenario, the amount of his severance payment is multiplied by three.</w:t>
      </w:r>
    </w:p>
    <w:p>
      <w:pPr>
        <w:spacing w:after="0" w:line="67" w:lineRule="exact"/>
        <w:rPr>
          <w:rFonts w:ascii="Arial" w:cs="Arial" w:eastAsia="Arial" w:hAnsi="Arial"/>
          <w:sz w:val="14"/>
          <w:szCs w:val="14"/>
          <w:color w:val="auto"/>
        </w:rPr>
      </w:pPr>
    </w:p>
    <w:p>
      <w:pPr>
        <w:ind w:left="440" w:right="20" w:hanging="433"/>
        <w:spacing w:after="0" w:line="242" w:lineRule="auto"/>
        <w:tabs>
          <w:tab w:leader="none" w:pos="4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2021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2021, immediately before the incentive was earned, so as not to understate the potential value of the benefit upon the applicable termination of employment. Note that an incentive amount has also been reported as 2021 compensation for him in the Summary Compensation Table, as well as in the Grants of Plan-Based Awards Table.</w:t>
      </w:r>
    </w:p>
    <w:p>
      <w:pPr>
        <w:spacing w:after="0" w:line="69" w:lineRule="exact"/>
        <w:rPr>
          <w:rFonts w:ascii="Arial" w:cs="Arial" w:eastAsia="Arial" w:hAnsi="Arial"/>
          <w:sz w:val="14"/>
          <w:szCs w:val="14"/>
          <w:color w:val="auto"/>
        </w:rPr>
      </w:pPr>
    </w:p>
    <w:p>
      <w:pPr>
        <w:ind w:left="440" w:right="240" w:hanging="433"/>
        <w:spacing w:after="0" w:line="254" w:lineRule="auto"/>
        <w:tabs>
          <w:tab w:leader="none" w:pos="4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2021 ($97.33) and the exercise price of each unvested stock option held by Mr. McGinnis on such date.</w:t>
      </w:r>
    </w:p>
    <w:p>
      <w:pPr>
        <w:spacing w:after="0" w:line="60" w:lineRule="exact"/>
        <w:rPr>
          <w:rFonts w:ascii="Arial" w:cs="Arial" w:eastAsia="Arial" w:hAnsi="Arial"/>
          <w:sz w:val="14"/>
          <w:szCs w:val="14"/>
          <w:color w:val="auto"/>
        </w:rPr>
      </w:pPr>
    </w:p>
    <w:p>
      <w:pPr>
        <w:ind w:left="440" w:right="200" w:hanging="433"/>
        <w:spacing w:after="0" w:line="244" w:lineRule="auto"/>
        <w:tabs>
          <w:tab w:leader="none" w:pos="4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(2019, 2020 and 2021 grants) using the closing stock price on December 31, 2021 ($97.33). In the case of a change of control, the payout is shown based on the number of shares earned based on actual performance for the 2019 award and assuming the Committee would determine the number of shares earned relating to the 2020 and 2021 awards will equal the target award. In the case of a death or disability, the payout is shown based on the target awards for 2019, 2020 and 2021 (excluding the 2021 Special Grant).</w:t>
      </w:r>
    </w:p>
    <w:p>
      <w:pPr>
        <w:spacing w:after="0" w:line="67" w:lineRule="exact"/>
        <w:rPr>
          <w:rFonts w:ascii="Arial" w:cs="Arial" w:eastAsia="Arial" w:hAnsi="Arial"/>
          <w:sz w:val="14"/>
          <w:szCs w:val="14"/>
          <w:color w:val="auto"/>
        </w:rPr>
      </w:pPr>
    </w:p>
    <w:p>
      <w:pPr>
        <w:ind w:left="440" w:right="60" w:hanging="433"/>
        <w:spacing w:after="0" w:line="254" w:lineRule="auto"/>
        <w:tabs>
          <w:tab w:leader="none" w:pos="4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2021 ($97.33).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62</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74" w:name="page75"/>
    <w:bookmarkEnd w:id="74"/>
    <w:p>
      <w:pPr>
        <w:ind w:left="894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Michelle S. Nettles, Chief People &amp; Culture Officer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0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44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INVOLUNTARY</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DOUBLE</w:t>
            </w:r>
          </w:p>
        </w:tc>
        <w:tc>
          <w:tcPr>
            <w:tcW w:w="112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TERMINATION</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TRIGGER</w:t>
            </w:r>
          </w:p>
        </w:tc>
        <w:tc>
          <w:tcPr>
            <w:tcW w:w="112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OR GOOD</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(COC+</w:t>
            </w:r>
          </w:p>
        </w:tc>
        <w:tc>
          <w:tcPr>
            <w:tcW w:w="112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REASON –</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TERMINATION)</w:t>
            </w:r>
          </w:p>
        </w:tc>
        <w:tc>
          <w:tcPr>
            <w:tcW w:w="1120" w:type="dxa"/>
            <w:vAlign w:val="bottom"/>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FOR</w:t>
            </w:r>
          </w:p>
        </w:tc>
        <w:tc>
          <w:tcPr>
            <w:tcW w:w="1340" w:type="dxa"/>
            <w:vAlign w:val="bottom"/>
            <w:shd w:val="clear" w:color="auto" w:fill="EAEAEA"/>
          </w:tcPr>
          <w:p>
            <w:pPr>
              <w:spacing w:after="0"/>
              <w:rPr>
                <w:sz w:val="13"/>
                <w:szCs w:val="13"/>
                <w:color w:val="auto"/>
              </w:rPr>
            </w:pPr>
          </w:p>
        </w:tc>
      </w:tr>
      <w:tr>
        <w:trPr>
          <w:trHeight w:val="234"/>
        </w:trPr>
        <w:tc>
          <w:tcPr>
            <w:tcW w:w="2700" w:type="dxa"/>
            <w:vAlign w:val="bottom"/>
            <w:tcBorders>
              <w:bottom w:val="single" w:sz="8" w:color="EAEAEA"/>
            </w:tcBorders>
            <w:shd w:val="clear" w:color="auto" w:fill="EAEAEA"/>
          </w:tcPr>
          <w:p>
            <w:pPr>
              <w:spacing w:after="0"/>
              <w:rPr>
                <w:sz w:val="20"/>
                <w:szCs w:val="20"/>
                <w:color w:val="auto"/>
              </w:rPr>
            </w:pPr>
          </w:p>
        </w:tc>
        <w:tc>
          <w:tcPr>
            <w:tcW w:w="136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DEATH($)</w:t>
            </w:r>
          </w:p>
        </w:tc>
        <w:tc>
          <w:tcPr>
            <w:tcW w:w="144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DISABILITY($)</w:t>
            </w:r>
          </w:p>
        </w:tc>
        <w:tc>
          <w:tcPr>
            <w:tcW w:w="1460" w:type="dxa"/>
            <w:vAlign w:val="bottom"/>
            <w:tcBorders>
              <w:bottom w:val="single" w:sz="8" w:color="EAEAEA"/>
            </w:tcBorders>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NO COC($)</w:t>
            </w:r>
          </w:p>
        </w:tc>
        <w:tc>
          <w:tcPr>
            <w:tcW w:w="150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($)(2)</w:t>
            </w:r>
          </w:p>
        </w:tc>
        <w:tc>
          <w:tcPr>
            <w:tcW w:w="112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CAUSE($)</w:t>
            </w:r>
          </w:p>
        </w:tc>
        <w:tc>
          <w:tcPr>
            <w:tcW w:w="1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r>
      <w:tr>
        <w:trPr>
          <w:trHeight w:val="24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991,375</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1,982,750</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424,875</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424,875</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722,288</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424,875</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154,967</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154,967</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154,967</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1,958,085</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1,958,085</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2,121,307</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1,316,291</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1,316,291</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1,316,291</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20,177</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31,207</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25,000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25,000</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Nonqualified Savings Plan</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5,780</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5,780</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3,859,998</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3,859,998</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1,758,840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6,056,397</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term of Ms. Nettles’ severance agreement expires on August 14, 2022. As of December 31, 2021, Ms. Nettles was not eligible for retirement treatment.</w:t>
      </w:r>
    </w:p>
    <w:p>
      <w:pPr>
        <w:spacing w:after="0" w:line="79" w:lineRule="exact"/>
        <w:rPr>
          <w:rFonts w:ascii="Arial" w:cs="Arial" w:eastAsia="Arial" w:hAnsi="Arial"/>
          <w:sz w:val="14"/>
          <w:szCs w:val="14"/>
          <w:color w:val="auto"/>
        </w:rPr>
      </w:pPr>
    </w:p>
    <w:p>
      <w:pPr>
        <w:ind w:left="440" w:right="360" w:hanging="433"/>
        <w:spacing w:after="0" w:line="254" w:lineRule="auto"/>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60" w:lineRule="exact"/>
        <w:rPr>
          <w:rFonts w:ascii="Arial" w:cs="Arial" w:eastAsia="Arial" w:hAnsi="Arial"/>
          <w:sz w:val="14"/>
          <w:szCs w:val="14"/>
          <w:color w:val="auto"/>
        </w:rPr>
      </w:pPr>
    </w:p>
    <w:p>
      <w:pPr>
        <w:ind w:left="440" w:right="160" w:hanging="433"/>
        <w:spacing w:after="0" w:line="246" w:lineRule="auto"/>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amount of the severance payment under Ms. Nettles’ severance agreement is equal to her annual base salary at the highest rate in effect during the term of the agreement (here, $565,000) and her target annual incentive for the fiscal year in which the termination occurs (here, $424,875). In a double-trigger scenario, the amount of her severance payment is multiplied by two.</w:t>
      </w:r>
    </w:p>
    <w:p>
      <w:pPr>
        <w:spacing w:after="0" w:line="66" w:lineRule="exact"/>
        <w:rPr>
          <w:rFonts w:ascii="Arial" w:cs="Arial" w:eastAsia="Arial" w:hAnsi="Arial"/>
          <w:sz w:val="14"/>
          <w:szCs w:val="14"/>
          <w:color w:val="auto"/>
        </w:rPr>
      </w:pPr>
    </w:p>
    <w:p>
      <w:pPr>
        <w:ind w:left="440" w:right="100" w:hanging="433"/>
        <w:spacing w:after="0" w:line="242" w:lineRule="auto"/>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 the case of her involuntary termination (other than for cause) or voluntary termination for good reason, the amount of the prorated incentive payable to her under her severance agreement is based on the actual incentive earned for 2021 for the financial objectives and the target amount for the operating objectives. In the event of death, disability, or certain terminations following a change of control, the prorated incentive payable to her under her severance agreement is based on the target incentive for the year of termination. No proration has been applied here as this table illustrates the effect of such a termination on December 31, 2021, immediately before the incentive was earned, so as not to understate the potential value of the benefit upon the applicable termination of employment. Note that an incentive amount has also been reported as 2021 compensation for her in the Summary Compensation Table, as well as in the Grants of Plan-Based Awards Table.</w:t>
      </w:r>
    </w:p>
    <w:p>
      <w:pPr>
        <w:spacing w:after="0" w:line="69" w:lineRule="exact"/>
        <w:rPr>
          <w:rFonts w:ascii="Arial" w:cs="Arial" w:eastAsia="Arial" w:hAnsi="Arial"/>
          <w:sz w:val="14"/>
          <w:szCs w:val="14"/>
          <w:color w:val="auto"/>
        </w:rPr>
      </w:pPr>
    </w:p>
    <w:p>
      <w:pPr>
        <w:ind w:left="440" w:right="240" w:hanging="433"/>
        <w:spacing w:after="0" w:line="254" w:lineRule="auto"/>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2021 ($97.33) and the exercise price of each unvested stock option held by Ms. Nettles on December 31, 2021.</w:t>
      </w:r>
    </w:p>
    <w:p>
      <w:pPr>
        <w:spacing w:after="0" w:line="60" w:lineRule="exact"/>
        <w:rPr>
          <w:rFonts w:ascii="Arial" w:cs="Arial" w:eastAsia="Arial" w:hAnsi="Arial"/>
          <w:sz w:val="14"/>
          <w:szCs w:val="14"/>
          <w:color w:val="auto"/>
        </w:rPr>
      </w:pPr>
    </w:p>
    <w:p>
      <w:pPr>
        <w:ind w:left="440" w:right="200" w:hanging="433"/>
        <w:spacing w:after="0" w:line="244" w:lineRule="auto"/>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(2019, 2021 and 2021 grants) using the closing stock price on December 31, 2021 ($97.33). In the case of a change of control, the payout is shown based on the number of shares earned based on actual performance for the 2019 award and assuming the Committee would determine the number of shares earned relating to the 2020 and 2021 awards will equal the target award. In the case of a death or disability, the payout is shown based on the target awards for 2019, 2020 and 2021 (excluding the 2021 Special Grant).</w:t>
      </w:r>
    </w:p>
    <w:p>
      <w:pPr>
        <w:spacing w:after="0" w:line="59" w:lineRule="exact"/>
        <w:rPr>
          <w:rFonts w:ascii="Arial" w:cs="Arial" w:eastAsia="Arial" w:hAnsi="Arial"/>
          <w:sz w:val="14"/>
          <w:szCs w:val="14"/>
          <w:color w:val="auto"/>
        </w:rPr>
      </w:pPr>
    </w:p>
    <w:p>
      <w:pPr>
        <w:ind w:left="440" w:hanging="433"/>
        <w:spacing w:after="0" w:line="237" w:lineRule="auto"/>
        <w:tabs>
          <w:tab w:leader="none" w:pos="4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value of any unvested restricted stock units is illustrated here by measuring the value of the number of shares payable under unvested awards using the closing stock price on December 31, 2021 ($97.33).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63</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Richard Buchband, SVP, General Counsel and Secretary (1)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0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44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INVOLUNTARY</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DOUBLE</w:t>
            </w:r>
          </w:p>
        </w:tc>
        <w:tc>
          <w:tcPr>
            <w:tcW w:w="112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TERMINATION</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TRIGGER</w:t>
            </w:r>
          </w:p>
        </w:tc>
        <w:tc>
          <w:tcPr>
            <w:tcW w:w="112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OR GOOD</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(COC+</w:t>
            </w:r>
          </w:p>
        </w:tc>
        <w:tc>
          <w:tcPr>
            <w:tcW w:w="112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r>
      <w:tr>
        <w:trPr>
          <w:trHeight w:val="160"/>
        </w:trPr>
        <w:tc>
          <w:tcPr>
            <w:tcW w:w="2700" w:type="dxa"/>
            <w:vAlign w:val="bottom"/>
            <w:shd w:val="clear" w:color="auto" w:fill="EAEAEA"/>
          </w:tcPr>
          <w:p>
            <w:pPr>
              <w:spacing w:after="0"/>
              <w:rPr>
                <w:sz w:val="13"/>
                <w:szCs w:val="13"/>
                <w:color w:val="auto"/>
              </w:rPr>
            </w:pPr>
          </w:p>
        </w:tc>
        <w:tc>
          <w:tcPr>
            <w:tcW w:w="1360" w:type="dxa"/>
            <w:vAlign w:val="bottom"/>
            <w:shd w:val="clear" w:color="auto" w:fill="EAEAEA"/>
          </w:tcPr>
          <w:p>
            <w:pPr>
              <w:spacing w:after="0"/>
              <w:rPr>
                <w:sz w:val="13"/>
                <w:szCs w:val="13"/>
                <w:color w:val="auto"/>
              </w:rPr>
            </w:pPr>
          </w:p>
        </w:tc>
        <w:tc>
          <w:tcPr>
            <w:tcW w:w="1440" w:type="dxa"/>
            <w:vAlign w:val="bottom"/>
            <w:shd w:val="clear" w:color="auto" w:fill="EAEAEA"/>
          </w:tcPr>
          <w:p>
            <w:pPr>
              <w:spacing w:after="0"/>
              <w:rPr>
                <w:sz w:val="13"/>
                <w:szCs w:val="13"/>
                <w:color w:val="auto"/>
              </w:rPr>
            </w:pP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REASON –</w:t>
            </w:r>
          </w:p>
        </w:tc>
        <w:tc>
          <w:tcPr>
            <w:tcW w:w="150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TERMINATION)</w:t>
            </w:r>
          </w:p>
        </w:tc>
        <w:tc>
          <w:tcPr>
            <w:tcW w:w="1120" w:type="dxa"/>
            <w:vAlign w:val="bottom"/>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FOR</w:t>
            </w:r>
          </w:p>
        </w:tc>
        <w:tc>
          <w:tcPr>
            <w:tcW w:w="1340" w:type="dxa"/>
            <w:vAlign w:val="bottom"/>
            <w:shd w:val="clear" w:color="auto" w:fill="EAEAEA"/>
          </w:tcPr>
          <w:p>
            <w:pPr>
              <w:spacing w:after="0"/>
              <w:rPr>
                <w:sz w:val="13"/>
                <w:szCs w:val="13"/>
                <w:color w:val="auto"/>
              </w:rPr>
            </w:pPr>
          </w:p>
        </w:tc>
      </w:tr>
      <w:tr>
        <w:trPr>
          <w:trHeight w:val="234"/>
        </w:trPr>
        <w:tc>
          <w:tcPr>
            <w:tcW w:w="2700" w:type="dxa"/>
            <w:vAlign w:val="bottom"/>
            <w:tcBorders>
              <w:bottom w:val="single" w:sz="8" w:color="EAEAEA"/>
            </w:tcBorders>
            <w:shd w:val="clear" w:color="auto" w:fill="EAEAEA"/>
          </w:tcPr>
          <w:p>
            <w:pPr>
              <w:spacing w:after="0"/>
              <w:rPr>
                <w:sz w:val="20"/>
                <w:szCs w:val="20"/>
                <w:color w:val="auto"/>
              </w:rPr>
            </w:pPr>
          </w:p>
        </w:tc>
        <w:tc>
          <w:tcPr>
            <w:tcW w:w="136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DEATH($)</w:t>
            </w:r>
          </w:p>
        </w:tc>
        <w:tc>
          <w:tcPr>
            <w:tcW w:w="144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DISABILITY($)</w:t>
            </w:r>
          </w:p>
        </w:tc>
        <w:tc>
          <w:tcPr>
            <w:tcW w:w="1460" w:type="dxa"/>
            <w:vAlign w:val="bottom"/>
            <w:tcBorders>
              <w:bottom w:val="single" w:sz="8" w:color="EAEAEA"/>
            </w:tcBorders>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NO COC($)</w:t>
            </w:r>
          </w:p>
        </w:tc>
        <w:tc>
          <w:tcPr>
            <w:tcW w:w="150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($)(2)</w:t>
            </w:r>
          </w:p>
        </w:tc>
        <w:tc>
          <w:tcPr>
            <w:tcW w:w="112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CAUSE($)</w:t>
            </w:r>
          </w:p>
        </w:tc>
        <w:tc>
          <w:tcPr>
            <w:tcW w:w="1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r>
      <w:tr>
        <w:trPr>
          <w:trHeight w:val="24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946,313</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1,892,626</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405,563</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405,563</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689,456</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405,563</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121,295</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121,295</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121,295</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1,562,536</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1,562,536</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1,694,515</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549,525</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549,525</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549,525</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30,632</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46,817</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25,000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25,000</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right"/>
              <w:ind w:right="145"/>
              <w:spacing w:after="0"/>
              <w:rPr>
                <w:sz w:val="20"/>
                <w:szCs w:val="20"/>
                <w:color w:val="auto"/>
              </w:rPr>
            </w:pPr>
            <w:r>
              <w:rPr>
                <w:rFonts w:ascii="Arial" w:cs="Arial" w:eastAsia="Arial" w:hAnsi="Arial"/>
                <w:sz w:val="15"/>
                <w:szCs w:val="15"/>
                <w:color w:val="auto"/>
              </w:rPr>
              <w:t>2,638,919</w:t>
            </w:r>
          </w:p>
        </w:tc>
        <w:tc>
          <w:tcPr>
            <w:tcW w:w="1440" w:type="dxa"/>
            <w:vAlign w:val="bottom"/>
          </w:tcPr>
          <w:p>
            <w:pPr>
              <w:jc w:val="right"/>
              <w:ind w:right="165"/>
              <w:spacing w:after="0"/>
              <w:rPr>
                <w:sz w:val="20"/>
                <w:szCs w:val="20"/>
                <w:color w:val="auto"/>
              </w:rPr>
            </w:pPr>
            <w:r>
              <w:rPr>
                <w:rFonts w:ascii="Arial" w:cs="Arial" w:eastAsia="Arial" w:hAnsi="Arial"/>
                <w:sz w:val="15"/>
                <w:szCs w:val="15"/>
                <w:color w:val="auto"/>
              </w:rPr>
              <w:t>2,638,919</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1,691,401</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4,735,341</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700" w:type="dxa"/>
            <w:vAlign w:val="bottom"/>
            <w:tcBorders>
              <w:bottom w:val="single" w:sz="8" w:color="5D89B4"/>
            </w:tcBorders>
          </w:tcPr>
          <w:p>
            <w:pPr>
              <w:spacing w:after="0"/>
              <w:rPr>
                <w:sz w:val="4"/>
                <w:szCs w:val="4"/>
                <w:color w:val="auto"/>
              </w:rPr>
            </w:pPr>
          </w:p>
        </w:tc>
        <w:tc>
          <w:tcPr>
            <w:tcW w:w="136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right="200" w:hanging="433"/>
        <w:spacing w:after="0" w:line="246"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On November 12, 2021, ManpowerGroup entered into a severance agreement with Mr. Buchband that replaced his previous agreement, which expired on November 8, 2021. The term of Mr. Buchband’s severance agreement expires on November 12, 2024. As of December 31, 2021, Mr. Buchband was not eligible for retirement treatment.</w:t>
      </w:r>
    </w:p>
    <w:p>
      <w:pPr>
        <w:spacing w:after="0" w:line="66" w:lineRule="exact"/>
        <w:rPr>
          <w:rFonts w:ascii="Arial" w:cs="Arial" w:eastAsia="Arial" w:hAnsi="Arial"/>
          <w:sz w:val="14"/>
          <w:szCs w:val="14"/>
          <w:color w:val="auto"/>
        </w:rPr>
      </w:pPr>
    </w:p>
    <w:p>
      <w:pPr>
        <w:ind w:left="440" w:right="360" w:hanging="433"/>
        <w:spacing w:after="0" w:line="254"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60" w:lineRule="exact"/>
        <w:rPr>
          <w:rFonts w:ascii="Arial" w:cs="Arial" w:eastAsia="Arial" w:hAnsi="Arial"/>
          <w:sz w:val="14"/>
          <w:szCs w:val="14"/>
          <w:color w:val="auto"/>
        </w:rPr>
      </w:pPr>
    </w:p>
    <w:p>
      <w:pPr>
        <w:jc w:val="both"/>
        <w:ind w:left="440" w:right="180" w:hanging="433"/>
        <w:spacing w:after="0" w:line="246"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amount of the severance payment under Mr. Buchband’s severance agreement is equal to his annual base salary at the highest rate in effect during the term of the agreement (here, $540,750) and his target annual incentive for the fiscal year in which the termination occurs (here, $405,563). In a double-trigger scenario, the amount of his severance payment is multiplied by two.</w:t>
      </w:r>
    </w:p>
    <w:p>
      <w:pPr>
        <w:spacing w:after="0" w:line="66" w:lineRule="exact"/>
        <w:rPr>
          <w:rFonts w:ascii="Arial" w:cs="Arial" w:eastAsia="Arial" w:hAnsi="Arial"/>
          <w:sz w:val="14"/>
          <w:szCs w:val="14"/>
          <w:color w:val="auto"/>
        </w:rPr>
      </w:pPr>
    </w:p>
    <w:p>
      <w:pPr>
        <w:ind w:left="440" w:right="20" w:hanging="433"/>
        <w:spacing w:after="0" w:line="242"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2021 for the financial objectives and the target amount for the operating objectives. In the event of death, disability, or certain terminations following a change of control, the prorated incentive payable to him under his severance agreement is based on the target incentive for the year of termination. No proration has been applied here as this table illustrates the effect of such a termination on December 31, 2021, immediately before the incentive was earned, so as not to understate the potential value of the benefit upon the applicable termination of employment. Note that an incentive amount has also been reported as 2021 compensation for him in the Summary Compensation Table, as well as in the Grants of Plan-Based Awards Table.</w:t>
      </w:r>
    </w:p>
    <w:p>
      <w:pPr>
        <w:spacing w:after="0" w:line="69" w:lineRule="exact"/>
        <w:rPr>
          <w:rFonts w:ascii="Arial" w:cs="Arial" w:eastAsia="Arial" w:hAnsi="Arial"/>
          <w:sz w:val="14"/>
          <w:szCs w:val="14"/>
          <w:color w:val="auto"/>
        </w:rPr>
      </w:pPr>
    </w:p>
    <w:p>
      <w:pPr>
        <w:ind w:left="440" w:right="240" w:hanging="433"/>
        <w:spacing w:after="0" w:line="254"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2021 ($97.33) and the exercise price of each unvested stock option held by Mr. Buchband on December 31, 2021.</w:t>
      </w:r>
    </w:p>
    <w:p>
      <w:pPr>
        <w:spacing w:after="0" w:line="60" w:lineRule="exact"/>
        <w:rPr>
          <w:rFonts w:ascii="Arial" w:cs="Arial" w:eastAsia="Arial" w:hAnsi="Arial"/>
          <w:sz w:val="14"/>
          <w:szCs w:val="14"/>
          <w:color w:val="auto"/>
        </w:rPr>
      </w:pPr>
    </w:p>
    <w:p>
      <w:pPr>
        <w:ind w:left="440" w:right="200" w:hanging="433"/>
        <w:spacing w:after="0" w:line="244"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(2019, 2020 and 2021 grants) using the closing stock price on December 31, 2021 ($97.33). In the case of a change of control, the payout is shown based on the number of shares earned based on actual performance for the 2019 award and assuming the Committee would determine the number of shares earned relating to the 2020 and 2021 awards will equal the target award. In the case of a death or disability, the payout is shown based on the target awards for 2019, 2020 and 2021 (excluding the 2021 Special Grant).</w:t>
      </w:r>
    </w:p>
    <w:p>
      <w:pPr>
        <w:spacing w:after="0" w:line="67" w:lineRule="exact"/>
        <w:rPr>
          <w:rFonts w:ascii="Arial" w:cs="Arial" w:eastAsia="Arial" w:hAnsi="Arial"/>
          <w:sz w:val="14"/>
          <w:szCs w:val="14"/>
          <w:color w:val="auto"/>
        </w:rPr>
      </w:pPr>
    </w:p>
    <w:p>
      <w:pPr>
        <w:ind w:left="440" w:right="140" w:hanging="433"/>
        <w:spacing w:after="0" w:line="254"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31, 2021 ($97.33).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64</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76" w:name="page77"/>
    <w:bookmarkEnd w:id="76"/>
    <w:p>
      <w:pPr>
        <w:ind w:right="160"/>
        <w:spacing w:after="0" w:line="276" w:lineRule="auto"/>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Compensation Policies and Practices as They Relate to Risk Management</w:t>
      </w:r>
    </w:p>
    <w:p>
      <w:pPr>
        <w:spacing w:after="0" w:line="223"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people, culture and compensation committee and has determined there are no risks arising from our compensation policies and practices that are reasonably likely to have a material adverse effect on ManpowerGroup.</w:t>
      </w:r>
    </w:p>
    <w:p>
      <w:pPr>
        <w:spacing w:after="0" w:line="88"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As ManpowerGroup operates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102" w:lineRule="exact"/>
        <w:rPr>
          <w:sz w:val="20"/>
          <w:szCs w:val="20"/>
          <w:color w:val="auto"/>
        </w:rPr>
      </w:pPr>
    </w:p>
    <w:p>
      <w:pPr>
        <w:ind w:left="220" w:right="120" w:hanging="213"/>
        <w:spacing w:after="0" w:line="237" w:lineRule="auto"/>
        <w:tabs>
          <w:tab w:leader="none" w:pos="2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In general, each of our incentive plans has a threshold, target and outstanding payout level, which is not material to the Company, that is earned based on the results of the financial metrics.</w:t>
      </w:r>
    </w:p>
    <w:p>
      <w:pPr>
        <w:spacing w:after="0" w:line="100" w:lineRule="exact"/>
        <w:rPr>
          <w:rFonts w:ascii="Arial" w:cs="Arial" w:eastAsia="Arial" w:hAnsi="Arial"/>
          <w:sz w:val="15"/>
          <w:szCs w:val="15"/>
          <w:color w:val="auto"/>
        </w:rPr>
      </w:pPr>
    </w:p>
    <w:p>
      <w:pPr>
        <w:ind w:left="220" w:right="440" w:hanging="213"/>
        <w:spacing w:after="0" w:line="237" w:lineRule="auto"/>
        <w:tabs>
          <w:tab w:leader="none" w:pos="2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annual incentive and PSU awards are capped at a maximum level such that employees cannot receive a bonus that is significant enough to create a significant risk to the Company.</w:t>
      </w:r>
    </w:p>
    <w:p>
      <w:pPr>
        <w:spacing w:after="0" w:line="100" w:lineRule="exact"/>
        <w:rPr>
          <w:rFonts w:ascii="Arial" w:cs="Arial" w:eastAsia="Arial" w:hAnsi="Arial"/>
          <w:sz w:val="15"/>
          <w:szCs w:val="15"/>
          <w:color w:val="auto"/>
        </w:rPr>
      </w:pPr>
    </w:p>
    <w:p>
      <w:pPr>
        <w:ind w:left="220" w:right="160" w:hanging="213"/>
        <w:spacing w:after="0" w:line="237" w:lineRule="auto"/>
        <w:tabs>
          <w:tab w:leader="none" w:pos="2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100" w:lineRule="exact"/>
        <w:rPr>
          <w:rFonts w:ascii="Arial" w:cs="Arial" w:eastAsia="Arial" w:hAnsi="Arial"/>
          <w:sz w:val="15"/>
          <w:szCs w:val="15"/>
          <w:color w:val="auto"/>
        </w:rPr>
      </w:pPr>
    </w:p>
    <w:p>
      <w:pPr>
        <w:ind w:left="220" w:right="680" w:hanging="213"/>
        <w:spacing w:after="0" w:line="237" w:lineRule="auto"/>
        <w:tabs>
          <w:tab w:leader="none" w:pos="2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There is an approval process of the various incentive plans in each country, which are approved by the general manager and financial manager in the respective country to ensure the growth metrics are based on that respective country’s performance.</w:t>
      </w:r>
    </w:p>
    <w:p>
      <w:pPr>
        <w:spacing w:after="0" w:line="100" w:lineRule="exact"/>
        <w:rPr>
          <w:rFonts w:ascii="Arial" w:cs="Arial" w:eastAsia="Arial" w:hAnsi="Arial"/>
          <w:sz w:val="15"/>
          <w:szCs w:val="15"/>
          <w:color w:val="auto"/>
        </w:rPr>
      </w:pPr>
    </w:p>
    <w:p>
      <w:pPr>
        <w:ind w:left="220" w:hanging="213"/>
        <w:spacing w:after="0"/>
        <w:tabs>
          <w:tab w:leader="none" w:pos="2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Each of the NEOs is subject to stock ownership guidelines.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We have adopted a clawback policy.</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We do not permit executives to engage in short-selling of ManpowerGroup securities or trading in puts and calls on ManpowerGroup securities.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We do not permit our NEOs to pledge shares of our common stock.</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Based on the above factors, we do not believe our compensation policies and practices create risks that are reasonably likely to have a material adverse effect on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65</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49" w:right="519" w:bottom="1440" w:gutter="0" w:footer="0" w:header="0"/>
        </w:sectPr>
      </w:pPr>
    </w:p>
    <w:bookmarkStart w:id="77" w:name="page78"/>
    <w:bookmarkEnd w:id="77"/>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CEO Pay Ratio</w:t>
      </w:r>
    </w:p>
    <w:p>
      <w:pPr>
        <w:spacing w:after="0" w:line="371" w:lineRule="exact"/>
        <w:rPr>
          <w:sz w:val="20"/>
          <w:szCs w:val="20"/>
          <w:color w:val="auto"/>
        </w:rPr>
      </w:pPr>
    </w:p>
    <w:p>
      <w:pPr>
        <w:ind w:right="560"/>
        <w:spacing w:after="0" w:line="237" w:lineRule="auto"/>
        <w:rPr>
          <w:sz w:val="20"/>
          <w:szCs w:val="20"/>
          <w:color w:val="auto"/>
        </w:rPr>
      </w:pPr>
      <w:r>
        <w:rPr>
          <w:rFonts w:ascii="Arial" w:cs="Arial" w:eastAsia="Arial" w:hAnsi="Arial"/>
          <w:sz w:val="15"/>
          <w:szCs w:val="15"/>
          <w:color w:val="auto"/>
        </w:rPr>
        <w:t>In accordance with the requirements of Item 402(u) of Regulation S-K, we have calculated a CEO Pay Ratio for 2021. This ratio is a reasonable estimate, calculated as described below.</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Measurement Date</w:t>
      </w:r>
    </w:p>
    <w:p>
      <w:pPr>
        <w:spacing w:after="0" w:line="139" w:lineRule="exact"/>
        <w:rPr>
          <w:sz w:val="20"/>
          <w:szCs w:val="20"/>
          <w:color w:val="auto"/>
        </w:rPr>
      </w:pPr>
    </w:p>
    <w:p>
      <w:pPr>
        <w:ind w:right="180"/>
        <w:spacing w:after="0" w:line="229" w:lineRule="auto"/>
        <w:rPr>
          <w:sz w:val="20"/>
          <w:szCs w:val="20"/>
          <w:color w:val="auto"/>
        </w:rPr>
      </w:pPr>
      <w:r>
        <w:rPr>
          <w:rFonts w:ascii="Arial" w:cs="Arial" w:eastAsia="Arial" w:hAnsi="Arial"/>
          <w:sz w:val="15"/>
          <w:szCs w:val="15"/>
          <w:color w:val="auto"/>
        </w:rPr>
        <w:t>We utilized a measurement date of October 1, 2020, which reflects an employee population of approximately 600,000 individuals worldwide as of the measurement date. It is important to note that 95% of this population comprises our “associates” — these are the employees on assignment that day with our clients within the 75 countries and territories in which we operated in 2020.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Consistently Applied Compensation Measure</w:t>
      </w:r>
    </w:p>
    <w:p>
      <w:pPr>
        <w:spacing w:after="0" w:line="139" w:lineRule="exact"/>
        <w:rPr>
          <w:sz w:val="20"/>
          <w:szCs w:val="20"/>
          <w:color w:val="auto"/>
        </w:rPr>
      </w:pPr>
    </w:p>
    <w:p>
      <w:pPr>
        <w:spacing w:after="0" w:line="226" w:lineRule="auto"/>
        <w:rPr>
          <w:sz w:val="20"/>
          <w:szCs w:val="20"/>
          <w:color w:val="auto"/>
        </w:rPr>
      </w:pPr>
      <w:r>
        <w:rPr>
          <w:rFonts w:ascii="Arial" w:cs="Arial" w:eastAsia="Arial" w:hAnsi="Arial"/>
          <w:sz w:val="15"/>
          <w:szCs w:val="15"/>
          <w:color w:val="auto"/>
        </w:rPr>
        <w:t>For each of these individuals, compensation was calculated based on total taxable earnings as defined in their home country’s payroll systems. Consistent with SEC rules, we annualized this number for part-time and full-time employees who were employed for less than the full year in 2020, but not for our associates whose positions are seasonal or temporary in nature. The individual who was our median employee for our calculation in 2020 is no longer employed by us. In accordance with Item 402(u), we determined that there was another similarly compensated individual as the 2020 median employee, and we have used that individual as the median employee for the calculations. We believe we have not had any significant changes to our employee population or our employee compensation arrangements since last year and we believe the selection of this individual as our median employee does not result in a significant change to our pay ratio disclosure. The median employee identified for 2021 is an associate located in Thailand whose total annual compensation was calculated in accordance with the requirements of the Summary Compensation Table as being $8,022. When calculated against Mr. Prising’s compensation for 2021 of $18,787,835 as reflected in the Summary Compensation Table, it yields a CEO Pay Ratio of 2,342:1.</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Calculation Excluding Associates</w:t>
      </w:r>
    </w:p>
    <w:p>
      <w:pPr>
        <w:spacing w:after="0" w:line="139"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Supplementally, we have again calculated a CEO pay ratio excluding our associates for 2021. As noted above, most of the individuals who are counted as “employees” under Item 402(u) are in fact associates who are performing work for our clients on a temporary basis. For this supplemental calculation, our median employee as of the measurement date was an individual in Belgium whose annualized total compensation was $39,288 for 2021. Under this calculation, the CEO pay ratio is 478:1. We believe this is a more representative indication of how our CEO pay compares to that of our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66</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20"/>
          </w:cols>
          <w:pgMar w:left="480" w:top="1250" w:right="599" w:bottom="1440" w:gutter="0" w:footer="0" w:header="0"/>
        </w:sectPr>
      </w:pPr>
    </w:p>
    <w:bookmarkStart w:id="78" w:name="page79"/>
    <w:bookmarkEnd w:id="78"/>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Audit Committee Report</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Charter and Responsibilities</w:t>
      </w:r>
    </w:p>
    <w:p>
      <w:pPr>
        <w:spacing w:after="0" w:line="117" w:lineRule="exact"/>
        <w:rPr>
          <w:sz w:val="20"/>
          <w:szCs w:val="20"/>
          <w:color w:val="auto"/>
        </w:rPr>
      </w:pPr>
    </w:p>
    <w:p>
      <w:pPr>
        <w:ind w:right="120"/>
        <w:spacing w:after="0" w:line="227" w:lineRule="auto"/>
        <w:rPr>
          <w:sz w:val="20"/>
          <w:szCs w:val="20"/>
          <w:color w:val="auto"/>
        </w:rPr>
      </w:pPr>
      <w:r>
        <w:rPr>
          <w:rFonts w:ascii="Arial" w:cs="Arial" w:eastAsia="Arial" w:hAnsi="Arial"/>
          <w:sz w:val="15"/>
          <w:szCs w:val="15"/>
          <w:color w:val="auto"/>
        </w:rPr>
        <w:t xml:space="preserve">We have an audit committee that consists entirely of independent directors, each of whom meet the independence requirements set forth by the New York Stock Exchange and the SEC. The board of directors has adopted a charter for the audit committee, which is available on our web 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2021 Activity</w:t>
      </w:r>
    </w:p>
    <w:p>
      <w:pPr>
        <w:spacing w:after="0" w:line="117" w:lineRule="exact"/>
        <w:rPr>
          <w:sz w:val="20"/>
          <w:szCs w:val="20"/>
          <w:color w:val="auto"/>
        </w:rPr>
      </w:pPr>
    </w:p>
    <w:p>
      <w:pPr>
        <w:jc w:val="both"/>
        <w:ind w:right="160"/>
        <w:spacing w:after="0" w:line="232" w:lineRule="auto"/>
        <w:rPr>
          <w:sz w:val="20"/>
          <w:szCs w:val="20"/>
          <w:color w:val="auto"/>
        </w:rPr>
      </w:pPr>
      <w:r>
        <w:rPr>
          <w:rFonts w:ascii="Arial" w:cs="Arial" w:eastAsia="Arial" w:hAnsi="Arial"/>
          <w:sz w:val="15"/>
          <w:szCs w:val="15"/>
          <w:color w:val="auto"/>
        </w:rPr>
        <w:t>In 2021, the audit committee met five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62" w:lineRule="exact"/>
        <w:rPr>
          <w:sz w:val="20"/>
          <w:szCs w:val="20"/>
          <w:color w:val="auto"/>
        </w:rPr>
      </w:pPr>
    </w:p>
    <w:p>
      <w:pPr>
        <w:ind w:left="220" w:right="460" w:hanging="213"/>
        <w:spacing w:after="0" w:line="237" w:lineRule="auto"/>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our financial statements for each of the first three quarters of 2021, including the disclosures under “Management’s Discussion and Analysis of Financial Condition and Results of Operations;”</w:t>
      </w:r>
    </w:p>
    <w:p>
      <w:pPr>
        <w:spacing w:after="0" w:line="60"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our compliance with and reporting under Section 404 of the Sarbanes-Oxley Act of 2002 and the related auditing standards;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independent auditors’ material written communications with management;</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our annual internal and external audit plans and the internal and external staffing resources available to carry out our audit plans;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internal audit results;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our enterprise risk management framework, including financial and operational risks;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certain risk matters including the Company’s risk profile, data privacy risk, and technology and cybersecurity risk;</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impact of new accounting pronouncements;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current tax matters affecting us, including reporting compliance, audit activity and tax planning;</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litigation and regulatory matters;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our compliance with our code of business conduct and ethics, our anti-corruption policy, and our policy on gifts, entertainment and sponsorships;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our compliance with our Policy Regarding the Retention of Former Employees of Independent Auditors and Independent Auditor Services Policy; and</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 self-evaluation of the committee.</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The audit committee met five times in private session with Deloitte &amp; Touche LLP and met five times in private session with the head of internal audit. The purpose of the private sessions is to allow the participants to raise any concerns they may have and to discuss other topics in a confidential setting.</w:t>
      </w:r>
    </w:p>
    <w:p>
      <w:pPr>
        <w:spacing w:after="0" w:line="87" w:lineRule="exact"/>
        <w:rPr>
          <w:sz w:val="20"/>
          <w:szCs w:val="20"/>
          <w:color w:val="auto"/>
        </w:rPr>
      </w:pPr>
    </w:p>
    <w:p>
      <w:pPr>
        <w:jc w:val="both"/>
        <w:ind w:right="180"/>
        <w:spacing w:after="0" w:line="232" w:lineRule="auto"/>
        <w:rPr>
          <w:sz w:val="20"/>
          <w:szCs w:val="20"/>
          <w:color w:val="auto"/>
        </w:rPr>
      </w:pPr>
      <w:r>
        <w:rPr>
          <w:rFonts w:ascii="Arial" w:cs="Arial" w:eastAsia="Arial" w:hAnsi="Arial"/>
          <w:sz w:val="15"/>
          <w:szCs w:val="15"/>
          <w:color w:val="auto"/>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for each quarter of 2021 prior to the quarterly release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67</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60"/>
          </w:cols>
          <w:pgMar w:left="480" w:top="1249" w:right="55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AUDIT COMMITTEE REPORT</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Fiscal Year 2021 Financial Statements</w:t>
      </w:r>
    </w:p>
    <w:p>
      <w:pPr>
        <w:spacing w:after="0" w:line="117" w:lineRule="exact"/>
        <w:rPr>
          <w:sz w:val="20"/>
          <w:szCs w:val="20"/>
          <w:color w:val="auto"/>
        </w:rPr>
      </w:pPr>
    </w:p>
    <w:p>
      <w:pPr>
        <w:jc w:val="both"/>
        <w:ind w:right="420"/>
        <w:spacing w:after="0" w:line="232" w:lineRule="auto"/>
        <w:rPr>
          <w:sz w:val="20"/>
          <w:szCs w:val="20"/>
          <w:color w:val="auto"/>
        </w:rPr>
      </w:pPr>
      <w:r>
        <w:rPr>
          <w:rFonts w:ascii="Arial" w:cs="Arial" w:eastAsia="Arial" w:hAnsi="Arial"/>
          <w:sz w:val="15"/>
          <w:szCs w:val="15"/>
          <w:color w:val="auto"/>
        </w:rPr>
        <w:t>In February 2022, the independent auditors and members of senior management reviewed and discussed the audited financial statements for the fiscal year ended December 31, 2021 with the audit committee, together with our disclosures under “Management’s Discussion and Analysis of Financial Condition and Results of Operations.” This discussion included, among other things:</w:t>
      </w:r>
    </w:p>
    <w:p>
      <w:pPr>
        <w:spacing w:after="0" w:line="61" w:lineRule="exact"/>
        <w:rPr>
          <w:sz w:val="20"/>
          <w:szCs w:val="20"/>
          <w:color w:val="auto"/>
        </w:rPr>
      </w:pPr>
    </w:p>
    <w:p>
      <w:pPr>
        <w:ind w:left="220" w:hanging="213"/>
        <w:spacing w:after="0"/>
        <w:tabs>
          <w:tab w:leader="none" w:pos="2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critical accounting policies and practices used in the preparation of our financial statements;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our judgmental reserves;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effect of regulatory and accounting pronouncements on our financial statements, including the adoption of significant accounting standards;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confirmation that there were no unrecorded material audit adjustments proposed by the independent auditors;</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confirmation that there were no matters of significant disagreement between management and the independent auditors arising during the audit;</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critical audit matters disclosed in the independent auditors’ opinion;</w:t>
      </w:r>
    </w:p>
    <w:p>
      <w:pPr>
        <w:spacing w:after="0" w:line="68" w:lineRule="exact"/>
        <w:rPr>
          <w:rFonts w:ascii="Arial" w:cs="Arial" w:eastAsia="Arial" w:hAnsi="Arial"/>
          <w:sz w:val="15"/>
          <w:szCs w:val="15"/>
          <w:color w:val="auto"/>
        </w:rPr>
      </w:pPr>
    </w:p>
    <w:p>
      <w:pPr>
        <w:ind w:left="220" w:hanging="213"/>
        <w:spacing w:after="0"/>
        <w:tabs>
          <w:tab w:leader="none" w:pos="2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other matters required to be discussed by the applicable requirements of the Public Company Accounting Oversight Board (“PCAOB”) and the SEC;</w:t>
      </w:r>
    </w:p>
    <w:p>
      <w:pPr>
        <w:spacing w:after="0" w:line="52" w:lineRule="exact"/>
        <w:rPr>
          <w:rFonts w:ascii="Arial" w:cs="Arial" w:eastAsia="Arial" w:hAnsi="Arial"/>
          <w:sz w:val="15"/>
          <w:szCs w:val="15"/>
          <w:color w:val="auto"/>
        </w:rPr>
      </w:pPr>
    </w:p>
    <w:p>
      <w:pPr>
        <w:ind w:left="220" w:hanging="213"/>
        <w:spacing w:after="0"/>
        <w:tabs>
          <w:tab w:leader="none" w:pos="2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other matters required to be discussed by PCAOB Ethics and Independence Rule 3526, </w:t>
      </w:r>
      <w:r>
        <w:rPr>
          <w:rFonts w:ascii="Arial" w:cs="Arial" w:eastAsia="Arial" w:hAnsi="Arial"/>
          <w:sz w:val="15"/>
          <w:szCs w:val="15"/>
          <w:i w:val="1"/>
          <w:iCs w:val="1"/>
          <w:color w:val="auto"/>
        </w:rPr>
        <w:t>Communication with Audit Committees Concerning Independence;</w:t>
      </w:r>
      <w:r>
        <w:rPr>
          <w:rFonts w:ascii="Arial" w:cs="Arial" w:eastAsia="Arial" w:hAnsi="Arial"/>
          <w:sz w:val="15"/>
          <w:szCs w:val="15"/>
          <w:color w:val="auto"/>
        </w:rPr>
        <w:t xml:space="preserve"> and</w:t>
      </w:r>
    </w:p>
    <w:p>
      <w:pPr>
        <w:spacing w:after="0" w:line="84" w:lineRule="exact"/>
        <w:rPr>
          <w:rFonts w:ascii="Arial" w:cs="Arial" w:eastAsia="Arial" w:hAnsi="Arial"/>
          <w:sz w:val="15"/>
          <w:szCs w:val="15"/>
          <w:color w:val="auto"/>
        </w:rPr>
      </w:pPr>
    </w:p>
    <w:p>
      <w:pPr>
        <w:ind w:left="220" w:right="40" w:hanging="213"/>
        <w:spacing w:after="0" w:line="232" w:lineRule="auto"/>
        <w:tabs>
          <w:tab w:leader="none" w:pos="2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matters relating to Section 404 of the Sarbanes-Oxley Act, including the management report on internal control over financial reporting for 2021 and the independent auditors’ report with respect to the effectiveness of our internal control over financial reporting and management’s assessment of the effectiveness of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At this meeting, the audit committee met in separate private sessions with the independent auditors, the head of internal audit and management.</w:t>
      </w:r>
    </w:p>
    <w:p>
      <w:pPr>
        <w:spacing w:after="0" w:line="135"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2021.</w:t>
      </w:r>
    </w:p>
    <w:p>
      <w:pPr>
        <w:spacing w:after="0" w:line="114" w:lineRule="exact"/>
        <w:rPr>
          <w:sz w:val="20"/>
          <w:szCs w:val="20"/>
          <w:color w:val="auto"/>
        </w:rPr>
      </w:pPr>
    </w:p>
    <w:p>
      <w:pPr>
        <w:ind w:right="80"/>
        <w:spacing w:after="0" w:line="228" w:lineRule="auto"/>
        <w:rPr>
          <w:sz w:val="20"/>
          <w:szCs w:val="20"/>
          <w:color w:val="auto"/>
        </w:rPr>
      </w:pPr>
      <w:r>
        <w:rPr>
          <w:rFonts w:ascii="Arial" w:cs="Arial" w:eastAsia="Arial" w:hAnsi="Arial"/>
          <w:sz w:val="15"/>
          <w:szCs w:val="15"/>
          <w:color w:val="auto"/>
        </w:rPr>
        <w:t>The audit committee has also received the written disclosures and confirmation from Deloitte required by PCAOB Ethics and Independence Rule 3526 and discussed with Deloitte their independence. In particular, at each regular meeting during 2021 and at the meeting in February 2022 the audit committee reviewed and discussed the non-audit services provided by Deloitte to us as described below. The audit committee has considered whether the provision of the non-audit services is compatible with the independence of Deloitte and satisfied itself as to the auditor’s independence. The audit committee believes that Deloitte has been objective and impartial in conducting the 2021 audit and believes that the provision of these services has not adversely affected the integrity of our audit and financial reporting processes.</w:t>
      </w:r>
    </w:p>
    <w:p>
      <w:pPr>
        <w:spacing w:after="0" w:line="127"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D89B4"/>
        </w:rPr>
        <w:t>The Audit Committee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Paul Read, Chair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Gina R. Boswell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Jean-Philippe Courtois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John F. Ferraro</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Patricia Hemingway Hall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69297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68</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164" w:right="519" w:bottom="1440" w:gutter="0" w:footer="0" w:header="0"/>
        </w:sectPr>
      </w:pPr>
    </w:p>
    <w:bookmarkStart w:id="80" w:name="page81"/>
    <w:bookmarkEnd w:id="80"/>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Fees Billed by Deloitte &amp; Touche</w:t>
      </w:r>
    </w:p>
    <w:p>
      <w:pPr>
        <w:spacing w:after="0" w:line="371"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This table presents fees for professional audit and other services billed by Deloitte &amp; Touche LLP and related entities (“Deloitte”) for 2021 and 2020, which consist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6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YEAR ENDED DECEMBER 31,</w:t>
            </w:r>
          </w:p>
        </w:tc>
        <w:tc>
          <w:tcPr>
            <w:tcW w:w="200" w:type="dxa"/>
            <w:vAlign w:val="bottom"/>
            <w:tcBorders>
              <w:bottom w:val="single" w:sz="8" w:color="EAEAEA"/>
            </w:tcBorders>
            <w:shd w:val="clear" w:color="auto" w:fill="EAEAEA"/>
          </w:tcPr>
          <w:p>
            <w:pPr>
              <w:spacing w:after="0"/>
              <w:rPr>
                <w:sz w:val="23"/>
                <w:szCs w:val="23"/>
                <w:color w:val="auto"/>
              </w:rPr>
            </w:pPr>
          </w:p>
        </w:tc>
        <w:tc>
          <w:tcPr>
            <w:tcW w:w="940" w:type="dxa"/>
            <w:vAlign w:val="bottom"/>
            <w:tcBorders>
              <w:bottom w:val="single" w:sz="8" w:color="EAEAEA"/>
            </w:tcBorders>
            <w:shd w:val="clear" w:color="auto" w:fill="EAEAEA"/>
          </w:tcPr>
          <w:p>
            <w:pPr>
              <w:jc w:val="right"/>
              <w:ind w:right="185"/>
              <w:spacing w:after="0"/>
              <w:rPr>
                <w:sz w:val="20"/>
                <w:szCs w:val="20"/>
                <w:color w:val="auto"/>
              </w:rPr>
            </w:pPr>
            <w:r>
              <w:rPr>
                <w:rFonts w:ascii="Arial" w:cs="Arial" w:eastAsia="Arial" w:hAnsi="Arial"/>
                <w:sz w:val="14"/>
                <w:szCs w:val="14"/>
                <w:b w:val="1"/>
                <w:bCs w:val="1"/>
                <w:color w:val="5D89B4"/>
              </w:rPr>
              <w:t>2021</w:t>
            </w:r>
          </w:p>
        </w:tc>
        <w:tc>
          <w:tcPr>
            <w:tcW w:w="36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2020</w:t>
            </w:r>
          </w:p>
        </w:tc>
      </w:tr>
      <w:tr>
        <w:trPr>
          <w:trHeight w:val="24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Audit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w w:val="98"/>
              </w:rPr>
              <w:t>7,595,000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6,539,000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Audit-Related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255,000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120,000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Tax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785,000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434,000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All Other Fees</w:t>
            </w:r>
          </w:p>
        </w:tc>
        <w:tc>
          <w:tcPr>
            <w:tcW w:w="200" w:type="dxa"/>
            <w:vAlign w:val="bottom"/>
          </w:tcPr>
          <w:p>
            <w:pPr>
              <w:spacing w:after="0"/>
              <w:rPr>
                <w:sz w:val="19"/>
                <w:szCs w:val="19"/>
                <w:color w:val="auto"/>
              </w:rPr>
            </w:pP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w w:val="98"/>
              </w:rPr>
              <w:t>8,635,000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7,093,000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Audit Fees</w:t>
      </w:r>
    </w:p>
    <w:p>
      <w:pPr>
        <w:spacing w:after="0" w:line="117"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These amounts represent the aggregate fees billed by Deloitte for the audit of our financial statements and attestation of our certification of our internal control over financial reporting for 2021 and 2020, respectively, and the review of the financial statements included in our Quarterly Reports on Form 10-Q for each year, all of which were approved by the audit committee.</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Audit-Related Fees</w:t>
      </w:r>
    </w:p>
    <w:p>
      <w:pPr>
        <w:spacing w:after="0" w:line="117" w:lineRule="exact"/>
        <w:rPr>
          <w:sz w:val="20"/>
          <w:szCs w:val="20"/>
          <w:color w:val="auto"/>
        </w:rPr>
      </w:pPr>
    </w:p>
    <w:p>
      <w:pPr>
        <w:ind w:right="160"/>
        <w:spacing w:after="0" w:line="229" w:lineRule="auto"/>
        <w:rPr>
          <w:sz w:val="20"/>
          <w:szCs w:val="20"/>
          <w:color w:val="auto"/>
        </w:rPr>
      </w:pPr>
      <w:r>
        <w:rPr>
          <w:rFonts w:ascii="Arial" w:cs="Arial" w:eastAsia="Arial" w:hAnsi="Arial"/>
          <w:sz w:val="15"/>
          <w:szCs w:val="15"/>
          <w:color w:val="auto"/>
        </w:rPr>
        <w:t>These amounts consist of assurance and related services that are reasonably related to the performance of the audit or review of our consolidated financial statements or internal control over financial reporting. For 2021, these services included certifications and attestation reports related to certain financial and non-financial information for specific client requirements and government subsidies for certain of our foreign subsidiaries and other miscellaneous services. For 2020, these services included attestation reports related to certain financial and non-financial information for specific client requirements and government subsidies for certain of our foreign subsidiaries and other miscellaneous services.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Tax Fees</w:t>
      </w:r>
    </w:p>
    <w:p>
      <w:pPr>
        <w:spacing w:after="0" w:line="117" w:lineRule="exact"/>
        <w:rPr>
          <w:sz w:val="20"/>
          <w:szCs w:val="20"/>
          <w:color w:val="auto"/>
        </w:rPr>
      </w:pPr>
    </w:p>
    <w:p>
      <w:pPr>
        <w:ind w:right="140"/>
        <w:spacing w:after="0" w:line="230" w:lineRule="auto"/>
        <w:rPr>
          <w:sz w:val="20"/>
          <w:szCs w:val="20"/>
          <w:color w:val="auto"/>
        </w:rPr>
      </w:pPr>
      <w:r>
        <w:rPr>
          <w:rFonts w:ascii="Arial" w:cs="Arial" w:eastAsia="Arial" w:hAnsi="Arial"/>
          <w:sz w:val="15"/>
          <w:szCs w:val="15"/>
          <w:color w:val="auto"/>
        </w:rPr>
        <w:t>Tax fees generally consist of tax compliance and return preparation and tax planning and advice. For 2021, these services included U.S. federal, state, local and international tax research and consultation services, services related to U.S. foreign tax credit and expense apportionment research and consultation and tax compliance and transfer pricing services. For 2020, these services included U.S. federal, state, local and international tax research and consultation services and services related to U.S. foreign tax credit and expense apportionment research and consultation.</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5D89B4"/>
        </w:rPr>
        <w:t>All Other Fees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All other fees consist of permitted services other than those that meet the criteria above. There were no other fees incurred for 2021 and 2020.</w:t>
      </w:r>
    </w:p>
    <w:p>
      <w:pPr>
        <w:spacing w:after="0" w:line="366"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Independent Auditor Services Policy</w:t>
      </w:r>
    </w:p>
    <w:p>
      <w:pPr>
        <w:spacing w:after="0" w:line="371" w:lineRule="exact"/>
        <w:rPr>
          <w:sz w:val="20"/>
          <w:szCs w:val="20"/>
          <w:color w:val="auto"/>
        </w:rPr>
      </w:pPr>
    </w:p>
    <w:p>
      <w:pPr>
        <w:ind w:right="160"/>
        <w:spacing w:after="0" w:line="230" w:lineRule="auto"/>
        <w:rPr>
          <w:sz w:val="20"/>
          <w:szCs w:val="20"/>
          <w:color w:val="auto"/>
        </w:rPr>
      </w:pPr>
      <w:r>
        <w:rPr>
          <w:rFonts w:ascii="Arial" w:cs="Arial" w:eastAsia="Arial" w:hAnsi="Arial"/>
          <w:sz w:val="15"/>
          <w:szCs w:val="15"/>
          <w:color w:val="auto"/>
        </w:rPr>
        <w:t xml:space="preserve">We have an Independent Auditor Services Policy that we review on an annual basis. The policy sets forth the types 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 Each of the services described under the headings “Audit-Related Fees” and “Tax Fees” was approved during 2021 and 2020 in accordance with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69</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49" w:right="499" w:bottom="1440" w:gutter="0" w:footer="0" w:header="0"/>
        </w:sectPr>
      </w:pPr>
    </w:p>
    <w:bookmarkStart w:id="81" w:name="page82"/>
    <w:bookmarkEnd w:id="81"/>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Security Ownership of Certain Beneficial Owners</w:t>
      </w:r>
    </w:p>
    <w:p>
      <w:pPr>
        <w:spacing w:after="0" w:line="371" w:lineRule="exact"/>
        <w:rPr>
          <w:sz w:val="20"/>
          <w:szCs w:val="20"/>
          <w:color w:val="auto"/>
        </w:rPr>
      </w:pPr>
    </w:p>
    <w:p>
      <w:pPr>
        <w:ind w:right="80"/>
        <w:spacing w:after="0" w:line="237" w:lineRule="auto"/>
        <w:rPr>
          <w:sz w:val="20"/>
          <w:szCs w:val="20"/>
          <w:color w:val="auto"/>
        </w:rPr>
      </w:pPr>
      <w:r>
        <w:rPr>
          <w:rFonts w:ascii="Arial" w:cs="Arial" w:eastAsia="Arial" w:hAnsi="Arial"/>
          <w:sz w:val="15"/>
          <w:szCs w:val="15"/>
          <w:color w:val="auto"/>
        </w:rPr>
        <w:t>The following table lists as of the record date (except as noted below) information as to the persons believed by us to be beneficial owners of more than 5% of our outstanding common stock: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5D89B4"/>
              </w:rPr>
              <w:t>NAME AND ADDRESS OF</w:t>
            </w:r>
          </w:p>
        </w:tc>
        <w:tc>
          <w:tcPr>
            <w:tcW w:w="3760" w:type="dxa"/>
            <w:vAlign w:val="bottom"/>
            <w:shd w:val="clear" w:color="auto" w:fill="EAEAEA"/>
          </w:tcPr>
          <w:p>
            <w:pPr>
              <w:jc w:val="right"/>
              <w:ind w:right="666"/>
              <w:spacing w:after="0"/>
              <w:rPr>
                <w:sz w:val="20"/>
                <w:szCs w:val="20"/>
                <w:color w:val="auto"/>
              </w:rPr>
            </w:pPr>
            <w:r>
              <w:rPr>
                <w:rFonts w:ascii="Arial" w:cs="Arial" w:eastAsia="Arial" w:hAnsi="Arial"/>
                <w:sz w:val="14"/>
                <w:szCs w:val="14"/>
                <w:b w:val="1"/>
                <w:bCs w:val="1"/>
                <w:color w:val="5D89B4"/>
              </w:rPr>
              <w:t>AMOUNT AND NATURE OF</w:t>
            </w:r>
          </w:p>
        </w:tc>
        <w:tc>
          <w:tcPr>
            <w:tcW w:w="1940" w:type="dxa"/>
            <w:vAlign w:val="bottom"/>
            <w:shd w:val="clear" w:color="auto" w:fill="EAEAEA"/>
          </w:tcPr>
          <w:p>
            <w:pPr>
              <w:jc w:val="right"/>
              <w:ind w:right="386"/>
              <w:spacing w:after="0"/>
              <w:rPr>
                <w:sz w:val="20"/>
                <w:szCs w:val="20"/>
                <w:color w:val="auto"/>
              </w:rPr>
            </w:pPr>
            <w:r>
              <w:rPr>
                <w:rFonts w:ascii="Arial" w:cs="Arial" w:eastAsia="Arial" w:hAnsi="Arial"/>
                <w:sz w:val="14"/>
                <w:szCs w:val="14"/>
                <w:b w:val="1"/>
                <w:bCs w:val="1"/>
                <w:color w:val="5D89B4"/>
              </w:rPr>
              <w:t>PERCENT OF</w:t>
            </w:r>
          </w:p>
        </w:tc>
      </w:tr>
      <w:tr>
        <w:trPr>
          <w:trHeight w:val="189"/>
        </w:trPr>
        <w:tc>
          <w:tcPr>
            <w:tcW w:w="52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5D89B4"/>
              </w:rPr>
              <w:t>BENEFICIAL OWNERS</w:t>
            </w:r>
          </w:p>
        </w:tc>
        <w:tc>
          <w:tcPr>
            <w:tcW w:w="3760" w:type="dxa"/>
            <w:vAlign w:val="bottom"/>
            <w:shd w:val="clear" w:color="auto" w:fill="EAEAEA"/>
          </w:tcPr>
          <w:p>
            <w:pPr>
              <w:jc w:val="right"/>
              <w:ind w:right="666"/>
              <w:spacing w:after="0"/>
              <w:rPr>
                <w:sz w:val="20"/>
                <w:szCs w:val="20"/>
                <w:color w:val="auto"/>
              </w:rPr>
            </w:pPr>
            <w:r>
              <w:rPr>
                <w:rFonts w:ascii="Arial" w:cs="Arial" w:eastAsia="Arial" w:hAnsi="Arial"/>
                <w:sz w:val="14"/>
                <w:szCs w:val="14"/>
                <w:b w:val="1"/>
                <w:bCs w:val="1"/>
                <w:color w:val="5D89B4"/>
              </w:rPr>
              <w:t>BENEFICIAL OWNERSHIP</w:t>
            </w:r>
          </w:p>
        </w:tc>
        <w:tc>
          <w:tcPr>
            <w:tcW w:w="1940" w:type="dxa"/>
            <w:vAlign w:val="bottom"/>
            <w:shd w:val="clear" w:color="auto" w:fill="EAEAEA"/>
          </w:tcPr>
          <w:p>
            <w:pPr>
              <w:jc w:val="right"/>
              <w:ind w:right="386"/>
              <w:spacing w:after="0"/>
              <w:rPr>
                <w:sz w:val="20"/>
                <w:szCs w:val="20"/>
                <w:color w:val="auto"/>
              </w:rPr>
            </w:pPr>
            <w:r>
              <w:rPr>
                <w:rFonts w:ascii="Arial" w:cs="Arial" w:eastAsia="Arial" w:hAnsi="Arial"/>
                <w:sz w:val="14"/>
                <w:szCs w:val="14"/>
                <w:b w:val="1"/>
                <w:bCs w:val="1"/>
                <w:color w:val="5D89B4"/>
              </w:rPr>
              <w:t>CLASS(1)</w:t>
            </w:r>
          </w:p>
        </w:tc>
      </w:tr>
      <w:tr>
        <w:trPr>
          <w:trHeight w:val="65"/>
        </w:trPr>
        <w:tc>
          <w:tcPr>
            <w:tcW w:w="5220" w:type="dxa"/>
            <w:vAlign w:val="bottom"/>
            <w:shd w:val="clear" w:color="auto" w:fill="EAEAEA"/>
          </w:tcPr>
          <w:p>
            <w:pPr>
              <w:spacing w:after="0"/>
              <w:rPr>
                <w:sz w:val="5"/>
                <w:szCs w:val="5"/>
                <w:color w:val="auto"/>
              </w:rPr>
            </w:pPr>
          </w:p>
        </w:tc>
        <w:tc>
          <w:tcPr>
            <w:tcW w:w="3760" w:type="dxa"/>
            <w:vAlign w:val="bottom"/>
            <w:shd w:val="clear" w:color="auto" w:fill="EAEAEA"/>
          </w:tcPr>
          <w:p>
            <w:pPr>
              <w:spacing w:after="0"/>
              <w:rPr>
                <w:sz w:val="5"/>
                <w:szCs w:val="5"/>
                <w:color w:val="auto"/>
              </w:rPr>
            </w:pPr>
          </w:p>
        </w:tc>
        <w:tc>
          <w:tcPr>
            <w:tcW w:w="1940" w:type="dxa"/>
            <w:vAlign w:val="bottom"/>
            <w:shd w:val="clear" w:color="auto" w:fill="EAEAEA"/>
          </w:tcPr>
          <w:p>
            <w:pPr>
              <w:spacing w:after="0"/>
              <w:rPr>
                <w:sz w:val="5"/>
                <w:szCs w:val="5"/>
                <w:color w:val="auto"/>
              </w:rPr>
            </w:pPr>
          </w:p>
        </w:tc>
      </w:tr>
      <w:tr>
        <w:trPr>
          <w:trHeight w:val="21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Capital World Investors</w:t>
            </w:r>
          </w:p>
        </w:tc>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60"/>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333 South Hope Street, 55th Fl</w:t>
            </w:r>
          </w:p>
        </w:tc>
        <w:tc>
          <w:tcPr>
            <w:tcW w:w="376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Los Angeles, CA 90071</w:t>
            </w:r>
          </w:p>
        </w:tc>
        <w:tc>
          <w:tcPr>
            <w:tcW w:w="3760" w:type="dxa"/>
            <w:vAlign w:val="bottom"/>
          </w:tcPr>
          <w:p>
            <w:pPr>
              <w:jc w:val="right"/>
              <w:ind w:right="486"/>
              <w:spacing w:after="0"/>
              <w:rPr>
                <w:sz w:val="20"/>
                <w:szCs w:val="20"/>
                <w:color w:val="auto"/>
              </w:rPr>
            </w:pPr>
            <w:r>
              <w:rPr>
                <w:rFonts w:ascii="Arial" w:cs="Arial" w:eastAsia="Arial" w:hAnsi="Arial"/>
                <w:sz w:val="15"/>
                <w:szCs w:val="15"/>
                <w:color w:val="auto"/>
              </w:rPr>
              <w:t>6,643,322(2)</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12.4%</w:t>
            </w:r>
          </w:p>
        </w:tc>
      </w:tr>
      <w:tr>
        <w:trPr>
          <w:trHeight w:val="50"/>
        </w:trPr>
        <w:tc>
          <w:tcPr>
            <w:tcW w:w="5220" w:type="dxa"/>
            <w:vAlign w:val="bottom"/>
            <w:tcBorders>
              <w:bottom w:val="single" w:sz="8" w:color="5D89B4"/>
            </w:tcBorders>
          </w:tcPr>
          <w:p>
            <w:pPr>
              <w:spacing w:after="0"/>
              <w:rPr>
                <w:sz w:val="4"/>
                <w:szCs w:val="4"/>
                <w:color w:val="auto"/>
              </w:rPr>
            </w:pPr>
          </w:p>
        </w:tc>
        <w:tc>
          <w:tcPr>
            <w:tcW w:w="37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r>
        <w:trPr>
          <w:trHeight w:val="19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Vanguard Group, Inc.</w:t>
            </w:r>
          </w:p>
        </w:tc>
        <w:tc>
          <w:tcPr>
            <w:tcW w:w="37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0"/>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100 Vanguard Boulevard</w:t>
            </w:r>
          </w:p>
        </w:tc>
        <w:tc>
          <w:tcPr>
            <w:tcW w:w="376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Malvern, PA 19355</w:t>
            </w:r>
          </w:p>
        </w:tc>
        <w:tc>
          <w:tcPr>
            <w:tcW w:w="3760" w:type="dxa"/>
            <w:vAlign w:val="bottom"/>
          </w:tcPr>
          <w:p>
            <w:pPr>
              <w:jc w:val="right"/>
              <w:ind w:right="486"/>
              <w:spacing w:after="0"/>
              <w:rPr>
                <w:sz w:val="20"/>
                <w:szCs w:val="20"/>
                <w:color w:val="auto"/>
              </w:rPr>
            </w:pPr>
            <w:r>
              <w:rPr>
                <w:rFonts w:ascii="Arial" w:cs="Arial" w:eastAsia="Arial" w:hAnsi="Arial"/>
                <w:sz w:val="15"/>
                <w:szCs w:val="15"/>
                <w:color w:val="auto"/>
              </w:rPr>
              <w:t>6,263,213(3)</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11.7%</w:t>
            </w:r>
          </w:p>
        </w:tc>
      </w:tr>
      <w:tr>
        <w:trPr>
          <w:trHeight w:val="50"/>
        </w:trPr>
        <w:tc>
          <w:tcPr>
            <w:tcW w:w="5220" w:type="dxa"/>
            <w:vAlign w:val="bottom"/>
            <w:tcBorders>
              <w:bottom w:val="single" w:sz="8" w:color="5D89B4"/>
            </w:tcBorders>
          </w:tcPr>
          <w:p>
            <w:pPr>
              <w:spacing w:after="0"/>
              <w:rPr>
                <w:sz w:val="4"/>
                <w:szCs w:val="4"/>
                <w:color w:val="auto"/>
              </w:rPr>
            </w:pPr>
          </w:p>
        </w:tc>
        <w:tc>
          <w:tcPr>
            <w:tcW w:w="37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r>
        <w:trPr>
          <w:trHeight w:val="19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BlackRock, Inc.</w:t>
            </w:r>
          </w:p>
        </w:tc>
        <w:tc>
          <w:tcPr>
            <w:tcW w:w="37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0"/>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55 East 52nd Street</w:t>
            </w:r>
          </w:p>
        </w:tc>
        <w:tc>
          <w:tcPr>
            <w:tcW w:w="376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New York, NY 10055</w:t>
            </w:r>
          </w:p>
        </w:tc>
        <w:tc>
          <w:tcPr>
            <w:tcW w:w="3760" w:type="dxa"/>
            <w:vAlign w:val="bottom"/>
          </w:tcPr>
          <w:p>
            <w:pPr>
              <w:jc w:val="right"/>
              <w:ind w:right="486"/>
              <w:spacing w:after="0"/>
              <w:rPr>
                <w:sz w:val="20"/>
                <w:szCs w:val="20"/>
                <w:color w:val="auto"/>
              </w:rPr>
            </w:pPr>
            <w:r>
              <w:rPr>
                <w:rFonts w:ascii="Arial" w:cs="Arial" w:eastAsia="Arial" w:hAnsi="Arial"/>
                <w:sz w:val="15"/>
                <w:szCs w:val="15"/>
                <w:color w:val="auto"/>
              </w:rPr>
              <w:t>4,779,808(4)</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8.9%</w:t>
            </w:r>
          </w:p>
        </w:tc>
      </w:tr>
      <w:tr>
        <w:trPr>
          <w:trHeight w:val="50"/>
        </w:trPr>
        <w:tc>
          <w:tcPr>
            <w:tcW w:w="5220" w:type="dxa"/>
            <w:vAlign w:val="bottom"/>
            <w:tcBorders>
              <w:bottom w:val="single" w:sz="8" w:color="5D89B4"/>
            </w:tcBorders>
          </w:tcPr>
          <w:p>
            <w:pPr>
              <w:spacing w:after="0"/>
              <w:rPr>
                <w:sz w:val="4"/>
                <w:szCs w:val="4"/>
                <w:color w:val="auto"/>
              </w:rPr>
            </w:pPr>
          </w:p>
        </w:tc>
        <w:tc>
          <w:tcPr>
            <w:tcW w:w="37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Based on 53,509,297 shares of common stock outstanding as of the record date.</w:t>
      </w:r>
    </w:p>
    <w:p>
      <w:pPr>
        <w:spacing w:after="0" w:line="79" w:lineRule="exact"/>
        <w:rPr>
          <w:rFonts w:ascii="Arial" w:cs="Arial" w:eastAsia="Arial" w:hAnsi="Arial"/>
          <w:sz w:val="14"/>
          <w:szCs w:val="14"/>
          <w:color w:val="auto"/>
        </w:rPr>
      </w:pPr>
    </w:p>
    <w:p>
      <w:pPr>
        <w:ind w:left="440" w:right="20" w:hanging="433"/>
        <w:spacing w:after="0" w:line="242" w:lineRule="auto"/>
        <w:tabs>
          <w:tab w:leader="none" w:pos="4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11, 2022. According to this Schedule 13G, these securities are owned by Capital World Investors (“CWI”),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CWI has sole voting power with respect to 6,643,322 shares held and sole dispositive power with respect to 6,643,322 shares held.</w:t>
      </w:r>
    </w:p>
    <w:p>
      <w:pPr>
        <w:spacing w:after="0" w:line="70" w:lineRule="exact"/>
        <w:rPr>
          <w:rFonts w:ascii="Arial" w:cs="Arial" w:eastAsia="Arial" w:hAnsi="Arial"/>
          <w:sz w:val="14"/>
          <w:szCs w:val="14"/>
          <w:color w:val="auto"/>
        </w:rPr>
      </w:pPr>
    </w:p>
    <w:p>
      <w:pPr>
        <w:ind w:left="440" w:right="280" w:hanging="433"/>
        <w:spacing w:after="0" w:line="246" w:lineRule="auto"/>
        <w:tabs>
          <w:tab w:leader="none" w:pos="4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10, 2022. According to this Schedule 13G, these securities are owned by various individual and institutional investors for which Vanguard Group, Inc. (“Vanguard”) serves as investment advisor. Vanguard has shared voting power with respect to 32,387 shares held, sole dispositive power with respect to 6,185,665 shares held and shared dispositive power with respect to 77,548 shares held.</w:t>
      </w:r>
    </w:p>
    <w:p>
      <w:pPr>
        <w:spacing w:after="0" w:line="66" w:lineRule="exact"/>
        <w:rPr>
          <w:rFonts w:ascii="Arial" w:cs="Arial" w:eastAsia="Arial" w:hAnsi="Arial"/>
          <w:sz w:val="14"/>
          <w:szCs w:val="14"/>
          <w:color w:val="auto"/>
        </w:rPr>
      </w:pPr>
    </w:p>
    <w:p>
      <w:pPr>
        <w:ind w:left="440" w:right="20" w:hanging="433"/>
        <w:spacing w:after="0" w:line="241" w:lineRule="auto"/>
        <w:tabs>
          <w:tab w:leader="none" w:pos="4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2, 2022 by BlackRock, Inc. on its behalf and on behalf of its following affiliates: BlackRock Life Limited, Aperio Group, LLC,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Investment Management (Australia) Limited, BlackRock Advisors (UK) Limited, BlackRock Fund Advisors, BlackRock (Singapore) Limited, and BlackRock Fund Managers Ltd. According to this Schedule 13G, these securities are owned of record by BlackRock, Inc. BlackRock, Inc. has sole voting power with respect to 4,505,359 shares held and sole dispositive power with respect to 4,779,808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69297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7"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70</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49" w:right="499" w:bottom="1440" w:gutter="0" w:footer="0" w:header="0"/>
        </w:sectPr>
      </w:pPr>
    </w:p>
    <w:bookmarkStart w:id="82" w:name="page83"/>
    <w:bookmarkEnd w:id="82"/>
    <w:p>
      <w:pPr>
        <w:ind w:right="1040"/>
        <w:spacing w:after="0" w:line="276" w:lineRule="auto"/>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Beneficial Ownership of Directors and Executive Officers</w:t>
      </w:r>
    </w:p>
    <w:p>
      <w:pPr>
        <w:spacing w:after="0" w:line="223" w:lineRule="exact"/>
        <w:rPr>
          <w:sz w:val="20"/>
          <w:szCs w:val="20"/>
          <w:color w:val="auto"/>
        </w:rPr>
      </w:pPr>
    </w:p>
    <w:p>
      <w:pPr>
        <w:ind w:right="120"/>
        <w:spacing w:after="0" w:line="232" w:lineRule="auto"/>
        <w:rPr>
          <w:sz w:val="20"/>
          <w:szCs w:val="20"/>
          <w:color w:val="auto"/>
        </w:rPr>
      </w:pPr>
      <w:r>
        <w:rPr>
          <w:rFonts w:ascii="Arial" w:cs="Arial" w:eastAsia="Arial" w:hAnsi="Arial"/>
          <w:sz w:val="15"/>
          <w:szCs w:val="15"/>
          <w:color w:val="auto"/>
        </w:rPr>
        <w:t>Set forth in the table below, as of February 25, 2022,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25, 2022 by such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40" w:type="dxa"/>
            <w:vAlign w:val="bottom"/>
            <w:shd w:val="clear" w:color="auto" w:fill="EAEAEA"/>
          </w:tcPr>
          <w:p>
            <w:pPr>
              <w:spacing w:after="0"/>
              <w:rPr>
                <w:sz w:val="18"/>
                <w:szCs w:val="18"/>
                <w:color w:val="auto"/>
              </w:rPr>
            </w:pPr>
          </w:p>
        </w:tc>
        <w:tc>
          <w:tcPr>
            <w:tcW w:w="2540" w:type="dxa"/>
            <w:vAlign w:val="bottom"/>
            <w:shd w:val="clear" w:color="auto" w:fill="EAEAEA"/>
          </w:tcPr>
          <w:p>
            <w:pPr>
              <w:jc w:val="right"/>
              <w:ind w:right="425"/>
              <w:spacing w:after="0"/>
              <w:rPr>
                <w:sz w:val="20"/>
                <w:szCs w:val="20"/>
                <w:color w:val="auto"/>
              </w:rPr>
            </w:pPr>
            <w:r>
              <w:rPr>
                <w:rFonts w:ascii="Arial" w:cs="Arial" w:eastAsia="Arial" w:hAnsi="Arial"/>
                <w:sz w:val="14"/>
                <w:szCs w:val="14"/>
                <w:b w:val="1"/>
                <w:bCs w:val="1"/>
                <w:color w:val="5D89B4"/>
              </w:rPr>
              <w:t>COMMON STOCK</w:t>
            </w:r>
          </w:p>
        </w:tc>
        <w:tc>
          <w:tcPr>
            <w:tcW w:w="2200" w:type="dxa"/>
            <w:vAlign w:val="bottom"/>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RIGHT TO</w:t>
            </w:r>
          </w:p>
        </w:tc>
        <w:tc>
          <w:tcPr>
            <w:tcW w:w="1640" w:type="dxa"/>
            <w:vAlign w:val="bottom"/>
            <w:shd w:val="clear" w:color="auto" w:fill="EAEAEA"/>
          </w:tcPr>
          <w:p>
            <w:pPr>
              <w:spacing w:after="0"/>
              <w:rPr>
                <w:sz w:val="18"/>
                <w:szCs w:val="18"/>
                <w:color w:val="auto"/>
              </w:rPr>
            </w:pPr>
          </w:p>
        </w:tc>
      </w:tr>
      <w:tr>
        <w:trPr>
          <w:trHeight w:val="160"/>
        </w:trPr>
        <w:tc>
          <w:tcPr>
            <w:tcW w:w="4540" w:type="dxa"/>
            <w:vAlign w:val="bottom"/>
            <w:shd w:val="clear" w:color="auto" w:fill="EAEAEA"/>
          </w:tcPr>
          <w:p>
            <w:pPr>
              <w:spacing w:after="0"/>
              <w:rPr>
                <w:sz w:val="13"/>
                <w:szCs w:val="13"/>
                <w:color w:val="auto"/>
              </w:rPr>
            </w:pPr>
          </w:p>
        </w:tc>
        <w:tc>
          <w:tcPr>
            <w:tcW w:w="2540" w:type="dxa"/>
            <w:vAlign w:val="bottom"/>
            <w:shd w:val="clear" w:color="auto" w:fill="EAEAEA"/>
          </w:tcPr>
          <w:p>
            <w:pPr>
              <w:jc w:val="right"/>
              <w:ind w:right="425"/>
              <w:spacing w:after="0"/>
              <w:rPr>
                <w:sz w:val="20"/>
                <w:szCs w:val="20"/>
                <w:color w:val="auto"/>
              </w:rPr>
            </w:pPr>
            <w:r>
              <w:rPr>
                <w:rFonts w:ascii="Arial" w:cs="Arial" w:eastAsia="Arial" w:hAnsi="Arial"/>
                <w:sz w:val="14"/>
                <w:szCs w:val="14"/>
                <w:b w:val="1"/>
                <w:bCs w:val="1"/>
                <w:color w:val="5D89B4"/>
              </w:rPr>
              <w:t>BENEFICIALLY</w:t>
            </w:r>
          </w:p>
        </w:tc>
        <w:tc>
          <w:tcPr>
            <w:tcW w:w="2200" w:type="dxa"/>
            <w:vAlign w:val="bottom"/>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ACQUIRE COMMON</w:t>
            </w:r>
          </w:p>
        </w:tc>
        <w:tc>
          <w:tcPr>
            <w:tcW w:w="1640" w:type="dxa"/>
            <w:vAlign w:val="bottom"/>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PERCENT OF</w:t>
            </w:r>
          </w:p>
        </w:tc>
      </w:tr>
      <w:tr>
        <w:trPr>
          <w:trHeight w:val="234"/>
        </w:trPr>
        <w:tc>
          <w:tcPr>
            <w:tcW w:w="45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 OF BENEFICIAL OWNER</w:t>
            </w:r>
          </w:p>
        </w:tc>
        <w:tc>
          <w:tcPr>
            <w:tcW w:w="2540" w:type="dxa"/>
            <w:vAlign w:val="bottom"/>
            <w:tcBorders>
              <w:bottom w:val="single" w:sz="8" w:color="EAEAEA"/>
            </w:tcBorders>
            <w:shd w:val="clear" w:color="auto" w:fill="EAEAEA"/>
          </w:tcPr>
          <w:p>
            <w:pPr>
              <w:jc w:val="right"/>
              <w:ind w:right="425"/>
              <w:spacing w:after="0"/>
              <w:rPr>
                <w:sz w:val="20"/>
                <w:szCs w:val="20"/>
                <w:color w:val="auto"/>
              </w:rPr>
            </w:pPr>
            <w:r>
              <w:rPr>
                <w:rFonts w:ascii="Arial" w:cs="Arial" w:eastAsia="Arial" w:hAnsi="Arial"/>
                <w:sz w:val="14"/>
                <w:szCs w:val="14"/>
                <w:b w:val="1"/>
                <w:bCs w:val="1"/>
                <w:color w:val="5D89B4"/>
              </w:rPr>
              <w:t>OWNED(1)(3)</w:t>
            </w:r>
          </w:p>
        </w:tc>
        <w:tc>
          <w:tcPr>
            <w:tcW w:w="2200" w:type="dxa"/>
            <w:vAlign w:val="bottom"/>
            <w:tcBorders>
              <w:bottom w:val="single" w:sz="8" w:color="EAEAEA"/>
            </w:tcBorders>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STOCK(1)(2)</w:t>
            </w:r>
          </w:p>
        </w:tc>
        <w:tc>
          <w:tcPr>
            <w:tcW w:w="1640" w:type="dxa"/>
            <w:vAlign w:val="bottom"/>
            <w:tcBorders>
              <w:bottom w:val="single" w:sz="8" w:color="EAEAEA"/>
            </w:tcBorders>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CLASS</w:t>
            </w:r>
          </w:p>
        </w:tc>
      </w:tr>
      <w:tr>
        <w:trPr>
          <w:trHeight w:val="24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745,098</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446,481</w:t>
            </w:r>
          </w:p>
        </w:tc>
        <w:tc>
          <w:tcPr>
            <w:tcW w:w="1640" w:type="dxa"/>
            <w:vAlign w:val="bottom"/>
          </w:tcPr>
          <w:p>
            <w:pPr>
              <w:jc w:val="right"/>
              <w:ind w:right="165"/>
              <w:spacing w:after="0"/>
              <w:rPr>
                <w:sz w:val="20"/>
                <w:szCs w:val="20"/>
                <w:color w:val="auto"/>
              </w:rPr>
            </w:pPr>
            <w:r>
              <w:rPr>
                <w:rFonts w:ascii="Arial" w:cs="Arial" w:eastAsia="Arial" w:hAnsi="Arial"/>
                <w:sz w:val="15"/>
                <w:szCs w:val="15"/>
                <w:color w:val="auto"/>
              </w:rPr>
              <w:t>1.4%</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Gina R. Boswell</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10,730</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39,683</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31,178</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26,000</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10,027</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4,085</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119,337</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97,482</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20,042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13,094</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9,132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9,822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25,969</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12,395</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All directors and executive officers as a group (15 persons)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1,032,320</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588,235</w:t>
            </w:r>
          </w:p>
        </w:tc>
        <w:tc>
          <w:tcPr>
            <w:tcW w:w="1640" w:type="dxa"/>
            <w:vAlign w:val="bottom"/>
          </w:tcPr>
          <w:p>
            <w:pPr>
              <w:jc w:val="right"/>
              <w:ind w:right="165"/>
              <w:spacing w:after="0"/>
              <w:rPr>
                <w:sz w:val="20"/>
                <w:szCs w:val="20"/>
                <w:color w:val="auto"/>
              </w:rPr>
            </w:pPr>
            <w:r>
              <w:rPr>
                <w:rFonts w:ascii="Arial" w:cs="Arial" w:eastAsia="Arial" w:hAnsi="Arial"/>
                <w:sz w:val="15"/>
                <w:szCs w:val="15"/>
                <w:color w:val="auto"/>
              </w:rPr>
              <w:t>1.9%</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hanging="433"/>
        <w:spacing w:after="0"/>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Less than 1% of outstanding shares.</w:t>
      </w:r>
    </w:p>
    <w:p>
      <w:pPr>
        <w:spacing w:after="0" w:line="66" w:lineRule="exact"/>
        <w:rPr>
          <w:sz w:val="20"/>
          <w:szCs w:val="20"/>
          <w:color w:val="auto"/>
        </w:rPr>
      </w:pPr>
    </w:p>
    <w:p>
      <w:pPr>
        <w:ind w:left="440" w:right="120" w:hanging="433"/>
        <w:spacing w:after="0" w:line="254" w:lineRule="auto"/>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71</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50" w:right="49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BENEFICIAL OWNERSHIP OF DIRECTORS AND EXECUTIVE OFFICERS</w:t>
      </w:r>
    </w:p>
    <w:p>
      <w:pPr>
        <w:spacing w:after="0" w:line="173" w:lineRule="exact"/>
        <w:rPr>
          <w:sz w:val="20"/>
          <w:szCs w:val="20"/>
          <w:color w:val="auto"/>
        </w:rPr>
      </w:pPr>
    </w:p>
    <w:p>
      <w:pPr>
        <w:ind w:left="440"/>
        <w:spacing w:after="0" w:line="246" w:lineRule="auto"/>
        <w:rPr>
          <w:sz w:val="20"/>
          <w:szCs w:val="20"/>
          <w:color w:val="auto"/>
        </w:rPr>
      </w:pPr>
      <w:r>
        <w:rPr>
          <w:rFonts w:ascii="Arial" w:cs="Arial" w:eastAsia="Arial" w:hAnsi="Arial"/>
          <w:sz w:val="14"/>
          <w:szCs w:val="14"/>
          <w:color w:val="auto"/>
        </w:rPr>
        <w:t>The table additionally does not include vested shares of deferred stock, which will be settled in shares of ManpowerGroup common stock on a one-for-one basis, held by the following directors that were issued under the 2011 Equity Incentive Plan and the Terms and Conditions Regarding the Grant of Awards to Non-Employee Directors under the 2011 Equity Incentive Plan:</w:t>
      </w: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7400" w:type="dxa"/>
            <w:vAlign w:val="bottom"/>
            <w:shd w:val="clear" w:color="auto" w:fill="EAEAEA"/>
          </w:tcPr>
          <w:p>
            <w:pPr>
              <w:spacing w:after="0"/>
              <w:rPr>
                <w:sz w:val="18"/>
                <w:szCs w:val="18"/>
                <w:color w:val="auto"/>
              </w:rPr>
            </w:pPr>
          </w:p>
        </w:tc>
        <w:tc>
          <w:tcPr>
            <w:tcW w:w="26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VESTED DEFERRED</w:t>
            </w:r>
          </w:p>
        </w:tc>
      </w:tr>
      <w:tr>
        <w:trPr>
          <w:trHeight w:val="234"/>
        </w:trPr>
        <w:tc>
          <w:tcPr>
            <w:tcW w:w="74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26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STOCK 2011 PLAN</w:t>
            </w:r>
          </w:p>
        </w:tc>
      </w:tr>
      <w:tr>
        <w:trPr>
          <w:trHeight w:val="24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640" w:type="dxa"/>
            <w:vAlign w:val="bottom"/>
          </w:tcPr>
          <w:p>
            <w:pPr>
              <w:jc w:val="right"/>
              <w:spacing w:after="0"/>
              <w:rPr>
                <w:sz w:val="20"/>
                <w:szCs w:val="20"/>
                <w:color w:val="auto"/>
              </w:rPr>
            </w:pPr>
            <w:r>
              <w:rPr>
                <w:rFonts w:ascii="Arial" w:cs="Arial" w:eastAsia="Arial" w:hAnsi="Arial"/>
                <w:sz w:val="15"/>
                <w:szCs w:val="15"/>
                <w:color w:val="auto"/>
              </w:rPr>
              <w:t>2,085</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640" w:type="dxa"/>
            <w:vAlign w:val="bottom"/>
          </w:tcPr>
          <w:p>
            <w:pPr>
              <w:jc w:val="right"/>
              <w:spacing w:after="0"/>
              <w:rPr>
                <w:sz w:val="20"/>
                <w:szCs w:val="20"/>
                <w:color w:val="auto"/>
              </w:rPr>
            </w:pPr>
            <w:r>
              <w:rPr>
                <w:rFonts w:ascii="Arial" w:cs="Arial" w:eastAsia="Arial" w:hAnsi="Arial"/>
                <w:sz w:val="15"/>
                <w:szCs w:val="15"/>
                <w:color w:val="auto"/>
              </w:rPr>
              <w:t>29,285</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640" w:type="dxa"/>
            <w:vAlign w:val="bottom"/>
          </w:tcPr>
          <w:p>
            <w:pPr>
              <w:jc w:val="right"/>
              <w:spacing w:after="0"/>
              <w:rPr>
                <w:sz w:val="20"/>
                <w:szCs w:val="20"/>
                <w:color w:val="auto"/>
              </w:rPr>
            </w:pPr>
            <w:r>
              <w:rPr>
                <w:rFonts w:ascii="Arial" w:cs="Arial" w:eastAsia="Arial" w:hAnsi="Arial"/>
                <w:sz w:val="15"/>
                <w:szCs w:val="15"/>
                <w:color w:val="auto"/>
              </w:rPr>
              <w:t>15,483</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640" w:type="dxa"/>
            <w:vAlign w:val="bottom"/>
          </w:tcPr>
          <w:p>
            <w:pPr>
              <w:jc w:val="right"/>
              <w:spacing w:after="0"/>
              <w:rPr>
                <w:sz w:val="20"/>
                <w:szCs w:val="20"/>
                <w:color w:val="auto"/>
              </w:rPr>
            </w:pPr>
            <w:r>
              <w:rPr>
                <w:rFonts w:ascii="Arial" w:cs="Arial" w:eastAsia="Arial" w:hAnsi="Arial"/>
                <w:sz w:val="15"/>
                <w:szCs w:val="15"/>
                <w:color w:val="auto"/>
              </w:rPr>
              <w:t>3,171</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640" w:type="dxa"/>
            <w:vAlign w:val="bottom"/>
          </w:tcPr>
          <w:p>
            <w:pPr>
              <w:jc w:val="right"/>
              <w:spacing w:after="0"/>
              <w:rPr>
                <w:sz w:val="20"/>
                <w:szCs w:val="20"/>
                <w:color w:val="auto"/>
              </w:rPr>
            </w:pPr>
            <w:r>
              <w:rPr>
                <w:rFonts w:ascii="Arial" w:cs="Arial" w:eastAsia="Arial" w:hAnsi="Arial"/>
                <w:sz w:val="15"/>
                <w:szCs w:val="15"/>
                <w:color w:val="auto"/>
              </w:rPr>
              <w:t>4,658</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640" w:type="dxa"/>
            <w:vAlign w:val="bottom"/>
          </w:tcPr>
          <w:p>
            <w:pPr>
              <w:jc w:val="right"/>
              <w:spacing w:after="0"/>
              <w:rPr>
                <w:sz w:val="20"/>
                <w:szCs w:val="20"/>
                <w:color w:val="auto"/>
              </w:rPr>
            </w:pPr>
            <w:r>
              <w:rPr>
                <w:rFonts w:ascii="Arial" w:cs="Arial" w:eastAsia="Arial" w:hAnsi="Arial"/>
                <w:sz w:val="15"/>
                <w:szCs w:val="15"/>
                <w:color w:val="auto"/>
              </w:rPr>
              <w:t>11,004</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640" w:type="dxa"/>
            <w:vAlign w:val="bottom"/>
          </w:tcPr>
          <w:p>
            <w:pPr>
              <w:jc w:val="right"/>
              <w:spacing w:after="0"/>
              <w:rPr>
                <w:sz w:val="20"/>
                <w:szCs w:val="20"/>
                <w:color w:val="auto"/>
              </w:rPr>
            </w:pPr>
            <w:r>
              <w:rPr>
                <w:rFonts w:ascii="Arial" w:cs="Arial" w:eastAsia="Arial" w:hAnsi="Arial"/>
                <w:sz w:val="15"/>
                <w:szCs w:val="15"/>
                <w:color w:val="auto"/>
              </w:rPr>
              <w:t>5,294</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640" w:type="dxa"/>
            <w:vAlign w:val="bottom"/>
          </w:tcPr>
          <w:p>
            <w:pPr>
              <w:jc w:val="right"/>
              <w:spacing w:after="0"/>
              <w:rPr>
                <w:sz w:val="20"/>
                <w:szCs w:val="20"/>
                <w:color w:val="auto"/>
              </w:rPr>
            </w:pPr>
            <w:r>
              <w:rPr>
                <w:rFonts w:ascii="Arial" w:cs="Arial" w:eastAsia="Arial" w:hAnsi="Arial"/>
                <w:sz w:val="15"/>
                <w:szCs w:val="15"/>
                <w:color w:val="auto"/>
              </w:rPr>
              <w:t>5,294</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640" w:type="dxa"/>
            <w:vAlign w:val="bottom"/>
          </w:tcPr>
          <w:p>
            <w:pPr>
              <w:jc w:val="right"/>
              <w:spacing w:after="0"/>
              <w:rPr>
                <w:sz w:val="20"/>
                <w:szCs w:val="20"/>
                <w:color w:val="auto"/>
              </w:rPr>
            </w:pPr>
            <w:r>
              <w:rPr>
                <w:rFonts w:ascii="Arial" w:cs="Arial" w:eastAsia="Arial" w:hAnsi="Arial"/>
                <w:sz w:val="15"/>
                <w:szCs w:val="15"/>
                <w:color w:val="auto"/>
              </w:rPr>
              <w:t>3,890</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jc w:val="both"/>
        <w:ind w:left="440"/>
        <w:spacing w:after="0" w:line="246" w:lineRule="auto"/>
        <w:rPr>
          <w:sz w:val="20"/>
          <w:szCs w:val="20"/>
          <w:color w:val="auto"/>
        </w:rPr>
      </w:pPr>
      <w:r>
        <w:rPr>
          <w:rFonts w:ascii="Arial" w:cs="Arial" w:eastAsia="Arial" w:hAnsi="Arial"/>
          <w:sz w:val="14"/>
          <w:szCs w:val="14"/>
          <w:color w:val="auto"/>
        </w:rPr>
        <w:t>The table does not include 1,798 unvested shares of deferred stock, which will be settled in shares of ManpowerGroup common stock on a one-for-one basis, held by each of Mr. Courtois, Mr. Ferraro, Mr. Gipson, Ms. Hemingway Hall, Ms. Howard, Mr. Payne, and Mr. Van Handel that were issued under the 2011 Plan and the Terms and Conditions on January 1, 2022. These shares of deferred stock vest in equal quarterly installments during 2022.</w:t>
      </w:r>
    </w:p>
    <w:p>
      <w:pPr>
        <w:spacing w:after="0" w:line="53" w:lineRule="exact"/>
        <w:rPr>
          <w:sz w:val="20"/>
          <w:szCs w:val="20"/>
          <w:color w:val="auto"/>
        </w:rPr>
      </w:pPr>
    </w:p>
    <w:p>
      <w:pPr>
        <w:ind w:left="440" w:hanging="433"/>
        <w:spacing w:after="0"/>
        <w:tabs>
          <w:tab w:leader="none" w:pos="4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Common stock that may be acquired within 60 days of the record date through the exercise of stock options and the settlement of vested RSUs.</w:t>
      </w:r>
    </w:p>
    <w:p>
      <w:pPr>
        <w:spacing w:after="0" w:line="66" w:lineRule="exact"/>
        <w:rPr>
          <w:rFonts w:ascii="Arial" w:cs="Arial" w:eastAsia="Arial" w:hAnsi="Arial"/>
          <w:sz w:val="14"/>
          <w:szCs w:val="14"/>
          <w:color w:val="auto"/>
        </w:rPr>
      </w:pPr>
    </w:p>
    <w:p>
      <w:pPr>
        <w:ind w:left="440" w:hanging="433"/>
        <w:spacing w:after="0"/>
        <w:tabs>
          <w:tab w:leader="none" w:pos="4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the following number of shares of unvested restricted stock as of the record date:</w:t>
      </w:r>
    </w:p>
    <w:p>
      <w:pPr>
        <w:spacing w:after="0" w:line="236"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6700" w:type="dxa"/>
            <w:vAlign w:val="bottom"/>
            <w:shd w:val="clear" w:color="auto" w:fill="EAEAEA"/>
          </w:tcPr>
          <w:p>
            <w:pPr>
              <w:spacing w:after="0"/>
              <w:rPr>
                <w:sz w:val="18"/>
                <w:szCs w:val="18"/>
                <w:color w:val="auto"/>
              </w:rPr>
            </w:pPr>
          </w:p>
        </w:tc>
        <w:tc>
          <w:tcPr>
            <w:tcW w:w="33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UNVESTED RESTRICTED</w:t>
            </w:r>
          </w:p>
        </w:tc>
      </w:tr>
      <w:tr>
        <w:trPr>
          <w:trHeight w:val="234"/>
        </w:trPr>
        <w:tc>
          <w:tcPr>
            <w:tcW w:w="67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3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STOCK</w:t>
            </w:r>
          </w:p>
        </w:tc>
      </w:tr>
      <w:tr>
        <w:trPr>
          <w:trHeight w:val="24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Gina R. Boswell</w:t>
            </w:r>
          </w:p>
        </w:tc>
        <w:tc>
          <w:tcPr>
            <w:tcW w:w="3340" w:type="dxa"/>
            <w:vAlign w:val="bottom"/>
          </w:tcPr>
          <w:p>
            <w:pPr>
              <w:jc w:val="right"/>
              <w:spacing w:after="0"/>
              <w:rPr>
                <w:sz w:val="20"/>
                <w:szCs w:val="20"/>
                <w:color w:val="auto"/>
              </w:rPr>
            </w:pPr>
            <w:r>
              <w:rPr>
                <w:rFonts w:ascii="Arial" w:cs="Arial" w:eastAsia="Arial" w:hAnsi="Arial"/>
                <w:sz w:val="15"/>
                <w:szCs w:val="15"/>
                <w:color w:val="auto"/>
              </w:rPr>
              <w:t>1,798</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r>
        <w:trPr>
          <w:trHeight w:val="22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3340" w:type="dxa"/>
            <w:vAlign w:val="bottom"/>
          </w:tcPr>
          <w:p>
            <w:pPr>
              <w:jc w:val="right"/>
              <w:spacing w:after="0"/>
              <w:rPr>
                <w:sz w:val="20"/>
                <w:szCs w:val="20"/>
                <w:color w:val="auto"/>
              </w:rPr>
            </w:pPr>
            <w:r>
              <w:rPr>
                <w:rFonts w:ascii="Arial" w:cs="Arial" w:eastAsia="Arial" w:hAnsi="Arial"/>
                <w:sz w:val="15"/>
                <w:szCs w:val="15"/>
                <w:color w:val="auto"/>
              </w:rPr>
              <w:t>1,798</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r>
        <w:trPr>
          <w:trHeight w:val="22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3340" w:type="dxa"/>
            <w:vAlign w:val="bottom"/>
          </w:tcPr>
          <w:p>
            <w:pPr>
              <w:jc w:val="right"/>
              <w:spacing w:after="0"/>
              <w:rPr>
                <w:sz w:val="20"/>
                <w:szCs w:val="20"/>
                <w:color w:val="auto"/>
              </w:rPr>
            </w:pPr>
            <w:r>
              <w:rPr>
                <w:rFonts w:ascii="Arial" w:cs="Arial" w:eastAsia="Arial" w:hAnsi="Arial"/>
                <w:sz w:val="15"/>
                <w:szCs w:val="15"/>
                <w:color w:val="auto"/>
              </w:rPr>
              <w:t>1,798</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r>
        <w:trPr>
          <w:trHeight w:val="22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3340" w:type="dxa"/>
            <w:vAlign w:val="bottom"/>
          </w:tcPr>
          <w:p>
            <w:pPr>
              <w:jc w:val="right"/>
              <w:spacing w:after="0"/>
              <w:rPr>
                <w:sz w:val="20"/>
                <w:szCs w:val="20"/>
                <w:color w:val="auto"/>
              </w:rPr>
            </w:pPr>
            <w:r>
              <w:rPr>
                <w:rFonts w:ascii="Arial" w:cs="Arial" w:eastAsia="Arial" w:hAnsi="Arial"/>
                <w:sz w:val="15"/>
                <w:szCs w:val="15"/>
                <w:color w:val="auto"/>
              </w:rPr>
              <w:t>1,798</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holders of the restricted stock have sole voting power with respect to all shares held and no dispositive power with respect to all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72</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165" w:right="539" w:bottom="1440" w:gutter="0" w:footer="0" w:header="0"/>
        </w:sectPr>
      </w:pPr>
    </w:p>
    <w:bookmarkStart w:id="84" w:name="page85"/>
    <w:bookmarkEnd w:id="84"/>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1. Election of Directors</w:t>
      </w:r>
    </w:p>
    <w:p>
      <w:pPr>
        <w:spacing w:after="0" w:line="371" w:lineRule="exact"/>
        <w:rPr>
          <w:sz w:val="20"/>
          <w:szCs w:val="20"/>
          <w:color w:val="auto"/>
        </w:rPr>
      </w:pPr>
    </w:p>
    <w:p>
      <w:pPr>
        <w:ind w:right="280"/>
        <w:spacing w:after="0" w:line="232" w:lineRule="auto"/>
        <w:rPr>
          <w:sz w:val="20"/>
          <w:szCs w:val="20"/>
          <w:color w:val="auto"/>
        </w:rPr>
      </w:pPr>
      <w:r>
        <w:rPr>
          <w:rFonts w:ascii="Arial" w:cs="Arial" w:eastAsia="Arial" w:hAnsi="Arial"/>
          <w:sz w:val="15"/>
          <w:szCs w:val="15"/>
          <w:color w:val="auto"/>
        </w:rPr>
        <w:t>Our articles of incorporation provide that our board of directors will consist of three to fifteen members. Our board of directors currently consists of twelve members. All directors are elected annually to serve until the next annual meeting of shareholders and until the directors’ successors are duly elected and shall qualify.</w:t>
      </w:r>
    </w:p>
    <w:p>
      <w:pPr>
        <w:spacing w:after="0" w:line="115" w:lineRule="exact"/>
        <w:rPr>
          <w:sz w:val="20"/>
          <w:szCs w:val="20"/>
          <w:color w:val="auto"/>
        </w:rPr>
      </w:pPr>
    </w:p>
    <w:p>
      <w:pPr>
        <w:ind w:right="200"/>
        <w:spacing w:after="0" w:line="237" w:lineRule="auto"/>
        <w:rPr>
          <w:sz w:val="20"/>
          <w:szCs w:val="20"/>
          <w:color w:val="auto"/>
        </w:rPr>
      </w:pPr>
      <w:r>
        <w:rPr>
          <w:rFonts w:ascii="Arial" w:cs="Arial" w:eastAsia="Arial" w:hAnsi="Arial"/>
          <w:sz w:val="15"/>
          <w:szCs w:val="15"/>
          <w:color w:val="auto"/>
        </w:rPr>
        <w:t>The board of directors may appoint additional directors, in accordance with our articles of incorporation, based upon the recommendation of the governance and sustainability committee and subject to re-election by our shareholders at the next annual meeting of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D89B4"/>
        </w:rPr>
        <w:t>The following individuals are being nominated as directors, each for a one-year term expiring at the 2022 annual meeting of shareholders: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4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b w:val="1"/>
                <w:bCs w:val="1"/>
                <w:color w:val="5D89B4"/>
              </w:rPr>
              <w:t>DIRECTOR</w:t>
            </w:r>
          </w:p>
        </w:tc>
        <w:tc>
          <w:tcPr>
            <w:tcW w:w="7080" w:type="dxa"/>
            <w:vAlign w:val="bottom"/>
            <w:shd w:val="clear" w:color="auto" w:fill="EAEAEA"/>
          </w:tcPr>
          <w:p>
            <w:pPr>
              <w:spacing w:after="0"/>
              <w:rPr>
                <w:sz w:val="18"/>
                <w:szCs w:val="18"/>
                <w:color w:val="auto"/>
              </w:rPr>
            </w:pPr>
          </w:p>
        </w:tc>
      </w:tr>
      <w:tr>
        <w:trPr>
          <w:trHeight w:val="221"/>
        </w:trPr>
        <w:tc>
          <w:tcPr>
            <w:tcW w:w="23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540" w:type="dxa"/>
            <w:vAlign w:val="bottom"/>
            <w:tcBorders>
              <w:bottom w:val="single" w:sz="8" w:color="EAEAEA"/>
            </w:tcBorders>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AGE</w:t>
            </w:r>
          </w:p>
        </w:tc>
        <w:tc>
          <w:tcPr>
            <w:tcW w:w="96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5D89B4"/>
                <w:w w:val="98"/>
              </w:rPr>
              <w:t>SINCE</w:t>
            </w:r>
          </w:p>
        </w:tc>
        <w:tc>
          <w:tcPr>
            <w:tcW w:w="70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b w:val="1"/>
                <w:bCs w:val="1"/>
                <w:color w:val="5D89B4"/>
              </w:rPr>
              <w:t>PRINCIPAL OCCUPATION</w:t>
            </w:r>
          </w:p>
        </w:tc>
      </w:tr>
      <w:tr>
        <w:trPr>
          <w:trHeight w:val="27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Gina R. Boswell</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59</w:t>
            </w:r>
          </w:p>
        </w:tc>
        <w:tc>
          <w:tcPr>
            <w:tcW w:w="960" w:type="dxa"/>
            <w:vAlign w:val="bottom"/>
          </w:tcPr>
          <w:p>
            <w:pPr>
              <w:jc w:val="center"/>
              <w:spacing w:after="0"/>
              <w:rPr>
                <w:sz w:val="20"/>
                <w:szCs w:val="20"/>
                <w:color w:val="auto"/>
              </w:rPr>
            </w:pPr>
            <w:r>
              <w:rPr>
                <w:rFonts w:ascii="Arial" w:cs="Arial" w:eastAsia="Arial" w:hAnsi="Arial"/>
                <w:sz w:val="15"/>
                <w:szCs w:val="15"/>
                <w:color w:val="auto"/>
              </w:rPr>
              <w:t>2007</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President, US Customer Development, Unilever</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Jean-Philippe Courtois</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61</w:t>
            </w:r>
          </w:p>
        </w:tc>
        <w:tc>
          <w:tcPr>
            <w:tcW w:w="960" w:type="dxa"/>
            <w:vAlign w:val="bottom"/>
          </w:tcPr>
          <w:p>
            <w:pPr>
              <w:jc w:val="center"/>
              <w:spacing w:after="0"/>
              <w:rPr>
                <w:sz w:val="20"/>
                <w:szCs w:val="20"/>
                <w:color w:val="auto"/>
              </w:rPr>
            </w:pPr>
            <w:r>
              <w:rPr>
                <w:rFonts w:ascii="Arial" w:cs="Arial" w:eastAsia="Arial" w:hAnsi="Arial"/>
                <w:sz w:val="15"/>
                <w:szCs w:val="15"/>
                <w:color w:val="auto"/>
              </w:rPr>
              <w:t>2020</w:t>
            </w:r>
          </w:p>
        </w:tc>
        <w:tc>
          <w:tcPr>
            <w:tcW w:w="7080" w:type="dxa"/>
            <w:vAlign w:val="bottom"/>
          </w:tcPr>
          <w:p>
            <w:pPr>
              <w:ind w:left="100"/>
              <w:spacing w:after="0"/>
              <w:rPr>
                <w:sz w:val="20"/>
                <w:szCs w:val="20"/>
                <w:color w:val="auto"/>
              </w:rPr>
            </w:pPr>
            <w:r>
              <w:rPr>
                <w:rFonts w:ascii="Arial" w:cs="Arial" w:eastAsia="Arial" w:hAnsi="Arial"/>
                <w:sz w:val="15"/>
                <w:szCs w:val="15"/>
                <w:color w:val="auto"/>
              </w:rPr>
              <w:t>Executive Vice President, National Transformation Partnerships, Microsoft Corporation</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William Downe</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69</w:t>
            </w:r>
          </w:p>
        </w:tc>
        <w:tc>
          <w:tcPr>
            <w:tcW w:w="960" w:type="dxa"/>
            <w:vAlign w:val="bottom"/>
          </w:tcPr>
          <w:p>
            <w:pPr>
              <w:jc w:val="center"/>
              <w:spacing w:after="0"/>
              <w:rPr>
                <w:sz w:val="20"/>
                <w:szCs w:val="20"/>
                <w:color w:val="auto"/>
              </w:rPr>
            </w:pPr>
            <w:r>
              <w:rPr>
                <w:rFonts w:ascii="Arial" w:cs="Arial" w:eastAsia="Arial" w:hAnsi="Arial"/>
                <w:sz w:val="15"/>
                <w:szCs w:val="15"/>
                <w:color w:val="auto"/>
              </w:rPr>
              <w:t>2011</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Chief Executive Officer of BMO Financial Group</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John F. Ferraro</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66</w:t>
            </w:r>
          </w:p>
        </w:tc>
        <w:tc>
          <w:tcPr>
            <w:tcW w:w="960" w:type="dxa"/>
            <w:vAlign w:val="bottom"/>
          </w:tcPr>
          <w:p>
            <w:pPr>
              <w:jc w:val="center"/>
              <w:spacing w:after="0"/>
              <w:rPr>
                <w:sz w:val="20"/>
                <w:szCs w:val="20"/>
                <w:color w:val="auto"/>
              </w:rPr>
            </w:pPr>
            <w:r>
              <w:rPr>
                <w:rFonts w:ascii="Arial" w:cs="Arial" w:eastAsia="Arial" w:hAnsi="Arial"/>
                <w:sz w:val="15"/>
                <w:szCs w:val="15"/>
                <w:color w:val="auto"/>
              </w:rPr>
              <w:t>2016</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Global Chief Operating Officer, Ernst &amp; Young</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William P. Gipson</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64</w:t>
            </w:r>
          </w:p>
        </w:tc>
        <w:tc>
          <w:tcPr>
            <w:tcW w:w="960" w:type="dxa"/>
            <w:vAlign w:val="bottom"/>
          </w:tcPr>
          <w:p>
            <w:pPr>
              <w:jc w:val="center"/>
              <w:spacing w:after="0"/>
              <w:rPr>
                <w:sz w:val="20"/>
                <w:szCs w:val="20"/>
                <w:color w:val="auto"/>
              </w:rPr>
            </w:pPr>
            <w:r>
              <w:rPr>
                <w:rFonts w:ascii="Arial" w:cs="Arial" w:eastAsia="Arial" w:hAnsi="Arial"/>
                <w:sz w:val="15"/>
                <w:szCs w:val="15"/>
                <w:color w:val="auto"/>
              </w:rPr>
              <w:t>2020</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President, Enterprise Packaging Transformation, Procter &amp; Gamble</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Patricia Hemingway Hall</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69</w:t>
            </w:r>
          </w:p>
        </w:tc>
        <w:tc>
          <w:tcPr>
            <w:tcW w:w="960" w:type="dxa"/>
            <w:vAlign w:val="bottom"/>
          </w:tcPr>
          <w:p>
            <w:pPr>
              <w:jc w:val="center"/>
              <w:spacing w:after="0"/>
              <w:rPr>
                <w:sz w:val="20"/>
                <w:szCs w:val="20"/>
                <w:color w:val="auto"/>
              </w:rPr>
            </w:pPr>
            <w:r>
              <w:rPr>
                <w:rFonts w:ascii="Arial" w:cs="Arial" w:eastAsia="Arial" w:hAnsi="Arial"/>
                <w:sz w:val="15"/>
                <w:szCs w:val="15"/>
                <w:color w:val="auto"/>
              </w:rPr>
              <w:t>2011</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President and Chief Executive Officer, Health Care Service Corporation</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Julie M. Howard</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59</w:t>
            </w:r>
          </w:p>
        </w:tc>
        <w:tc>
          <w:tcPr>
            <w:tcW w:w="960" w:type="dxa"/>
            <w:vAlign w:val="bottom"/>
          </w:tcPr>
          <w:p>
            <w:pPr>
              <w:jc w:val="center"/>
              <w:spacing w:after="0"/>
              <w:rPr>
                <w:sz w:val="20"/>
                <w:szCs w:val="20"/>
                <w:color w:val="auto"/>
              </w:rPr>
            </w:pPr>
            <w:r>
              <w:rPr>
                <w:rFonts w:ascii="Arial" w:cs="Arial" w:eastAsia="Arial" w:hAnsi="Arial"/>
                <w:sz w:val="15"/>
                <w:szCs w:val="15"/>
                <w:color w:val="auto"/>
              </w:rPr>
              <w:t>2016</w:t>
            </w:r>
          </w:p>
        </w:tc>
        <w:tc>
          <w:tcPr>
            <w:tcW w:w="7080" w:type="dxa"/>
            <w:vAlign w:val="bottom"/>
          </w:tcPr>
          <w:p>
            <w:pPr>
              <w:ind w:left="100"/>
              <w:spacing w:after="0"/>
              <w:rPr>
                <w:sz w:val="20"/>
                <w:szCs w:val="20"/>
                <w:color w:val="auto"/>
              </w:rPr>
            </w:pPr>
            <w:r>
              <w:rPr>
                <w:rFonts w:ascii="Arial" w:cs="Arial" w:eastAsia="Arial" w:hAnsi="Arial"/>
                <w:sz w:val="15"/>
                <w:szCs w:val="15"/>
                <w:color w:val="auto"/>
              </w:rPr>
              <w:t>Chief Executive Officer, Riveron Consulting, LLC</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Ulice Payne, Jr.</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66</w:t>
            </w:r>
          </w:p>
        </w:tc>
        <w:tc>
          <w:tcPr>
            <w:tcW w:w="960" w:type="dxa"/>
            <w:vAlign w:val="bottom"/>
          </w:tcPr>
          <w:p>
            <w:pPr>
              <w:jc w:val="center"/>
              <w:spacing w:after="0"/>
              <w:rPr>
                <w:sz w:val="20"/>
                <w:szCs w:val="20"/>
                <w:color w:val="auto"/>
              </w:rPr>
            </w:pPr>
            <w:r>
              <w:rPr>
                <w:rFonts w:ascii="Arial" w:cs="Arial" w:eastAsia="Arial" w:hAnsi="Arial"/>
                <w:sz w:val="15"/>
                <w:szCs w:val="15"/>
                <w:color w:val="auto"/>
              </w:rPr>
              <w:t>2007</w:t>
            </w:r>
          </w:p>
        </w:tc>
        <w:tc>
          <w:tcPr>
            <w:tcW w:w="7080" w:type="dxa"/>
            <w:vAlign w:val="bottom"/>
          </w:tcPr>
          <w:p>
            <w:pPr>
              <w:ind w:left="100"/>
              <w:spacing w:after="0"/>
              <w:rPr>
                <w:sz w:val="20"/>
                <w:szCs w:val="20"/>
                <w:color w:val="auto"/>
              </w:rPr>
            </w:pPr>
            <w:r>
              <w:rPr>
                <w:rFonts w:ascii="Arial" w:cs="Arial" w:eastAsia="Arial" w:hAnsi="Arial"/>
                <w:sz w:val="15"/>
                <w:szCs w:val="15"/>
                <w:color w:val="auto"/>
              </w:rPr>
              <w:t>President and Managing Member, Addison-Clifton, LLC</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Jonas Prising</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57</w:t>
            </w:r>
          </w:p>
        </w:tc>
        <w:tc>
          <w:tcPr>
            <w:tcW w:w="960" w:type="dxa"/>
            <w:vAlign w:val="bottom"/>
          </w:tcPr>
          <w:p>
            <w:pPr>
              <w:jc w:val="center"/>
              <w:spacing w:after="0"/>
              <w:rPr>
                <w:sz w:val="20"/>
                <w:szCs w:val="20"/>
                <w:color w:val="auto"/>
              </w:rPr>
            </w:pPr>
            <w:r>
              <w:rPr>
                <w:rFonts w:ascii="Arial" w:cs="Arial" w:eastAsia="Arial" w:hAnsi="Arial"/>
                <w:sz w:val="15"/>
                <w:szCs w:val="15"/>
                <w:color w:val="auto"/>
              </w:rPr>
              <w:t>2014</w:t>
            </w:r>
          </w:p>
        </w:tc>
        <w:tc>
          <w:tcPr>
            <w:tcW w:w="7080" w:type="dxa"/>
            <w:vAlign w:val="bottom"/>
          </w:tcPr>
          <w:p>
            <w:pPr>
              <w:ind w:left="100"/>
              <w:spacing w:after="0"/>
              <w:rPr>
                <w:sz w:val="20"/>
                <w:szCs w:val="20"/>
                <w:color w:val="auto"/>
              </w:rPr>
            </w:pPr>
            <w:r>
              <w:rPr>
                <w:rFonts w:ascii="Arial" w:cs="Arial" w:eastAsia="Arial" w:hAnsi="Arial"/>
                <w:sz w:val="15"/>
                <w:szCs w:val="15"/>
                <w:color w:val="auto"/>
              </w:rPr>
              <w:t>Chairman and Chief Executive Officer, ManpowerGroup</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Paul Read</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55</w:t>
            </w:r>
          </w:p>
        </w:tc>
        <w:tc>
          <w:tcPr>
            <w:tcW w:w="960" w:type="dxa"/>
            <w:vAlign w:val="bottom"/>
          </w:tcPr>
          <w:p>
            <w:pPr>
              <w:jc w:val="center"/>
              <w:spacing w:after="0"/>
              <w:rPr>
                <w:sz w:val="20"/>
                <w:szCs w:val="20"/>
                <w:color w:val="auto"/>
              </w:rPr>
            </w:pPr>
            <w:r>
              <w:rPr>
                <w:rFonts w:ascii="Arial" w:cs="Arial" w:eastAsia="Arial" w:hAnsi="Arial"/>
                <w:sz w:val="15"/>
                <w:szCs w:val="15"/>
                <w:color w:val="auto"/>
              </w:rPr>
              <w:t>2014</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President and Chief Operating Officer, Ingram Micro, Inc.</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Elizabeth P. Sartain</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67</w:t>
            </w:r>
          </w:p>
        </w:tc>
        <w:tc>
          <w:tcPr>
            <w:tcW w:w="960" w:type="dxa"/>
            <w:vAlign w:val="bottom"/>
          </w:tcPr>
          <w:p>
            <w:pPr>
              <w:jc w:val="center"/>
              <w:spacing w:after="0"/>
              <w:rPr>
                <w:sz w:val="20"/>
                <w:szCs w:val="20"/>
                <w:color w:val="auto"/>
              </w:rPr>
            </w:pPr>
            <w:r>
              <w:rPr>
                <w:rFonts w:ascii="Arial" w:cs="Arial" w:eastAsia="Arial" w:hAnsi="Arial"/>
                <w:sz w:val="15"/>
                <w:szCs w:val="15"/>
                <w:color w:val="auto"/>
              </w:rPr>
              <w:t>2010</w:t>
            </w:r>
          </w:p>
        </w:tc>
        <w:tc>
          <w:tcPr>
            <w:tcW w:w="7080" w:type="dxa"/>
            <w:vAlign w:val="bottom"/>
          </w:tcPr>
          <w:p>
            <w:pPr>
              <w:ind w:left="100"/>
              <w:spacing w:after="0"/>
              <w:rPr>
                <w:sz w:val="20"/>
                <w:szCs w:val="20"/>
                <w:color w:val="auto"/>
              </w:rPr>
            </w:pPr>
            <w:r>
              <w:rPr>
                <w:rFonts w:ascii="Arial" w:cs="Arial" w:eastAsia="Arial" w:hAnsi="Arial"/>
                <w:sz w:val="15"/>
                <w:szCs w:val="15"/>
                <w:color w:val="auto"/>
              </w:rPr>
              <w:t>Independent Human Resource Advisor and Consultant</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r>
        <w:trPr>
          <w:trHeight w:val="251"/>
        </w:trPr>
        <w:tc>
          <w:tcPr>
            <w:tcW w:w="2340" w:type="dxa"/>
            <w:vAlign w:val="bottom"/>
          </w:tcPr>
          <w:p>
            <w:pPr>
              <w:ind w:left="80"/>
              <w:spacing w:after="0"/>
              <w:rPr>
                <w:sz w:val="20"/>
                <w:szCs w:val="20"/>
                <w:color w:val="auto"/>
              </w:rPr>
            </w:pPr>
            <w:r>
              <w:rPr>
                <w:rFonts w:ascii="Arial" w:cs="Arial" w:eastAsia="Arial" w:hAnsi="Arial"/>
                <w:sz w:val="16"/>
                <w:szCs w:val="16"/>
                <w:b w:val="1"/>
                <w:bCs w:val="1"/>
                <w:color w:val="auto"/>
              </w:rPr>
              <w:t>Michael J. Van Handel</w:t>
            </w: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62</w:t>
            </w:r>
          </w:p>
        </w:tc>
        <w:tc>
          <w:tcPr>
            <w:tcW w:w="960" w:type="dxa"/>
            <w:vAlign w:val="bottom"/>
          </w:tcPr>
          <w:p>
            <w:pPr>
              <w:jc w:val="center"/>
              <w:spacing w:after="0"/>
              <w:rPr>
                <w:sz w:val="20"/>
                <w:szCs w:val="20"/>
                <w:color w:val="auto"/>
              </w:rPr>
            </w:pPr>
            <w:r>
              <w:rPr>
                <w:rFonts w:ascii="Arial" w:cs="Arial" w:eastAsia="Arial" w:hAnsi="Arial"/>
                <w:sz w:val="15"/>
                <w:szCs w:val="15"/>
                <w:color w:val="auto"/>
              </w:rPr>
              <w:t>2017</w:t>
            </w:r>
          </w:p>
        </w:tc>
        <w:tc>
          <w:tcPr>
            <w:tcW w:w="7080" w:type="dxa"/>
            <w:vAlign w:val="bottom"/>
          </w:tcPr>
          <w:p>
            <w:pPr>
              <w:ind w:left="100"/>
              <w:spacing w:after="0"/>
              <w:rPr>
                <w:sz w:val="20"/>
                <w:szCs w:val="20"/>
                <w:color w:val="auto"/>
              </w:rPr>
            </w:pPr>
            <w:r>
              <w:rPr>
                <w:rFonts w:ascii="Arial" w:cs="Arial" w:eastAsia="Arial" w:hAnsi="Arial"/>
                <w:sz w:val="15"/>
                <w:szCs w:val="15"/>
                <w:color w:val="auto"/>
              </w:rPr>
              <w:t>Former Senior Executive Vice President, ManpowerGroup</w:t>
            </w:r>
          </w:p>
        </w:tc>
      </w:tr>
      <w:tr>
        <w:trPr>
          <w:trHeight w:val="50"/>
        </w:trPr>
        <w:tc>
          <w:tcPr>
            <w:tcW w:w="234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7080" w:type="dxa"/>
            <w:vAlign w:val="bottom"/>
            <w:tcBorders>
              <w:bottom w:val="single" w:sz="8" w:color="5D89B4"/>
            </w:tcBorders>
          </w:tcPr>
          <w:p>
            <w:pPr>
              <w:spacing w:after="0"/>
              <w:rPr>
                <w:sz w:val="4"/>
                <w:szCs w:val="4"/>
                <w:color w:val="auto"/>
              </w:rPr>
            </w:pPr>
          </w:p>
        </w:tc>
      </w:tr>
    </w:tbl>
    <w:p>
      <w:pPr>
        <w:spacing w:after="0" w:line="211"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The governance and sustainability committee reviewed the qualifications of the directors listed above who are seeking re-election and recommended to the board of directors that each be re-elected to serve for an additional one-year term. The board of directors has confirmed the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73</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249" w:right="49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ELECTION OF DIRECTORS</w:t>
      </w:r>
    </w:p>
    <w:p>
      <w:pPr>
        <w:spacing w:after="0" w:line="165"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governance and sustainability committee. The governance and sustainability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governance and sustainability committee and publicly disclose its decision, and the rationale behind its decision, within 90 days from the date of the announcement of the final results of balloting for the election.</w:t>
      </w:r>
    </w:p>
    <w:p>
      <w:pPr>
        <w:spacing w:after="0" w:line="305" w:lineRule="exact"/>
        <w:rPr>
          <w:sz w:val="20"/>
          <w:szCs w:val="20"/>
          <w:color w:val="auto"/>
        </w:rPr>
      </w:pPr>
    </w:p>
    <w:p>
      <w:pPr>
        <w:ind w:left="220" w:right="400" w:firstLine="1364"/>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you vote FOR the </w:t>
      </w:r>
      <w:r>
        <w:rPr>
          <w:rFonts w:ascii="Arial" w:cs="Arial" w:eastAsia="Arial" w:hAnsi="Arial"/>
          <w:sz w:val="47"/>
          <w:szCs w:val="47"/>
          <w:color w:val="5D89B4"/>
        </w:rPr>
        <w:t xml:space="preserve">1: </w:t>
      </w:r>
      <w:r>
        <w:rPr>
          <w:rFonts w:ascii="Arial" w:cs="Arial" w:eastAsia="Arial" w:hAnsi="Arial"/>
          <w:sz w:val="26"/>
          <w:szCs w:val="26"/>
          <w:b w:val="1"/>
          <w:bCs w:val="1"/>
          <w:color w:val="5D89B4"/>
        </w:rPr>
        <w:t>election of each of the nominees listed above, and your</w:t>
      </w:r>
    </w:p>
    <w:p>
      <w:pPr>
        <w:spacing w:after="0" w:line="3" w:lineRule="exact"/>
        <w:rPr>
          <w:sz w:val="20"/>
          <w:szCs w:val="20"/>
          <w:color w:val="auto"/>
        </w:rPr>
      </w:pPr>
    </w:p>
    <w:p>
      <w:pPr>
        <w:ind w:left="1600"/>
        <w:spacing w:after="0"/>
        <w:rPr>
          <w:sz w:val="20"/>
          <w:szCs w:val="20"/>
          <w:color w:val="auto"/>
        </w:rPr>
      </w:pPr>
      <w:r>
        <w:rPr>
          <w:rFonts w:ascii="Arial" w:cs="Arial" w:eastAsia="Arial" w:hAnsi="Arial"/>
          <w:sz w:val="34"/>
          <w:szCs w:val="34"/>
          <w:b w:val="1"/>
          <w:bCs w:val="1"/>
          <w:color w:val="5D89B4"/>
        </w:rPr>
        <w:t>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69297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74</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86" w:name="page87"/>
    <w:bookmarkEnd w:id="86"/>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2. Ratification of Independent Auditors</w:t>
      </w:r>
    </w:p>
    <w:p>
      <w:pPr>
        <w:spacing w:after="0" w:line="371"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The audit committee of the board of directors has appointed Deloitte &amp; Touche LLP to audit our consolidated financial statements for the fiscal year ending December 31, 2022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5"/>
          <w:szCs w:val="15"/>
          <w:color w:val="auto"/>
        </w:rPr>
        <w:t>If the shareholders do not ratify the appointment of Deloitte &amp; Touche LLP, the audit committee will take such action into account in reconsidering the appointment of our independent auditors for the fiscal year ending December 31, 2022.</w:t>
      </w:r>
    </w:p>
    <w:p>
      <w:pPr>
        <w:spacing w:after="0" w:line="127"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The affirmative vote of a majority of the votes cast on this proposal shall constitute ratification of Deloitte &amp; Touche LLP as our independent auditors for the fiscal year ending December 31, 2022. Abstentions and broker non-votes will not be counted as votes cast and, therefore, will have no impact on the approval of the proposal.</w:t>
      </w:r>
    </w:p>
    <w:p>
      <w:pPr>
        <w:spacing w:after="0" w:line="200" w:lineRule="exact"/>
        <w:rPr>
          <w:sz w:val="20"/>
          <w:szCs w:val="20"/>
          <w:color w:val="auto"/>
        </w:rPr>
      </w:pPr>
    </w:p>
    <w:p>
      <w:pPr>
        <w:spacing w:after="0" w:line="239" w:lineRule="exact"/>
        <w:rPr>
          <w:sz w:val="20"/>
          <w:szCs w:val="20"/>
          <w:color w:val="auto"/>
        </w:rPr>
      </w:pPr>
    </w:p>
    <w:p>
      <w:pPr>
        <w:ind w:left="220" w:right="420" w:firstLine="1538"/>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you vote FOR the </w:t>
      </w:r>
      <w:r>
        <w:rPr>
          <w:rFonts w:ascii="Arial" w:cs="Arial" w:eastAsia="Arial" w:hAnsi="Arial"/>
          <w:sz w:val="47"/>
          <w:szCs w:val="47"/>
          <w:color w:val="5D89B4"/>
        </w:rPr>
        <w:t xml:space="preserve">2: </w:t>
      </w:r>
      <w:r>
        <w:rPr>
          <w:rFonts w:ascii="Arial" w:cs="Arial" w:eastAsia="Arial" w:hAnsi="Arial"/>
          <w:sz w:val="26"/>
          <w:szCs w:val="26"/>
          <w:b w:val="1"/>
          <w:bCs w:val="1"/>
          <w:color w:val="5D89B4"/>
        </w:rPr>
        <w:t>ratification of the appointment of Deloitte &amp; Touche</w:t>
      </w:r>
    </w:p>
    <w:p>
      <w:pPr>
        <w:spacing w:after="0" w:line="3" w:lineRule="exact"/>
        <w:rPr>
          <w:sz w:val="20"/>
          <w:szCs w:val="20"/>
          <w:color w:val="auto"/>
        </w:rPr>
      </w:pPr>
    </w:p>
    <w:p>
      <w:pPr>
        <w:ind w:left="1760" w:right="600"/>
        <w:spacing w:after="0" w:line="243" w:lineRule="auto"/>
        <w:rPr>
          <w:sz w:val="20"/>
          <w:szCs w:val="20"/>
          <w:color w:val="auto"/>
        </w:rPr>
      </w:pPr>
      <w:r>
        <w:rPr>
          <w:rFonts w:ascii="Arial" w:cs="Arial" w:eastAsia="Arial" w:hAnsi="Arial"/>
          <w:sz w:val="34"/>
          <w:szCs w:val="34"/>
          <w:b w:val="1"/>
          <w:bCs w:val="1"/>
          <w:color w:val="5D89B4"/>
        </w:rPr>
        <w:t>LLP as our independent auditors for the fiscal year ending December 31, 2022,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9297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75</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250" w:right="539" w:bottom="1440" w:gutter="0" w:footer="0" w:header="0"/>
        </w:sectPr>
      </w:pPr>
    </w:p>
    <w:bookmarkStart w:id="87" w:name="page88"/>
    <w:bookmarkEnd w:id="87"/>
    <w:p>
      <w:pPr>
        <w:ind w:right="80" w:firstLine="7"/>
        <w:spacing w:after="0" w:line="276" w:lineRule="auto"/>
        <w:tabs>
          <w:tab w:leader="none" w:pos="460" w:val="left"/>
        </w:tabs>
        <w:numPr>
          <w:ilvl w:val="0"/>
          <w:numId w:val="106"/>
        </w:numPr>
        <w:rPr>
          <w:rFonts w:ascii="Arial" w:cs="Arial" w:eastAsia="Arial" w:hAnsi="Arial"/>
          <w:sz w:val="43"/>
          <w:szCs w:val="43"/>
          <w:b w:val="1"/>
          <w:bCs w:val="1"/>
          <w:color w:val="5D89B4"/>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Advisory Vote on Approval of the Compensation of Named Executive Officers</w:t>
      </w:r>
    </w:p>
    <w:p>
      <w:pPr>
        <w:spacing w:after="0" w:line="223"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96" w:lineRule="exact"/>
        <w:rPr>
          <w:sz w:val="20"/>
          <w:szCs w:val="20"/>
          <w:color w:val="auto"/>
        </w:rPr>
      </w:pPr>
    </w:p>
    <w:p>
      <w:pPr>
        <w:spacing w:after="0" w:line="260" w:lineRule="auto"/>
        <w:rPr>
          <w:sz w:val="20"/>
          <w:szCs w:val="20"/>
          <w:color w:val="auto"/>
        </w:rPr>
      </w:pPr>
      <w:r>
        <w:rPr>
          <w:rFonts w:ascii="Arial" w:cs="Arial" w:eastAsia="Arial" w:hAnsi="Arial"/>
          <w:sz w:val="15"/>
          <w:szCs w:val="15"/>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12" w:lineRule="exact"/>
        <w:rPr>
          <w:sz w:val="20"/>
          <w:szCs w:val="20"/>
          <w:color w:val="auto"/>
        </w:rPr>
      </w:pPr>
    </w:p>
    <w:p>
      <w:pPr>
        <w:ind w:right="80"/>
        <w:spacing w:after="0" w:line="229" w:lineRule="auto"/>
        <w:rPr>
          <w:sz w:val="20"/>
          <w:szCs w:val="20"/>
          <w:color w:val="auto"/>
        </w:rPr>
      </w:pPr>
      <w:r>
        <w:rPr>
          <w:rFonts w:ascii="Arial" w:cs="Arial" w:eastAsia="Arial" w:hAnsi="Arial"/>
          <w:sz w:val="15"/>
          <w:szCs w:val="15"/>
          <w:color w:val="auto"/>
        </w:rPr>
        <w:t>ManpowerGroup derives approximately 87% of its revenues from outside the United States, with the largest portions coming from the company’s operating segments in Southern Europe (45%), Northern Europe (23%) and Asia Pacific Middle East (12%). Our business is truly global in nature and complexity. Through our global network of nearly 2,200 offices in 75 countries and territories, we put millions of people to work each year with our global, multinational and local clients across all major industry segments and provide a broad range of workforce solutions including recruitment and assessment, training and development, career management, outsourcing and workforce consulting.</w:t>
      </w:r>
    </w:p>
    <w:p>
      <w:pPr>
        <w:spacing w:after="0" w:line="127" w:lineRule="exact"/>
        <w:rPr>
          <w:sz w:val="20"/>
          <w:szCs w:val="20"/>
          <w:color w:val="auto"/>
        </w:rPr>
      </w:pPr>
    </w:p>
    <w:p>
      <w:pPr>
        <w:jc w:val="both"/>
        <w:ind w:right="100"/>
        <w:spacing w:after="0" w:line="230" w:lineRule="auto"/>
        <w:rPr>
          <w:sz w:val="20"/>
          <w:szCs w:val="20"/>
          <w:color w:val="auto"/>
        </w:rPr>
      </w:pPr>
      <w:r>
        <w:rPr>
          <w:rFonts w:ascii="Arial" w:cs="Arial" w:eastAsia="Arial" w:hAnsi="Arial"/>
          <w:sz w:val="15"/>
          <w:szCs w:val="15"/>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14"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auto"/>
        </w:rPr>
        <w:t>Compensation packages for the executive officers generally include, as short-term arrangements, a base salary and an annual incentive bonus, and for long-term focus and value accumulation, PSUs, stock options and RSUs.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28" w:lineRule="exact"/>
        <w:rPr>
          <w:sz w:val="20"/>
          <w:szCs w:val="20"/>
          <w:color w:val="auto"/>
        </w:rPr>
      </w:pPr>
    </w:p>
    <w:p>
      <w:pPr>
        <w:spacing w:after="0" w:line="226" w:lineRule="auto"/>
        <w:rPr>
          <w:sz w:val="20"/>
          <w:szCs w:val="20"/>
          <w:color w:val="auto"/>
        </w:rPr>
      </w:pPr>
      <w:r>
        <w:rPr>
          <w:rFonts w:ascii="Arial" w:cs="Arial" w:eastAsia="Arial" w:hAnsi="Arial"/>
          <w:sz w:val="15"/>
          <w:szCs w:val="15"/>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PSUs are earned based on OPMP goals, a measure of how efficiently our executive officers have deployed our operating resources to generate a profit, and may be modified within specified bounds based on whether strategic objectives have been achieved during the PSU performance period. We believe using the OPMP metric drives a long-term focus on achieving sustainable profits. In addition, a substantial portion of the annual incentive award paid to the executive officers is based on achievement of earnings per share, return on invested capital and revenue for the year. Earnings per share focuses our executive officers on producing financial results that align with the interests of our shareholders, return on invested capital incentivizes our executive officers to manage our accounts receivable and other capital investments carefully in order to maximize capital deployed, and revenue keeps our NEOs focused on top-line growth, in addition to profitability</w:t>
      </w:r>
      <w:r>
        <w:rPr>
          <w:rFonts w:ascii="Arial" w:cs="Arial" w:eastAsia="Arial" w:hAnsi="Arial"/>
          <w:sz w:val="15"/>
          <w:szCs w:val="15"/>
          <w:b w:val="1"/>
          <w:bCs w:val="1"/>
          <w:color w:val="auto"/>
        </w:rPr>
        <w:t>.</w:t>
      </w:r>
    </w:p>
    <w:p>
      <w:pPr>
        <w:spacing w:after="0" w:line="132"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the award level is correspondingly reduced or eliminated.</w:t>
      </w:r>
    </w:p>
    <w:p>
      <w:pPr>
        <w:spacing w:after="0" w:line="115" w:lineRule="exact"/>
        <w:rPr>
          <w:sz w:val="20"/>
          <w:szCs w:val="20"/>
          <w:color w:val="auto"/>
        </w:rPr>
      </w:pPr>
    </w:p>
    <w:p>
      <w:pPr>
        <w:ind w:right="120"/>
        <w:spacing w:after="0" w:line="232" w:lineRule="auto"/>
        <w:rPr>
          <w:sz w:val="20"/>
          <w:szCs w:val="20"/>
          <w:color w:val="auto"/>
        </w:rPr>
      </w:pPr>
      <w:r>
        <w:rPr>
          <w:rFonts w:ascii="Arial" w:cs="Arial" w:eastAsia="Arial" w:hAnsi="Arial"/>
          <w:sz w:val="15"/>
          <w:szCs w:val="15"/>
          <w:color w:val="auto"/>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PSUs which are earned only to the extent the company achieves a pre-established level of performance tied to a designated performance metric, in this instance OPMP.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9297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76</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49" w:right="519" w:bottom="1440" w:gutter="0" w:footer="0" w:header="0"/>
        </w:sectPr>
      </w:pPr>
    </w:p>
    <w:bookmarkStart w:id="88" w:name="page89"/>
    <w:bookmarkEnd w:id="88"/>
    <w:p>
      <w:pPr>
        <w:ind w:left="3720"/>
        <w:spacing w:after="0"/>
        <w:rPr>
          <w:sz w:val="20"/>
          <w:szCs w:val="20"/>
          <w:color w:val="auto"/>
        </w:rPr>
      </w:pPr>
      <w:r>
        <w:rPr>
          <w:rFonts w:ascii="Arial" w:cs="Arial" w:eastAsia="Arial" w:hAnsi="Arial"/>
          <w:sz w:val="15"/>
          <w:szCs w:val="15"/>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ADVISORY VOTE ON APPROVAL OF THE COMPENSATION OF NAMED EXECUTIVE OFFICERS</w:t>
      </w:r>
    </w:p>
    <w:p>
      <w:pPr>
        <w:spacing w:after="0" w:line="177"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auto"/>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people, culture and compensation committee will take into account the outcome of the vote when considering future executive compensation arrangements.</w:t>
      </w:r>
    </w:p>
    <w:p>
      <w:pPr>
        <w:spacing w:after="0" w:line="200" w:lineRule="exact"/>
        <w:rPr>
          <w:sz w:val="20"/>
          <w:szCs w:val="20"/>
          <w:color w:val="auto"/>
        </w:rPr>
      </w:pPr>
    </w:p>
    <w:p>
      <w:pPr>
        <w:spacing w:after="0" w:line="238" w:lineRule="exact"/>
        <w:rPr>
          <w:sz w:val="20"/>
          <w:szCs w:val="20"/>
          <w:color w:val="auto"/>
        </w:rPr>
      </w:pPr>
    </w:p>
    <w:p>
      <w:pPr>
        <w:ind w:left="220" w:right="340" w:firstLine="1538"/>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that you vote FOR </w:t>
      </w:r>
      <w:r>
        <w:rPr>
          <w:rFonts w:ascii="Arial" w:cs="Arial" w:eastAsia="Arial" w:hAnsi="Arial"/>
          <w:sz w:val="47"/>
          <w:szCs w:val="47"/>
          <w:color w:val="5D89B4"/>
        </w:rPr>
        <w:t xml:space="preserve">3: </w:t>
      </w:r>
      <w:r>
        <w:rPr>
          <w:rFonts w:ascii="Arial" w:cs="Arial" w:eastAsia="Arial" w:hAnsi="Arial"/>
          <w:sz w:val="26"/>
          <w:szCs w:val="26"/>
          <w:b w:val="1"/>
          <w:bCs w:val="1"/>
          <w:color w:val="5D89B4"/>
        </w:rPr>
        <w:t>the proposal to approve the compensation of our</w:t>
      </w:r>
    </w:p>
    <w:p>
      <w:pPr>
        <w:spacing w:after="0" w:line="3" w:lineRule="exact"/>
        <w:rPr>
          <w:sz w:val="20"/>
          <w:szCs w:val="20"/>
          <w:color w:val="auto"/>
        </w:rPr>
      </w:pPr>
    </w:p>
    <w:p>
      <w:pPr>
        <w:ind w:left="1760" w:right="860"/>
        <w:spacing w:after="0" w:line="248" w:lineRule="auto"/>
        <w:rPr>
          <w:sz w:val="20"/>
          <w:szCs w:val="20"/>
          <w:color w:val="auto"/>
        </w:rPr>
      </w:pPr>
      <w:r>
        <w:rPr>
          <w:rFonts w:ascii="Arial" w:cs="Arial" w:eastAsia="Arial" w:hAnsi="Arial"/>
          <w:sz w:val="34"/>
          <w:szCs w:val="34"/>
          <w:b w:val="1"/>
          <w:bCs w:val="1"/>
          <w:color w:val="5D89B4"/>
        </w:rPr>
        <w:t>named executive officers,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69297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7"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77</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5" w:right="499" w:bottom="1440" w:gutter="0" w:footer="0" w:header="0"/>
        </w:sectPr>
      </w:pPr>
    </w:p>
    <w:bookmarkStart w:id="89" w:name="page90"/>
    <w:bookmarkEnd w:id="89"/>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Date, Time, and Place of Meeting</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 xml:space="preserve">Date: </w:t>
      </w:r>
      <w:r>
        <w:rPr>
          <w:rFonts w:ascii="Arial" w:cs="Arial" w:eastAsia="Arial" w:hAnsi="Arial"/>
          <w:sz w:val="18"/>
          <w:szCs w:val="18"/>
          <w:color w:val="000000"/>
        </w:rPr>
        <w:t>May 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 xml:space="preserve">Time: </w:t>
      </w:r>
      <w:r>
        <w:rPr>
          <w:rFonts w:ascii="Arial" w:cs="Arial" w:eastAsia="Arial" w:hAnsi="Arial"/>
          <w:sz w:val="18"/>
          <w:szCs w:val="18"/>
          <w:color w:val="000000"/>
        </w:rPr>
        <w:t>9:00 a.m. CDT</w:t>
      </w:r>
    </w:p>
    <w:p>
      <w:pPr>
        <w:spacing w:after="0"/>
        <w:rPr>
          <w:sz w:val="20"/>
          <w:szCs w:val="20"/>
          <w:color w:val="auto"/>
        </w:rPr>
      </w:pPr>
      <w:r>
        <w:rPr>
          <w:rFonts w:ascii="Arial" w:cs="Arial" w:eastAsia="Arial" w:hAnsi="Arial"/>
          <w:sz w:val="18"/>
          <w:szCs w:val="18"/>
          <w:b w:val="1"/>
          <w:bCs w:val="1"/>
          <w:color w:val="5D89B4"/>
        </w:rPr>
        <w:t xml:space="preserve">Virtual Meeting Access: </w:t>
      </w:r>
      <w:r>
        <w:rPr>
          <w:rFonts w:ascii="Arial" w:cs="Arial" w:eastAsia="Arial" w:hAnsi="Arial"/>
          <w:sz w:val="18"/>
          <w:szCs w:val="18"/>
          <w:u w:val="single" w:color="auto"/>
          <w:color w:val="000000"/>
        </w:rPr>
        <w:t>meetnow.global/MXN79FA</w:t>
      </w:r>
    </w:p>
    <w:p>
      <w:pPr>
        <w:spacing w:after="0" w:line="165"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This proxy statement was first made available to shareholders on or about March 10, 2022. This proxy statement relates to the solicitation of proxies by the board of directors of ManpowerGroup Inc. for the purposes set forth in this proxy statement and in the accompanying notice of annual meeting of shareholders.</w:t>
      </w:r>
    </w:p>
    <w:p>
      <w:pPr>
        <w:spacing w:after="0" w:line="154" w:lineRule="exact"/>
        <w:rPr>
          <w:sz w:val="20"/>
          <w:szCs w:val="20"/>
          <w:color w:val="auto"/>
        </w:rPr>
      </w:pPr>
    </w:p>
    <w:p>
      <w:pPr>
        <w:jc w:val="both"/>
        <w:ind w:right="80"/>
        <w:spacing w:after="0" w:line="232" w:lineRule="auto"/>
        <w:rPr>
          <w:sz w:val="20"/>
          <w:szCs w:val="20"/>
          <w:color w:val="auto"/>
        </w:rPr>
      </w:pPr>
      <w:r>
        <w:rPr>
          <w:rFonts w:ascii="Arial" w:cs="Arial" w:eastAsia="Arial" w:hAnsi="Arial"/>
          <w:sz w:val="15"/>
          <w:szCs w:val="15"/>
          <w:color w:val="auto"/>
        </w:rPr>
        <w:t>Shareholders who execute proxies retain the right to revoke them at any time before the shares are voted by proxy during the meeting. A shareholder may revoke a proxy by delivering a signed statement to our Corporate Secretary at or prior to the annual meeting or by timely executing and delivering, by Internet, telephone, or mail, another proxy dated as of a later date.</w:t>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Proxy Materials are Available on the Internet</w:t>
      </w:r>
    </w:p>
    <w:p>
      <w:pPr>
        <w:spacing w:after="0" w:line="371" w:lineRule="exact"/>
        <w:rPr>
          <w:sz w:val="20"/>
          <w:szCs w:val="20"/>
          <w:color w:val="auto"/>
        </w:rPr>
      </w:pPr>
    </w:p>
    <w:p>
      <w:pPr>
        <w:ind w:right="120"/>
        <w:spacing w:after="0" w:line="229" w:lineRule="auto"/>
        <w:rPr>
          <w:sz w:val="20"/>
          <w:szCs w:val="20"/>
          <w:color w:val="auto"/>
        </w:rPr>
      </w:pPr>
      <w:r>
        <w:rPr>
          <w:rFonts w:ascii="Arial" w:cs="Arial" w:eastAsia="Arial" w:hAnsi="Arial"/>
          <w:sz w:val="15"/>
          <w:szCs w:val="15"/>
          <w:color w:val="auto"/>
        </w:rPr>
        <w:t>Under rules adopted by the Securities and Exchange Commission, ManpowerGroup is making this proxy statement and other annual meeting materials available on the Internet instead of mailing a printed copy of these materials to each shareholder. The Notice is being mailed to shareholders commencing on or about March 24, 2022. Shareholders who receive a Notice of Internet Availability of Proxy Materials (the “Notice”) by mail will not receive a printed copy of these materials.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109" w:lineRule="exact"/>
        <w:rPr>
          <w:sz w:val="20"/>
          <w:szCs w:val="20"/>
          <w:color w:val="auto"/>
        </w:rPr>
      </w:pPr>
    </w:p>
    <w:p>
      <w:pPr>
        <w:ind w:right="240"/>
        <w:spacing w:after="0" w:line="260" w:lineRule="auto"/>
        <w:rPr>
          <w:sz w:val="20"/>
          <w:szCs w:val="20"/>
          <w:color w:val="auto"/>
        </w:rPr>
      </w:pPr>
      <w:r>
        <w:rPr>
          <w:rFonts w:ascii="Arial" w:cs="Arial" w:eastAsia="Arial" w:hAnsi="Arial"/>
          <w:sz w:val="15"/>
          <w:szCs w:val="15"/>
          <w:b w:val="1"/>
          <w:bCs w:val="1"/>
          <w:color w:val="auto"/>
        </w:rPr>
        <w:t>If you received the Notice by mail and would prefer to receive a printed copy of ManpowerGroup’s proxy materials, please follow the instructions for requesting printed copies included in the Notice.</w:t>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Participating in the Annual Meeting</w:t>
      </w:r>
    </w:p>
    <w:p>
      <w:pPr>
        <w:spacing w:after="0" w:line="371"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This year’s annual meeting will be held over the web in a virtual meeting format. Conducting the meeting virtually will ensure shareholder participation and facilitate participation. ManpowerGroup shareholders as of the close of business on February 25, 2022 are entitled to attend and vote and ask questions at the annual meeting.</w:t>
      </w:r>
    </w:p>
    <w:p>
      <w:pPr>
        <w:spacing w:after="0" w:line="155"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Shareholders can begin asking questions approximately five days in advance of the meeting as well as during the meeting by accessing the virtual meeting site. We will answer as many questions as possible during the live webcast Q&amp;A session, as time permits. Only pertinent questions to the Company and the matters of the meeting will be answered. Any pertinent questions of the meeting that are not answered during the Annual Meeting will be addressed and posted to the Company’s website as soon as practical after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Whether or not you participate in the virtual annual meeting, ManpowerGroup urges you to vote and submit your proxy in advance of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ManpowerGroup shareholders can access the meeting at </w:t>
      </w:r>
      <w:r>
        <w:rPr>
          <w:rFonts w:ascii="Arial" w:cs="Arial" w:eastAsia="Arial" w:hAnsi="Arial"/>
          <w:sz w:val="15"/>
          <w:szCs w:val="15"/>
          <w:u w:val="single" w:color="auto"/>
          <w:color w:val="auto"/>
        </w:rPr>
        <w:t>meetnow.global/MXN79FA</w:t>
      </w:r>
      <w:r>
        <w:rPr>
          <w:rFonts w:ascii="Arial" w:cs="Arial" w:eastAsia="Arial" w:hAnsi="Arial"/>
          <w:sz w:val="15"/>
          <w:szCs w:val="15"/>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Registered Shareholders</w:t>
      </w:r>
    </w:p>
    <w:p>
      <w:pPr>
        <w:spacing w:after="0" w:line="81" w:lineRule="exact"/>
        <w:rPr>
          <w:sz w:val="20"/>
          <w:szCs w:val="20"/>
          <w:color w:val="auto"/>
        </w:rPr>
      </w:pPr>
    </w:p>
    <w:p>
      <w:pPr>
        <w:ind w:right="280"/>
        <w:spacing w:after="0" w:line="237" w:lineRule="auto"/>
        <w:rPr>
          <w:sz w:val="20"/>
          <w:szCs w:val="20"/>
          <w:color w:val="auto"/>
        </w:rPr>
      </w:pPr>
      <w:r>
        <w:rPr>
          <w:rFonts w:ascii="Arial" w:cs="Arial" w:eastAsia="Arial" w:hAnsi="Arial"/>
          <w:sz w:val="15"/>
          <w:szCs w:val="15"/>
          <w:color w:val="auto"/>
        </w:rPr>
        <w:t>If you are a registered shareholder, to attend and vote, follow the instructions on the meeting website and enter the control number found on your proxy card or notice, or email you received.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Beneficial Shareholders</w:t>
      </w:r>
    </w:p>
    <w:p>
      <w:pPr>
        <w:spacing w:after="0" w:line="94"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If you are a beneficial shareholder, you must register in advance to attend and vote at the 2022 Annual Meeting. To register you must submit proof of your proxy power (legal proxy) reflecting your ManpowerGroup Inc. holdings along with your name and email address to Computershare. Requests for registration must be labeled as “Legal Proxy” and be received no later than 5:00 p.m., Eastern Time, on May 3, 2022. You will receive a confirmation email from Computershare of your registration and will be issued a control number that will allow you to attend and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78</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480" w:top="1249" w:right="51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SOLICITING PROXIES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Requests for registration should be directed to Computershare at the following:</w:t>
      </w:r>
    </w:p>
    <w:p>
      <w:pPr>
        <w:spacing w:after="0" w:line="111" w:lineRule="exact"/>
        <w:rPr>
          <w:sz w:val="20"/>
          <w:szCs w:val="20"/>
          <w:color w:val="auto"/>
        </w:rPr>
      </w:pPr>
    </w:p>
    <w:p>
      <w:pPr>
        <w:ind w:left="2100" w:right="1740" w:hanging="1310"/>
        <w:spacing w:after="0" w:line="237" w:lineRule="auto"/>
        <w:tabs>
          <w:tab w:leader="none" w:pos="2080" w:val="left"/>
        </w:tabs>
        <w:rPr>
          <w:sz w:val="20"/>
          <w:szCs w:val="20"/>
          <w:color w:val="auto"/>
        </w:rPr>
      </w:pPr>
      <w:r>
        <w:rPr>
          <w:rFonts w:ascii="Arial" w:cs="Arial" w:eastAsia="Arial" w:hAnsi="Arial"/>
          <w:sz w:val="15"/>
          <w:szCs w:val="15"/>
          <w:u w:val="single" w:color="auto"/>
          <w:color w:val="auto"/>
        </w:rPr>
        <w:t>By email</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xml:space="preserve">Forward the email from your broker granting you a Legal Proxy, or attach an image of your Legal Proxy, to </w:t>
      </w:r>
      <w:r>
        <w:rPr>
          <w:rFonts w:ascii="Arial" w:cs="Arial" w:eastAsia="Arial" w:hAnsi="Arial"/>
          <w:sz w:val="15"/>
          <w:szCs w:val="15"/>
          <w:u w:val="single" w:color="auto"/>
          <w:color w:val="auto"/>
        </w:rPr>
        <w:t>legalproxy@computershare.com</w:t>
      </w:r>
    </w:p>
    <w:p>
      <w:pPr>
        <w:spacing w:after="0" w:line="172" w:lineRule="exact"/>
        <w:rPr>
          <w:sz w:val="20"/>
          <w:szCs w:val="20"/>
          <w:color w:val="auto"/>
        </w:rPr>
      </w:pPr>
    </w:p>
    <w:tbl>
      <w:tblPr>
        <w:tblLayout w:type="fixed"/>
        <w:tblInd w:w="780" w:type="dxa"/>
        <w:tblCellMar>
          <w:top w:w="0" w:type="dxa"/>
          <w:left w:w="0" w:type="dxa"/>
          <w:bottom w:w="0" w:type="dxa"/>
          <w:right w:w="0" w:type="dxa"/>
        </w:tblCellMar>
      </w:tblPr>
      <w:tr>
        <w:trPr>
          <w:trHeight w:val="172"/>
        </w:trPr>
        <w:tc>
          <w:tcPr>
            <w:tcW w:w="920" w:type="dxa"/>
            <w:vAlign w:val="bottom"/>
            <w:gridSpan w:val="2"/>
          </w:tcPr>
          <w:p>
            <w:pPr>
              <w:spacing w:after="0"/>
              <w:rPr>
                <w:sz w:val="20"/>
                <w:szCs w:val="20"/>
                <w:color w:val="auto"/>
              </w:rPr>
            </w:pPr>
            <w:r>
              <w:rPr>
                <w:rFonts w:ascii="Arial" w:cs="Arial" w:eastAsia="Arial" w:hAnsi="Arial"/>
                <w:sz w:val="15"/>
                <w:szCs w:val="15"/>
                <w:color w:val="auto"/>
              </w:rPr>
              <w:t>By mail:</w:t>
            </w:r>
          </w:p>
        </w:tc>
        <w:tc>
          <w:tcPr>
            <w:tcW w:w="2360" w:type="dxa"/>
            <w:vAlign w:val="bottom"/>
          </w:tcPr>
          <w:p>
            <w:pPr>
              <w:ind w:left="400"/>
              <w:spacing w:after="0"/>
              <w:rPr>
                <w:sz w:val="20"/>
                <w:szCs w:val="20"/>
                <w:color w:val="auto"/>
              </w:rPr>
            </w:pPr>
            <w:r>
              <w:rPr>
                <w:rFonts w:ascii="Arial" w:cs="Arial" w:eastAsia="Arial" w:hAnsi="Arial"/>
                <w:sz w:val="15"/>
                <w:szCs w:val="15"/>
                <w:color w:val="auto"/>
              </w:rPr>
              <w:t>Computershare</w:t>
            </w:r>
          </w:p>
        </w:tc>
      </w:tr>
      <w:tr>
        <w:trPr>
          <w:trHeight w:val="150"/>
        </w:trPr>
        <w:tc>
          <w:tcPr>
            <w:tcW w:w="5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360" w:type="dxa"/>
            <w:vAlign w:val="bottom"/>
          </w:tcPr>
          <w:p>
            <w:pPr>
              <w:ind w:left="400"/>
              <w:spacing w:after="0" w:line="151" w:lineRule="exact"/>
              <w:rPr>
                <w:sz w:val="20"/>
                <w:szCs w:val="20"/>
                <w:color w:val="auto"/>
              </w:rPr>
            </w:pPr>
            <w:r>
              <w:rPr>
                <w:rFonts w:ascii="Arial" w:cs="Arial" w:eastAsia="Arial" w:hAnsi="Arial"/>
                <w:sz w:val="15"/>
                <w:szCs w:val="15"/>
                <w:color w:val="auto"/>
                <w:w w:val="99"/>
              </w:rPr>
              <w:t>ManpowerGroup Legal Proxy</w:t>
            </w:r>
          </w:p>
        </w:tc>
      </w:tr>
      <w:tr>
        <w:trPr>
          <w:trHeight w:val="160"/>
        </w:trPr>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60" w:type="dxa"/>
            <w:vAlign w:val="bottom"/>
          </w:tcPr>
          <w:p>
            <w:pPr>
              <w:ind w:left="400"/>
              <w:spacing w:after="0" w:line="161" w:lineRule="exact"/>
              <w:rPr>
                <w:sz w:val="20"/>
                <w:szCs w:val="20"/>
                <w:color w:val="auto"/>
              </w:rPr>
            </w:pPr>
            <w:r>
              <w:rPr>
                <w:rFonts w:ascii="Arial" w:cs="Arial" w:eastAsia="Arial" w:hAnsi="Arial"/>
                <w:sz w:val="15"/>
                <w:szCs w:val="15"/>
                <w:color w:val="auto"/>
              </w:rPr>
              <w:t>P.O. Box 43001</w:t>
            </w:r>
          </w:p>
        </w:tc>
      </w:tr>
      <w:tr>
        <w:trPr>
          <w:trHeight w:val="181"/>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60" w:type="dxa"/>
            <w:vAlign w:val="bottom"/>
          </w:tcPr>
          <w:p>
            <w:pPr>
              <w:ind w:left="400"/>
              <w:spacing w:after="0"/>
              <w:rPr>
                <w:sz w:val="20"/>
                <w:szCs w:val="20"/>
                <w:color w:val="auto"/>
              </w:rPr>
            </w:pPr>
            <w:r>
              <w:rPr>
                <w:rFonts w:ascii="Arial" w:cs="Arial" w:eastAsia="Arial" w:hAnsi="Arial"/>
                <w:sz w:val="15"/>
                <w:szCs w:val="15"/>
                <w:color w:val="auto"/>
              </w:rPr>
              <w:t>Providence, RI 02940-3001</w:t>
            </w:r>
          </w:p>
        </w:tc>
      </w:tr>
    </w:tbl>
    <w:p>
      <w:pPr>
        <w:spacing w:after="0" w:line="180" w:lineRule="exact"/>
        <w:rPr>
          <w:sz w:val="20"/>
          <w:szCs w:val="20"/>
          <w:color w:val="auto"/>
        </w:rPr>
      </w:pPr>
    </w:p>
    <w:p>
      <w:pPr>
        <w:ind w:right="80"/>
        <w:spacing w:after="0" w:line="237" w:lineRule="auto"/>
        <w:rPr>
          <w:sz w:val="20"/>
          <w:szCs w:val="20"/>
          <w:color w:val="auto"/>
        </w:rPr>
      </w:pPr>
      <w:r>
        <w:rPr>
          <w:rFonts w:ascii="Arial" w:cs="Arial" w:eastAsia="Arial" w:hAnsi="Arial"/>
          <w:sz w:val="15"/>
          <w:szCs w:val="15"/>
          <w:color w:val="auto"/>
        </w:rPr>
        <w:t xml:space="preserve">A list of shareholders of record will be available during the virtual Annual Meeting for inspection by shareholders for any legally valid purpose related to the Annual Meeting at </w:t>
      </w:r>
      <w:r>
        <w:rPr>
          <w:rFonts w:ascii="Arial" w:cs="Arial" w:eastAsia="Arial" w:hAnsi="Arial"/>
          <w:sz w:val="15"/>
          <w:szCs w:val="15"/>
          <w:u w:val="single" w:color="auto"/>
          <w:color w:val="auto"/>
        </w:rPr>
        <w:t>meetnow.global/MXN79FA</w:t>
      </w:r>
      <w:r>
        <w:rPr>
          <w:rFonts w:ascii="Arial" w:cs="Arial" w:eastAsia="Arial" w:hAnsi="Arial"/>
          <w:sz w:val="15"/>
          <w:szCs w:val="15"/>
          <w:color w:val="auto"/>
        </w:rPr>
        <w:t>.</w:t>
      </w:r>
    </w:p>
    <w:p>
      <w:pPr>
        <w:spacing w:after="0" w:line="154"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The annual meeting will begin promptly at 9:00 a.m. Central Time on Friday, May 6, 2022. We encourage you to access the meeting before it begins. Online check-in will start shortly before the meeting and you should allow ample time for the check-in procedures. If you require technical assistance, a link on the meeting page will provide further assistance or you may call 1-800-874-1547.</w:t>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Soliciting Proxies</w:t>
      </w:r>
    </w:p>
    <w:p>
      <w:pPr>
        <w:spacing w:after="0" w:line="371" w:lineRule="exact"/>
        <w:rPr>
          <w:sz w:val="20"/>
          <w:szCs w:val="20"/>
          <w:color w:val="auto"/>
        </w:rPr>
      </w:pPr>
    </w:p>
    <w:p>
      <w:pPr>
        <w:jc w:val="both"/>
        <w:ind w:right="40"/>
        <w:spacing w:after="0" w:line="232" w:lineRule="auto"/>
        <w:rPr>
          <w:sz w:val="20"/>
          <w:szCs w:val="20"/>
          <w:color w:val="auto"/>
        </w:rPr>
      </w:pPr>
      <w:r>
        <w:rPr>
          <w:rFonts w:ascii="Arial" w:cs="Arial" w:eastAsia="Arial" w:hAnsi="Arial"/>
          <w:sz w:val="15"/>
          <w:szCs w:val="15"/>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$15,000 plus expenses.</w:t>
      </w:r>
    </w:p>
    <w:p>
      <w:pPr>
        <w:spacing w:after="0" w:line="195" w:lineRule="exact"/>
        <w:rPr>
          <w:sz w:val="20"/>
          <w:szCs w:val="20"/>
          <w:color w:val="auto"/>
        </w:rPr>
      </w:pPr>
    </w:p>
    <w:p>
      <w:pPr>
        <w:ind w:right="280"/>
        <w:spacing w:after="0" w:line="237" w:lineRule="auto"/>
        <w:rPr>
          <w:sz w:val="20"/>
          <w:szCs w:val="20"/>
          <w:color w:val="auto"/>
        </w:rPr>
      </w:pPr>
      <w:r>
        <w:rPr>
          <w:rFonts w:ascii="Arial" w:cs="Arial" w:eastAsia="Arial" w:hAnsi="Arial"/>
          <w:sz w:val="15"/>
          <w:szCs w:val="15"/>
          <w:color w:val="auto"/>
        </w:rPr>
        <w:t>Only shareholders of record at the close of business on February 25, 2022 are entitled to notice of and to vote the shares of our common stock, $.01 par value, registered in their name at the annual meeting. As of the record date, we had outstanding 53,509,297 shares of common stock.</w:t>
      </w:r>
    </w:p>
    <w:p>
      <w:pPr>
        <w:spacing w:after="0" w:line="358"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Vote Required and Voting Standards</w:t>
      </w:r>
    </w:p>
    <w:p>
      <w:pPr>
        <w:spacing w:after="0" w:line="371"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votes required for passage of each proposal and the effect of abstentions and non-broker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1859915" cy="28892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859915" cy="28892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5D89B4"/>
        </w:rPr>
        <w:t>PROPOSAL</w:t>
      </w:r>
    </w:p>
    <w:p>
      <w:pPr>
        <w:spacing w:after="0" w:line="143" w:lineRule="exact"/>
        <w:rPr>
          <w:sz w:val="20"/>
          <w:szCs w:val="20"/>
          <w:color w:val="auto"/>
        </w:rPr>
      </w:pPr>
    </w:p>
    <w:p>
      <w:pPr>
        <w:ind w:left="80"/>
        <w:spacing w:after="0" w:line="232" w:lineRule="auto"/>
        <w:rPr>
          <w:sz w:val="20"/>
          <w:szCs w:val="20"/>
          <w:color w:val="auto"/>
        </w:rPr>
      </w:pPr>
      <w:r>
        <w:rPr>
          <w:rFonts w:ascii="Arial" w:cs="Arial" w:eastAsia="Arial" w:hAnsi="Arial"/>
          <w:sz w:val="15"/>
          <w:szCs w:val="15"/>
          <w:color w:val="auto"/>
        </w:rPr>
        <w:t>To elect twelve individuals nominated by the Board of Directors of ManpowerGroup to serve until 2023 as directors;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540" w:type="dxa"/>
            <w:vAlign w:val="bottom"/>
            <w:shd w:val="clear" w:color="auto" w:fill="EAEAEA"/>
          </w:tcPr>
          <w:p>
            <w:pPr>
              <w:ind w:left="1040"/>
              <w:spacing w:after="0"/>
              <w:rPr>
                <w:sz w:val="20"/>
                <w:szCs w:val="20"/>
                <w:color w:val="auto"/>
              </w:rPr>
            </w:pPr>
            <w:r>
              <w:rPr>
                <w:rFonts w:ascii="Arial" w:cs="Arial" w:eastAsia="Arial" w:hAnsi="Arial"/>
                <w:sz w:val="14"/>
                <w:szCs w:val="14"/>
                <w:b w:val="1"/>
                <w:bCs w:val="1"/>
                <w:color w:val="5D89B4"/>
              </w:rPr>
              <w:t>VOTES REQUIRED FOR</w:t>
            </w:r>
          </w:p>
        </w:tc>
        <w:tc>
          <w:tcPr>
            <w:tcW w:w="2420" w:type="dxa"/>
            <w:vAlign w:val="bottom"/>
            <w:shd w:val="clear" w:color="auto" w:fill="EAEAEA"/>
          </w:tcPr>
          <w:p>
            <w:pPr>
              <w:spacing w:after="0"/>
              <w:rPr>
                <w:sz w:val="18"/>
                <w:szCs w:val="18"/>
                <w:color w:val="auto"/>
              </w:rPr>
            </w:pPr>
          </w:p>
        </w:tc>
        <w:tc>
          <w:tcPr>
            <w:tcW w:w="2020" w:type="dxa"/>
            <w:vAlign w:val="bottom"/>
            <w:shd w:val="clear" w:color="auto" w:fill="EAEAEA"/>
          </w:tcPr>
          <w:p>
            <w:pPr>
              <w:spacing w:after="0"/>
              <w:rPr>
                <w:sz w:val="18"/>
                <w:szCs w:val="18"/>
                <w:color w:val="auto"/>
              </w:rPr>
            </w:pPr>
          </w:p>
        </w:tc>
      </w:tr>
      <w:tr>
        <w:trPr>
          <w:trHeight w:val="221"/>
        </w:trPr>
        <w:tc>
          <w:tcPr>
            <w:tcW w:w="3540" w:type="dxa"/>
            <w:vAlign w:val="bottom"/>
            <w:tcBorders>
              <w:bottom w:val="single" w:sz="8" w:color="EAEAEA"/>
            </w:tcBorders>
            <w:shd w:val="clear" w:color="auto" w:fill="EAEAEA"/>
          </w:tcPr>
          <w:p>
            <w:pPr>
              <w:jc w:val="center"/>
              <w:ind w:left="7"/>
              <w:spacing w:after="0"/>
              <w:rPr>
                <w:sz w:val="20"/>
                <w:szCs w:val="20"/>
                <w:color w:val="auto"/>
              </w:rPr>
            </w:pPr>
            <w:r>
              <w:rPr>
                <w:rFonts w:ascii="Arial" w:cs="Arial" w:eastAsia="Arial" w:hAnsi="Arial"/>
                <w:sz w:val="14"/>
                <w:szCs w:val="14"/>
                <w:b w:val="1"/>
                <w:bCs w:val="1"/>
                <w:color w:val="5D89B4"/>
              </w:rPr>
              <w:t>APPROVAL</w:t>
            </w:r>
          </w:p>
        </w:tc>
        <w:tc>
          <w:tcPr>
            <w:tcW w:w="2420" w:type="dxa"/>
            <w:vAlign w:val="bottom"/>
            <w:tcBorders>
              <w:bottom w:val="single" w:sz="8" w:color="EAEAEA"/>
            </w:tcBorders>
            <w:shd w:val="clear" w:color="auto" w:fill="EAEAEA"/>
          </w:tcPr>
          <w:p>
            <w:pPr>
              <w:jc w:val="center"/>
              <w:ind w:left="286"/>
              <w:spacing w:after="0"/>
              <w:rPr>
                <w:sz w:val="20"/>
                <w:szCs w:val="20"/>
                <w:color w:val="auto"/>
              </w:rPr>
            </w:pPr>
            <w:r>
              <w:rPr>
                <w:rFonts w:ascii="Arial" w:cs="Arial" w:eastAsia="Arial" w:hAnsi="Arial"/>
                <w:sz w:val="14"/>
                <w:szCs w:val="14"/>
                <w:b w:val="1"/>
                <w:bCs w:val="1"/>
                <w:color w:val="5D89B4"/>
              </w:rPr>
              <w:t>ABSTENTIONS</w:t>
            </w:r>
          </w:p>
        </w:tc>
        <w:tc>
          <w:tcPr>
            <w:tcW w:w="2020" w:type="dxa"/>
            <w:vAlign w:val="bottom"/>
            <w:tcBorders>
              <w:bottom w:val="single" w:sz="8" w:color="EAEAEA"/>
            </w:tcBorders>
            <w:shd w:val="clear" w:color="auto" w:fill="EAEAEA"/>
          </w:tcPr>
          <w:p>
            <w:pPr>
              <w:jc w:val="center"/>
              <w:ind w:left="446"/>
              <w:spacing w:after="0"/>
              <w:rPr>
                <w:sz w:val="20"/>
                <w:szCs w:val="20"/>
                <w:color w:val="auto"/>
              </w:rPr>
            </w:pPr>
            <w:r>
              <w:rPr>
                <w:rFonts w:ascii="Arial" w:cs="Arial" w:eastAsia="Arial" w:hAnsi="Arial"/>
                <w:sz w:val="14"/>
                <w:szCs w:val="14"/>
                <w:b w:val="1"/>
                <w:bCs w:val="1"/>
                <w:color w:val="5D89B4"/>
              </w:rPr>
              <w:t>BROKER NON-VOTES</w:t>
            </w:r>
          </w:p>
        </w:tc>
      </w:tr>
      <w:tr>
        <w:trPr>
          <w:trHeight w:val="432"/>
        </w:trPr>
        <w:tc>
          <w:tcPr>
            <w:tcW w:w="3540" w:type="dxa"/>
            <w:vAlign w:val="bottom"/>
          </w:tcPr>
          <w:p>
            <w:pPr>
              <w:jc w:val="center"/>
              <w:ind w:left="7"/>
              <w:spacing w:after="0"/>
              <w:rPr>
                <w:sz w:val="20"/>
                <w:szCs w:val="20"/>
                <w:color w:val="auto"/>
              </w:rPr>
            </w:pPr>
            <w:r>
              <w:rPr>
                <w:rFonts w:ascii="Arial" w:cs="Arial" w:eastAsia="Arial" w:hAnsi="Arial"/>
                <w:sz w:val="15"/>
                <w:szCs w:val="15"/>
                <w:color w:val="auto"/>
              </w:rPr>
              <w:t>Majority of votes cast</w:t>
            </w:r>
          </w:p>
        </w:tc>
        <w:tc>
          <w:tcPr>
            <w:tcW w:w="2420" w:type="dxa"/>
            <w:vAlign w:val="bottom"/>
          </w:tcPr>
          <w:p>
            <w:pPr>
              <w:jc w:val="center"/>
              <w:ind w:left="306"/>
              <w:spacing w:after="0"/>
              <w:rPr>
                <w:sz w:val="20"/>
                <w:szCs w:val="20"/>
                <w:color w:val="auto"/>
              </w:rPr>
            </w:pPr>
            <w:r>
              <w:rPr>
                <w:rFonts w:ascii="Arial" w:cs="Arial" w:eastAsia="Arial" w:hAnsi="Arial"/>
                <w:sz w:val="15"/>
                <w:szCs w:val="15"/>
                <w:color w:val="auto"/>
                <w:w w:val="99"/>
              </w:rPr>
              <w:t>Not voted</w:t>
            </w:r>
          </w:p>
        </w:tc>
        <w:tc>
          <w:tcPr>
            <w:tcW w:w="2020" w:type="dxa"/>
            <w:vAlign w:val="bottom"/>
          </w:tcPr>
          <w:p>
            <w:pPr>
              <w:jc w:val="center"/>
              <w:ind w:left="426"/>
              <w:spacing w:after="0"/>
              <w:rPr>
                <w:sz w:val="20"/>
                <w:szCs w:val="20"/>
                <w:color w:val="auto"/>
              </w:rPr>
            </w:pPr>
            <w:r>
              <w:rPr>
                <w:rFonts w:ascii="Arial" w:cs="Arial" w:eastAsia="Arial" w:hAnsi="Arial"/>
                <w:sz w:val="15"/>
                <w:szCs w:val="15"/>
                <w:color w:val="auto"/>
                <w:w w:val="99"/>
              </w:rPr>
              <w:t>Not voted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116205</wp:posOffset>
            </wp:positionV>
            <wp:extent cx="69297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2900" w:space="40"/>
            <w:col w:w="7980"/>
          </w:cols>
          <w:pgMar w:left="480" w:top="1164" w:right="499" w:bottom="1440" w:gutter="0" w:footer="0" w:header="0"/>
          <w:type w:val="continuous"/>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ind w:left="80"/>
              <w:spacing w:after="0"/>
              <w:rPr>
                <w:sz w:val="20"/>
                <w:szCs w:val="20"/>
                <w:color w:val="auto"/>
              </w:rPr>
            </w:pPr>
            <w:r>
              <w:rPr>
                <w:rFonts w:ascii="Arial" w:cs="Arial" w:eastAsia="Arial" w:hAnsi="Arial"/>
                <w:sz w:val="15"/>
                <w:szCs w:val="15"/>
                <w:color w:val="auto"/>
              </w:rPr>
              <w:t>To ratify the appointment of Deloitte &amp;</w:t>
            </w:r>
          </w:p>
        </w:tc>
        <w:tc>
          <w:tcPr>
            <w:tcW w:w="3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7"/>
        </w:trPr>
        <w:tc>
          <w:tcPr>
            <w:tcW w:w="3460" w:type="dxa"/>
            <w:vAlign w:val="bottom"/>
          </w:tcPr>
          <w:p>
            <w:pPr>
              <w:ind w:left="80"/>
              <w:spacing w:after="0"/>
              <w:rPr>
                <w:sz w:val="20"/>
                <w:szCs w:val="20"/>
                <w:color w:val="auto"/>
              </w:rPr>
            </w:pPr>
            <w:r>
              <w:rPr>
                <w:rFonts w:ascii="Arial" w:cs="Arial" w:eastAsia="Arial" w:hAnsi="Arial"/>
                <w:sz w:val="15"/>
                <w:szCs w:val="15"/>
                <w:color w:val="auto"/>
              </w:rPr>
              <w:t>Touche LLP as our independent auditors</w:t>
            </w:r>
          </w:p>
        </w:tc>
        <w:tc>
          <w:tcPr>
            <w:tcW w:w="3040" w:type="dxa"/>
            <w:vAlign w:val="bottom"/>
          </w:tcPr>
          <w:p>
            <w:pPr>
              <w:ind w:left="580"/>
              <w:spacing w:after="0"/>
              <w:rPr>
                <w:sz w:val="20"/>
                <w:szCs w:val="20"/>
                <w:color w:val="auto"/>
              </w:rPr>
            </w:pPr>
            <w:r>
              <w:rPr>
                <w:rFonts w:ascii="Arial" w:cs="Arial" w:eastAsia="Arial" w:hAnsi="Arial"/>
                <w:sz w:val="15"/>
                <w:szCs w:val="15"/>
                <w:color w:val="auto"/>
              </w:rPr>
              <w:t>Majority of votes cast</w:t>
            </w:r>
          </w:p>
        </w:tc>
        <w:tc>
          <w:tcPr>
            <w:tcW w:w="2520" w:type="dxa"/>
            <w:vAlign w:val="bottom"/>
          </w:tcPr>
          <w:p>
            <w:pPr>
              <w:ind w:left="1060"/>
              <w:spacing w:after="0"/>
              <w:rPr>
                <w:sz w:val="20"/>
                <w:szCs w:val="20"/>
                <w:color w:val="auto"/>
              </w:rPr>
            </w:pPr>
            <w:r>
              <w:rPr>
                <w:rFonts w:ascii="Arial" w:cs="Arial" w:eastAsia="Arial" w:hAnsi="Arial"/>
                <w:sz w:val="15"/>
                <w:szCs w:val="15"/>
                <w:color w:val="auto"/>
              </w:rPr>
              <w:t>Not voted</w:t>
            </w:r>
          </w:p>
        </w:tc>
        <w:tc>
          <w:tcPr>
            <w:tcW w:w="1900" w:type="dxa"/>
            <w:vAlign w:val="bottom"/>
          </w:tcPr>
          <w:p>
            <w:pPr>
              <w:ind w:left="820"/>
              <w:spacing w:after="0"/>
              <w:rPr>
                <w:sz w:val="20"/>
                <w:szCs w:val="20"/>
                <w:color w:val="auto"/>
              </w:rPr>
            </w:pPr>
            <w:r>
              <w:rPr>
                <w:rFonts w:ascii="Arial" w:cs="Arial" w:eastAsia="Arial" w:hAnsi="Arial"/>
                <w:sz w:val="15"/>
                <w:szCs w:val="15"/>
                <w:color w:val="auto"/>
              </w:rPr>
              <w:t>Not voted</w:t>
            </w:r>
          </w:p>
        </w:tc>
      </w:tr>
      <w:tr>
        <w:trPr>
          <w:trHeight w:val="181"/>
        </w:trPr>
        <w:tc>
          <w:tcPr>
            <w:tcW w:w="3460" w:type="dxa"/>
            <w:vAlign w:val="bottom"/>
          </w:tcPr>
          <w:p>
            <w:pPr>
              <w:ind w:left="80"/>
              <w:spacing w:after="0"/>
              <w:rPr>
                <w:sz w:val="20"/>
                <w:szCs w:val="20"/>
                <w:color w:val="auto"/>
              </w:rPr>
            </w:pPr>
            <w:r>
              <w:rPr>
                <w:rFonts w:ascii="Arial" w:cs="Arial" w:eastAsia="Arial" w:hAnsi="Arial"/>
                <w:sz w:val="15"/>
                <w:szCs w:val="15"/>
                <w:color w:val="auto"/>
              </w:rPr>
              <w:t>for 2022;</w:t>
            </w:r>
          </w:p>
        </w:tc>
        <w:tc>
          <w:tcPr>
            <w:tcW w:w="3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86"/>
        </w:trPr>
        <w:tc>
          <w:tcPr>
            <w:tcW w:w="3460" w:type="dxa"/>
            <w:vAlign w:val="bottom"/>
            <w:tcBorders>
              <w:bottom w:val="single" w:sz="8" w:color="5D89B4"/>
            </w:tcBorders>
          </w:tcPr>
          <w:p>
            <w:pPr>
              <w:spacing w:after="0"/>
              <w:rPr>
                <w:sz w:val="7"/>
                <w:szCs w:val="7"/>
                <w:color w:val="auto"/>
              </w:rPr>
            </w:pPr>
          </w:p>
        </w:tc>
        <w:tc>
          <w:tcPr>
            <w:tcW w:w="3040" w:type="dxa"/>
            <w:vAlign w:val="bottom"/>
            <w:tcBorders>
              <w:bottom w:val="single" w:sz="8" w:color="5D89B4"/>
            </w:tcBorders>
          </w:tcPr>
          <w:p>
            <w:pPr>
              <w:spacing w:after="0"/>
              <w:rPr>
                <w:sz w:val="7"/>
                <w:szCs w:val="7"/>
                <w:color w:val="auto"/>
              </w:rPr>
            </w:pPr>
          </w:p>
        </w:tc>
        <w:tc>
          <w:tcPr>
            <w:tcW w:w="2520" w:type="dxa"/>
            <w:vAlign w:val="bottom"/>
            <w:tcBorders>
              <w:bottom w:val="single" w:sz="8" w:color="5D89B4"/>
            </w:tcBorders>
          </w:tcPr>
          <w:p>
            <w:pPr>
              <w:spacing w:after="0"/>
              <w:rPr>
                <w:sz w:val="7"/>
                <w:szCs w:val="7"/>
                <w:color w:val="auto"/>
              </w:rPr>
            </w:pPr>
          </w:p>
        </w:tc>
        <w:tc>
          <w:tcPr>
            <w:tcW w:w="1900" w:type="dxa"/>
            <w:vAlign w:val="bottom"/>
            <w:tcBorders>
              <w:bottom w:val="single" w:sz="8" w:color="5D89B4"/>
            </w:tcBorders>
          </w:tcPr>
          <w:p>
            <w:pPr>
              <w:spacing w:after="0"/>
              <w:rPr>
                <w:sz w:val="7"/>
                <w:szCs w:val="7"/>
                <w:color w:val="auto"/>
              </w:rPr>
            </w:pPr>
          </w:p>
        </w:tc>
      </w:tr>
      <w:tr>
        <w:trPr>
          <w:trHeight w:val="324"/>
        </w:trPr>
        <w:tc>
          <w:tcPr>
            <w:tcW w:w="3460" w:type="dxa"/>
            <w:vAlign w:val="bottom"/>
          </w:tcPr>
          <w:p>
            <w:pPr>
              <w:ind w:left="80"/>
              <w:spacing w:after="0"/>
              <w:rPr>
                <w:sz w:val="20"/>
                <w:szCs w:val="20"/>
                <w:color w:val="auto"/>
              </w:rPr>
            </w:pPr>
            <w:r>
              <w:rPr>
                <w:rFonts w:ascii="Arial" w:cs="Arial" w:eastAsia="Arial" w:hAnsi="Arial"/>
                <w:sz w:val="15"/>
                <w:szCs w:val="15"/>
                <w:color w:val="auto"/>
              </w:rPr>
              <w:t>To hold an advisory vote on approval of</w:t>
            </w:r>
          </w:p>
        </w:tc>
        <w:tc>
          <w:tcPr>
            <w:tcW w:w="30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7"/>
        </w:trPr>
        <w:tc>
          <w:tcPr>
            <w:tcW w:w="3460" w:type="dxa"/>
            <w:vAlign w:val="bottom"/>
          </w:tcPr>
          <w:p>
            <w:pPr>
              <w:ind w:left="80"/>
              <w:spacing w:after="0"/>
              <w:rPr>
                <w:sz w:val="20"/>
                <w:szCs w:val="20"/>
                <w:color w:val="auto"/>
              </w:rPr>
            </w:pPr>
            <w:r>
              <w:rPr>
                <w:rFonts w:ascii="Arial" w:cs="Arial" w:eastAsia="Arial" w:hAnsi="Arial"/>
                <w:sz w:val="15"/>
                <w:szCs w:val="15"/>
                <w:color w:val="auto"/>
              </w:rPr>
              <w:t>the compensation of our named executive</w:t>
            </w:r>
          </w:p>
        </w:tc>
        <w:tc>
          <w:tcPr>
            <w:tcW w:w="3040" w:type="dxa"/>
            <w:vAlign w:val="bottom"/>
          </w:tcPr>
          <w:p>
            <w:pPr>
              <w:ind w:left="580"/>
              <w:spacing w:after="0"/>
              <w:rPr>
                <w:sz w:val="20"/>
                <w:szCs w:val="20"/>
                <w:color w:val="auto"/>
              </w:rPr>
            </w:pPr>
            <w:r>
              <w:rPr>
                <w:rFonts w:ascii="Arial" w:cs="Arial" w:eastAsia="Arial" w:hAnsi="Arial"/>
                <w:sz w:val="15"/>
                <w:szCs w:val="15"/>
                <w:color w:val="auto"/>
              </w:rPr>
              <w:t>Majority of votes cast</w:t>
            </w:r>
          </w:p>
        </w:tc>
        <w:tc>
          <w:tcPr>
            <w:tcW w:w="2520" w:type="dxa"/>
            <w:vAlign w:val="bottom"/>
          </w:tcPr>
          <w:p>
            <w:pPr>
              <w:ind w:left="1060"/>
              <w:spacing w:after="0"/>
              <w:rPr>
                <w:sz w:val="20"/>
                <w:szCs w:val="20"/>
                <w:color w:val="auto"/>
              </w:rPr>
            </w:pPr>
            <w:r>
              <w:rPr>
                <w:rFonts w:ascii="Arial" w:cs="Arial" w:eastAsia="Arial" w:hAnsi="Arial"/>
                <w:sz w:val="15"/>
                <w:szCs w:val="15"/>
                <w:color w:val="auto"/>
              </w:rPr>
              <w:t>Not voted</w:t>
            </w:r>
          </w:p>
        </w:tc>
        <w:tc>
          <w:tcPr>
            <w:tcW w:w="1900" w:type="dxa"/>
            <w:vAlign w:val="bottom"/>
          </w:tcPr>
          <w:p>
            <w:pPr>
              <w:ind w:left="820"/>
              <w:spacing w:after="0"/>
              <w:rPr>
                <w:sz w:val="20"/>
                <w:szCs w:val="20"/>
                <w:color w:val="auto"/>
              </w:rPr>
            </w:pPr>
            <w:r>
              <w:rPr>
                <w:rFonts w:ascii="Arial" w:cs="Arial" w:eastAsia="Arial" w:hAnsi="Arial"/>
                <w:sz w:val="15"/>
                <w:szCs w:val="15"/>
                <w:color w:val="auto"/>
              </w:rPr>
              <w:t>Not voted</w:t>
            </w:r>
          </w:p>
        </w:tc>
      </w:tr>
      <w:tr>
        <w:trPr>
          <w:trHeight w:val="181"/>
        </w:trPr>
        <w:tc>
          <w:tcPr>
            <w:tcW w:w="3460" w:type="dxa"/>
            <w:vAlign w:val="bottom"/>
          </w:tcPr>
          <w:p>
            <w:pPr>
              <w:ind w:left="80"/>
              <w:spacing w:after="0"/>
              <w:rPr>
                <w:sz w:val="20"/>
                <w:szCs w:val="20"/>
                <w:color w:val="auto"/>
              </w:rPr>
            </w:pPr>
            <w:r>
              <w:rPr>
                <w:rFonts w:ascii="Arial" w:cs="Arial" w:eastAsia="Arial" w:hAnsi="Arial"/>
                <w:sz w:val="15"/>
                <w:szCs w:val="15"/>
                <w:color w:val="auto"/>
              </w:rPr>
              <w:t>officers;</w:t>
            </w:r>
          </w:p>
        </w:tc>
        <w:tc>
          <w:tcPr>
            <w:tcW w:w="3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86"/>
        </w:trPr>
        <w:tc>
          <w:tcPr>
            <w:tcW w:w="3460" w:type="dxa"/>
            <w:vAlign w:val="bottom"/>
            <w:tcBorders>
              <w:bottom w:val="single" w:sz="8" w:color="5D89B4"/>
            </w:tcBorders>
          </w:tcPr>
          <w:p>
            <w:pPr>
              <w:spacing w:after="0"/>
              <w:rPr>
                <w:sz w:val="7"/>
                <w:szCs w:val="7"/>
                <w:color w:val="auto"/>
              </w:rPr>
            </w:pPr>
          </w:p>
        </w:tc>
        <w:tc>
          <w:tcPr>
            <w:tcW w:w="3040" w:type="dxa"/>
            <w:vAlign w:val="bottom"/>
            <w:tcBorders>
              <w:bottom w:val="single" w:sz="8" w:color="5D89B4"/>
            </w:tcBorders>
          </w:tcPr>
          <w:p>
            <w:pPr>
              <w:spacing w:after="0"/>
              <w:rPr>
                <w:sz w:val="7"/>
                <w:szCs w:val="7"/>
                <w:color w:val="auto"/>
              </w:rPr>
            </w:pPr>
          </w:p>
        </w:tc>
        <w:tc>
          <w:tcPr>
            <w:tcW w:w="2520" w:type="dxa"/>
            <w:vAlign w:val="bottom"/>
            <w:tcBorders>
              <w:bottom w:val="single" w:sz="8" w:color="5D89B4"/>
            </w:tcBorders>
          </w:tcPr>
          <w:p>
            <w:pPr>
              <w:spacing w:after="0"/>
              <w:rPr>
                <w:sz w:val="7"/>
                <w:szCs w:val="7"/>
                <w:color w:val="auto"/>
              </w:rPr>
            </w:pPr>
          </w:p>
        </w:tc>
        <w:tc>
          <w:tcPr>
            <w:tcW w:w="1900" w:type="dxa"/>
            <w:vAlign w:val="bottom"/>
            <w:tcBorders>
              <w:bottom w:val="single" w:sz="8" w:color="5D89B4"/>
            </w:tcBorders>
          </w:tcPr>
          <w:p>
            <w:pPr>
              <w:spacing w:after="0"/>
              <w:rPr>
                <w:sz w:val="7"/>
                <w:szCs w:val="7"/>
                <w:color w:val="auto"/>
              </w:rPr>
            </w:pPr>
          </w:p>
        </w:tc>
      </w:tr>
      <w:tr>
        <w:trPr>
          <w:trHeight w:val="154"/>
        </w:trPr>
        <w:tc>
          <w:tcPr>
            <w:tcW w:w="3460" w:type="dxa"/>
            <w:vAlign w:val="bottom"/>
            <w:tcBorders>
              <w:bottom w:val="single" w:sz="8" w:color="5D89B4"/>
            </w:tcBorders>
          </w:tcPr>
          <w:p>
            <w:pPr>
              <w:spacing w:after="0"/>
              <w:rPr>
                <w:sz w:val="13"/>
                <w:szCs w:val="13"/>
                <w:color w:val="auto"/>
              </w:rPr>
            </w:pPr>
          </w:p>
        </w:tc>
        <w:tc>
          <w:tcPr>
            <w:tcW w:w="3040" w:type="dxa"/>
            <w:vAlign w:val="bottom"/>
            <w:tcBorders>
              <w:bottom w:val="single" w:sz="8" w:color="5D89B4"/>
            </w:tcBorders>
          </w:tcPr>
          <w:p>
            <w:pPr>
              <w:spacing w:after="0"/>
              <w:rPr>
                <w:sz w:val="13"/>
                <w:szCs w:val="13"/>
                <w:color w:val="auto"/>
              </w:rPr>
            </w:pPr>
          </w:p>
        </w:tc>
        <w:tc>
          <w:tcPr>
            <w:tcW w:w="2520" w:type="dxa"/>
            <w:vAlign w:val="bottom"/>
            <w:tcBorders>
              <w:bottom w:val="single" w:sz="8" w:color="5D89B4"/>
            </w:tcBorders>
          </w:tcPr>
          <w:p>
            <w:pPr>
              <w:spacing w:after="0"/>
              <w:rPr>
                <w:sz w:val="13"/>
                <w:szCs w:val="13"/>
                <w:color w:val="auto"/>
              </w:rPr>
            </w:pPr>
          </w:p>
        </w:tc>
        <w:tc>
          <w:tcPr>
            <w:tcW w:w="1900" w:type="dxa"/>
            <w:vAlign w:val="bottom"/>
            <w:tcBorders>
              <w:bottom w:val="single" w:sz="8" w:color="5D89B4"/>
            </w:tcBorders>
          </w:tcPr>
          <w:p>
            <w:pPr>
              <w:spacing w:after="0"/>
              <w:rPr>
                <w:sz w:val="13"/>
                <w:szCs w:val="13"/>
                <w:color w:val="auto"/>
              </w:rPr>
            </w:pPr>
          </w:p>
        </w:tc>
      </w:tr>
    </w:tbl>
    <w:p>
      <w:pPr>
        <w:spacing w:after="0" w:line="116"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79</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SOLICITING PROXIES</w:t>
      </w:r>
    </w:p>
    <w:p>
      <w:pPr>
        <w:spacing w:after="0" w:line="147"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 xml:space="preserve">If a proxy is properly submitted to us and not revoked, it will be voted in accordance with the instructions contained in the proxy. </w:t>
      </w:r>
      <w:r>
        <w:rPr>
          <w:rFonts w:ascii="Arial" w:cs="Arial" w:eastAsia="Arial" w:hAnsi="Arial"/>
          <w:sz w:val="15"/>
          <w:szCs w:val="15"/>
          <w:b w:val="1"/>
          <w:bCs w:val="1"/>
          <w:color w:val="auto"/>
        </w:rPr>
        <w:t>Each shareholder may revoke a</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previously granted proxy at any time before it is exercised by advising the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the election of each of the individuals nominated by our board of directors to serve as directors until the 2023 annual meeting of shareholders,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the appointment of Deloitte &amp; Touche LLP as our independent auditors for 2022, and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80</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80"/>
          </w:cols>
          <w:pgMar w:left="480" w:top="1164" w:right="5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CORPORATE GOVERNANCE DOCUMENTS</w:t>
      </w:r>
    </w:p>
    <w:p>
      <w:pPr>
        <w:spacing w:after="0" w:line="115"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Corporate Governance Documents</w:t>
      </w:r>
    </w:p>
    <w:p>
      <w:pPr>
        <w:spacing w:after="0" w:line="371"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 xml:space="preserve">Certain documents relating to corporate governance matters are available in print by writing to Richard Buchband, Secretary, ManpowerGroup Inc., 100 Manpower Place, Milwaukee, Wisconsin 53212 and on ManpowerGroup’s website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 These documents include the following:</w:t>
      </w:r>
    </w:p>
    <w:p>
      <w:pPr>
        <w:spacing w:after="0" w:line="101" w:lineRule="exact"/>
        <w:rPr>
          <w:sz w:val="20"/>
          <w:szCs w:val="20"/>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Amended and restated articles of incorporation;</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Amended and restated bylaws;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Corporate governance guidelines;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Code of business conduct and ethics;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Charter of the governance and sustainability committee, including the guidelines for selecting board candidates;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Categorical standards for relationships deemed not to impair independence of non-employee directors;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Charter of the audit committee;</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Independent auditor services policy;</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Charter of the people, culture and compensation committee;</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Executive officer stock ownership guidelines;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Outside director stock ownership guidelines;</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Insider trading policy; and</w:t>
      </w:r>
    </w:p>
    <w:p>
      <w:pPr>
        <w:spacing w:after="0" w:line="108" w:lineRule="exact"/>
        <w:rPr>
          <w:rFonts w:ascii="Arial" w:cs="Arial" w:eastAsia="Arial" w:hAnsi="Arial"/>
          <w:sz w:val="15"/>
          <w:szCs w:val="15"/>
          <w:color w:val="auto"/>
        </w:rPr>
      </w:pPr>
    </w:p>
    <w:p>
      <w:pPr>
        <w:ind w:left="220" w:hanging="213"/>
        <w:spacing w:after="0"/>
        <w:tabs>
          <w:tab w:leader="none" w:pos="2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Anti-corruption policy.</w:t>
      </w:r>
    </w:p>
    <w:p>
      <w:pPr>
        <w:spacing w:after="0" w:line="95" w:lineRule="exact"/>
        <w:rPr>
          <w:sz w:val="20"/>
          <w:szCs w:val="20"/>
          <w:color w:val="auto"/>
        </w:rPr>
      </w:pPr>
    </w:p>
    <w:p>
      <w:pPr>
        <w:ind w:right="240"/>
        <w:spacing w:after="0" w:line="237" w:lineRule="auto"/>
        <w:rPr>
          <w:sz w:val="20"/>
          <w:szCs w:val="20"/>
          <w:color w:val="auto"/>
        </w:rPr>
      </w:pPr>
      <w:r>
        <w:rPr>
          <w:rFonts w:ascii="Arial" w:cs="Arial" w:eastAsia="Arial" w:hAnsi="Arial"/>
          <w:sz w:val="15"/>
          <w:szCs w:val="15"/>
          <w:color w:val="auto"/>
        </w:rPr>
        <w:t>This proxy statement includes several website addresses and references to additional materials found on those websites. These websites and materials are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81</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20"/>
          </w:cols>
          <w:pgMar w:left="480" w:top="1164" w:right="49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675005</wp:posOffset>
            </wp:positionV>
            <wp:extent cx="6929755" cy="336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40767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clrChange>
                        <a:clrFrom>
                          <a:srgbClr val="FFFFFF"/>
                        </a:clrFrom>
                        <a:clrTo>
                          <a:srgbClr val="FFFFFF">
                            <a:alpha val="0"/>
                          </a:srgbClr>
                        </a:clrTo>
                      </a:clrChange>
                      <a:extLst>
                        <a:ext uri="{28A0092B-C50C-407E-A947-70E740481C1C}"/>
                      </a:extLst>
                    </a:blip>
                    <a:srcRect/>
                    <a:stretch>
                      <a:fillRect/>
                    </a:stretch>
                  </pic:blipFill>
                  <pic:spPr bwMode="auto">
                    <a:xfrm>
                      <a:off x="0" y="0"/>
                      <a:ext cx="6929755" cy="407670"/>
                    </a:xfrm>
                    <a:prstGeom prst="rect">
                      <a:avLst/>
                    </a:prstGeom>
                    <a:noFill/>
                  </pic:spPr>
                </pic:pic>
              </a:graphicData>
            </a:graphic>
          </wp:anchor>
        </w:drawing>
        <w:t>SUBMISSION OF SHAREHOLDER PROPOSALS</w:t>
      </w:r>
    </w:p>
    <w:p>
      <w:pPr>
        <w:spacing w:after="0" w:line="115"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Submission of Shareholder Proposals</w:t>
      </w:r>
    </w:p>
    <w:p>
      <w:pPr>
        <w:spacing w:after="0" w:line="371" w:lineRule="exact"/>
        <w:rPr>
          <w:sz w:val="20"/>
          <w:szCs w:val="20"/>
          <w:color w:val="auto"/>
        </w:rPr>
      </w:pPr>
    </w:p>
    <w:p>
      <w:pPr>
        <w:ind w:right="180"/>
        <w:spacing w:after="0" w:line="229" w:lineRule="auto"/>
        <w:rPr>
          <w:sz w:val="20"/>
          <w:szCs w:val="20"/>
          <w:color w:val="auto"/>
        </w:rPr>
      </w:pPr>
      <w:r>
        <w:rPr>
          <w:rFonts w:ascii="Arial" w:cs="Arial" w:eastAsia="Arial" w:hAnsi="Arial"/>
          <w:sz w:val="15"/>
          <w:szCs w:val="15"/>
          <w:color w:val="auto"/>
        </w:rPr>
        <w:t>In accordance with our bylaws, nominations, other than by or at the direction of the board of directors, of candidates for election as directors at the 2023 annual Meeting of shareholders must be received by us no earlier than December 7, 2022 and no later than February 5, 2023, and any other shareholder proposed business to be brought before the 2023 annual meeting of shareholders must be received by us no later than February 5, 2023. Unlike shareholder proposals properly made under Rule 14a-8 of the Securities Exchange Act of 1934, we are not required to include such nominations and other shareholder proposed business in the proxy statement solicited by the board of directors.</w:t>
      </w:r>
    </w:p>
    <w:p>
      <w:pPr>
        <w:spacing w:after="0" w:line="194"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In addition to satisfying the foregoing requirements under our bylaws, to comply with the universal proxy rules for the 2023 annual meeting of shareholders, shareholders who intend to solicit proxies in support of director nominees other than the Company’s nominees must generally provide notice in accordance with Rule 14a-19 under the Exchange Act by March 7, 2023.</w:t>
      </w:r>
    </w:p>
    <w:p>
      <w:pPr>
        <w:spacing w:after="0" w:line="195" w:lineRule="exact"/>
        <w:rPr>
          <w:sz w:val="20"/>
          <w:szCs w:val="20"/>
          <w:color w:val="auto"/>
        </w:rPr>
      </w:pPr>
    </w:p>
    <w:p>
      <w:pPr>
        <w:ind w:right="80"/>
        <w:spacing w:after="0" w:line="237" w:lineRule="auto"/>
        <w:rPr>
          <w:sz w:val="20"/>
          <w:szCs w:val="20"/>
          <w:color w:val="auto"/>
        </w:rPr>
      </w:pPr>
      <w:r>
        <w:rPr>
          <w:rFonts w:ascii="Arial" w:cs="Arial" w:eastAsia="Arial" w:hAnsi="Arial"/>
          <w:sz w:val="15"/>
          <w:szCs w:val="15"/>
          <w:color w:val="auto"/>
        </w:rPr>
        <w:t>To be considered for inclusion in the proxy statement solicited by the board of directors pursuant Rule 14a-8, such shareholder proposals for consideration at the 2023 Annual Meeting of Shareholders must be received by us at our principal executive offices by November 10, 2022.</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358"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Other Voting Information</w:t>
      </w:r>
    </w:p>
    <w:p>
      <w:pPr>
        <w:spacing w:after="0" w:line="371" w:lineRule="exact"/>
        <w:rPr>
          <w:sz w:val="20"/>
          <w:szCs w:val="20"/>
          <w:color w:val="auto"/>
        </w:rPr>
      </w:pPr>
    </w:p>
    <w:p>
      <w:pPr>
        <w:ind w:right="340"/>
        <w:spacing w:after="0" w:line="237" w:lineRule="auto"/>
        <w:rPr>
          <w:sz w:val="20"/>
          <w:szCs w:val="20"/>
          <w:color w:val="auto"/>
        </w:rPr>
      </w:pPr>
      <w:r>
        <w:rPr>
          <w:rFonts w:ascii="Arial" w:cs="Arial" w:eastAsia="Arial" w:hAnsi="Arial"/>
          <w:sz w:val="15"/>
          <w:szCs w:val="15"/>
          <w:color w:val="auto"/>
        </w:rPr>
        <w:t>Shareholders may vote over the Internet, by telephone or by completing a traditional proxy card. To vote over the Internet or by telephone, please refer to the instructions on the accompanying proxy card.</w:t>
      </w:r>
    </w:p>
    <w:p>
      <w:pPr>
        <w:spacing w:after="0" w:line="127"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5D89B4"/>
        </w:rPr>
        <w:t>Other Matters</w:t>
      </w:r>
    </w:p>
    <w:p>
      <w:pPr>
        <w:spacing w:after="0" w:line="371" w:lineRule="exact"/>
        <w:rPr>
          <w:sz w:val="20"/>
          <w:szCs w:val="20"/>
          <w:color w:val="auto"/>
        </w:rPr>
      </w:pPr>
    </w:p>
    <w:p>
      <w:pPr>
        <w:ind w:right="60"/>
        <w:spacing w:after="0" w:line="229" w:lineRule="auto"/>
        <w:rPr>
          <w:sz w:val="20"/>
          <w:szCs w:val="20"/>
          <w:color w:val="auto"/>
        </w:rPr>
      </w:pPr>
      <w:r>
        <w:rPr>
          <w:rFonts w:ascii="Arial" w:cs="Arial" w:eastAsia="Arial" w:hAnsi="Arial"/>
          <w:sz w:val="15"/>
          <w:szCs w:val="15"/>
          <w:color w:val="auto"/>
        </w:rPr>
        <w:t xml:space="preserve">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 Shareholders may obtain a copy of our annual report on Form 10-K at no cost by requesting a copy on our Internet web site at </w:t>
      </w:r>
      <w:r>
        <w:rPr>
          <w:rFonts w:ascii="Arial" w:cs="Arial" w:eastAsia="Arial" w:hAnsi="Arial"/>
          <w:sz w:val="15"/>
          <w:szCs w:val="15"/>
          <w:u w:val="single" w:color="auto"/>
          <w:color w:val="auto"/>
        </w:rPr>
        <w:t>http://investor.manpowergroup.com/shareholder-services/document-request</w:t>
      </w:r>
      <w:r>
        <w:rPr>
          <w:rFonts w:ascii="Arial" w:cs="Arial" w:eastAsia="Arial" w:hAnsi="Arial"/>
          <w:sz w:val="15"/>
          <w:szCs w:val="15"/>
          <w:color w:val="auto"/>
        </w:rPr>
        <w:t xml:space="preserve"> or by writing to Richard Buchband, Secretary, ManpowerGroup Inc., 100 Manpower Place, 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0"/>
          <w:szCs w:val="20"/>
          <w:b w:val="1"/>
          <w:bCs w:val="1"/>
          <w:color w:val="5D89B4"/>
        </w:rPr>
        <w:t>82</w:t>
      </w:r>
      <w:r>
        <w:rPr>
          <w:sz w:val="20"/>
          <w:szCs w:val="20"/>
          <w:color w:val="auto"/>
        </w:rPr>
        <w:tab/>
      </w:r>
      <w:r>
        <w:rPr>
          <w:rFonts w:ascii="Arial" w:cs="Arial" w:eastAsia="Arial" w:hAnsi="Arial"/>
          <w:sz w:val="16"/>
          <w:szCs w:val="16"/>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-117475</wp:posOffset>
            </wp:positionV>
            <wp:extent cx="934085" cy="169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40"/>
          </w:cols>
          <w:pgMar w:left="480" w:top="1164" w:right="579" w:bottom="1440" w:gutter="0" w:footer="0" w:header="0"/>
        </w:sectPr>
      </w:pPr>
    </w:p>
    <w:bookmarkStart w:id="94" w:name="page95"/>
    <w:bookmarkEnd w:id="94"/>
    <w:p>
      <w:pPr>
        <w:spacing w:after="0"/>
        <w:rPr>
          <w:sz w:val="20"/>
          <w:szCs w:val="20"/>
          <w:color w:val="auto"/>
        </w:rPr>
      </w:pPr>
      <w:r>
        <w:rPr>
          <w:rFonts w:ascii="Arial" w:cs="Arial" w:eastAsia="Arial" w:hAnsi="Arial"/>
          <w:sz w:val="43"/>
          <w:szCs w:val="43"/>
          <w:b w:val="1"/>
          <w:bCs w:val="1"/>
          <w:color w:val="5D89B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336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Peer Group Companies for 2021</w:t>
      </w:r>
    </w:p>
    <w:p>
      <w:pPr>
        <w:sectPr>
          <w:pgSz w:w="11900" w:h="16838" w:orient="portrait"/>
          <w:cols w:equalWidth="0" w:num="1">
            <w:col w:w="9979"/>
          </w:cols>
          <w:pgMar w:left="480" w:top="233" w:right="1440" w:bottom="1440" w:gutter="0" w:footer="0" w:header="0"/>
        </w:sect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3M Co</w:t>
      </w:r>
    </w:p>
    <w:p>
      <w:pPr>
        <w:spacing w:after="0" w:line="223" w:lineRule="auto"/>
        <w:rPr>
          <w:sz w:val="20"/>
          <w:szCs w:val="20"/>
          <w:color w:val="auto"/>
        </w:rPr>
      </w:pPr>
      <w:r>
        <w:rPr>
          <w:rFonts w:ascii="Arial" w:cs="Arial" w:eastAsia="Arial" w:hAnsi="Arial"/>
          <w:sz w:val="15"/>
          <w:szCs w:val="15"/>
          <w:color w:val="auto"/>
        </w:rPr>
        <w:t>Abbott Laboratories</w:t>
      </w:r>
    </w:p>
    <w:p>
      <w:pPr>
        <w:spacing w:after="0" w:line="223" w:lineRule="auto"/>
        <w:rPr>
          <w:sz w:val="20"/>
          <w:szCs w:val="20"/>
          <w:color w:val="auto"/>
        </w:rPr>
      </w:pPr>
      <w:r>
        <w:rPr>
          <w:rFonts w:ascii="Arial" w:cs="Arial" w:eastAsia="Arial" w:hAnsi="Arial"/>
          <w:sz w:val="15"/>
          <w:szCs w:val="15"/>
          <w:color w:val="auto"/>
        </w:rPr>
        <w:t>AbbVie Inc.</w:t>
      </w:r>
    </w:p>
    <w:p>
      <w:pPr>
        <w:spacing w:after="0" w:line="223" w:lineRule="auto"/>
        <w:rPr>
          <w:sz w:val="20"/>
          <w:szCs w:val="20"/>
          <w:color w:val="auto"/>
        </w:rPr>
      </w:pPr>
      <w:r>
        <w:rPr>
          <w:rFonts w:ascii="Arial" w:cs="Arial" w:eastAsia="Arial" w:hAnsi="Arial"/>
          <w:sz w:val="15"/>
          <w:szCs w:val="15"/>
          <w:color w:val="auto"/>
        </w:rPr>
        <w:t>Altria Group Inc.</w:t>
      </w:r>
    </w:p>
    <w:p>
      <w:pPr>
        <w:spacing w:after="0" w:line="224" w:lineRule="auto"/>
        <w:rPr>
          <w:sz w:val="20"/>
          <w:szCs w:val="20"/>
          <w:color w:val="auto"/>
        </w:rPr>
      </w:pPr>
      <w:r>
        <w:rPr>
          <w:rFonts w:ascii="Arial" w:cs="Arial" w:eastAsia="Arial" w:hAnsi="Arial"/>
          <w:sz w:val="15"/>
          <w:szCs w:val="15"/>
          <w:color w:val="auto"/>
        </w:rPr>
        <w:t>Amgen Inc.</w:t>
      </w:r>
    </w:p>
    <w:p>
      <w:pPr>
        <w:spacing w:after="0" w:line="223" w:lineRule="auto"/>
        <w:rPr>
          <w:sz w:val="20"/>
          <w:szCs w:val="20"/>
          <w:color w:val="auto"/>
        </w:rPr>
      </w:pPr>
      <w:r>
        <w:rPr>
          <w:rFonts w:ascii="Arial" w:cs="Arial" w:eastAsia="Arial" w:hAnsi="Arial"/>
          <w:sz w:val="15"/>
          <w:szCs w:val="15"/>
          <w:color w:val="auto"/>
        </w:rPr>
        <w:t>Applied Materials, Inc.</w:t>
      </w:r>
    </w:p>
    <w:p>
      <w:pPr>
        <w:spacing w:after="0" w:line="223" w:lineRule="auto"/>
        <w:rPr>
          <w:sz w:val="20"/>
          <w:szCs w:val="20"/>
          <w:color w:val="auto"/>
        </w:rPr>
      </w:pPr>
      <w:r>
        <w:rPr>
          <w:rFonts w:ascii="Arial" w:cs="Arial" w:eastAsia="Arial" w:hAnsi="Arial"/>
          <w:sz w:val="15"/>
          <w:szCs w:val="15"/>
          <w:color w:val="auto"/>
        </w:rPr>
        <w:t>Aptiv PLC</w:t>
      </w:r>
    </w:p>
    <w:p>
      <w:pPr>
        <w:spacing w:after="0" w:line="224" w:lineRule="auto"/>
        <w:rPr>
          <w:sz w:val="20"/>
          <w:szCs w:val="20"/>
          <w:color w:val="auto"/>
        </w:rPr>
      </w:pPr>
      <w:r>
        <w:rPr>
          <w:rFonts w:ascii="Arial" w:cs="Arial" w:eastAsia="Arial" w:hAnsi="Arial"/>
          <w:sz w:val="15"/>
          <w:szCs w:val="15"/>
          <w:color w:val="auto"/>
        </w:rPr>
        <w:t>Automatic Data Processing</w:t>
      </w:r>
    </w:p>
    <w:p>
      <w:pPr>
        <w:spacing w:after="0" w:line="223" w:lineRule="auto"/>
        <w:rPr>
          <w:sz w:val="20"/>
          <w:szCs w:val="20"/>
          <w:color w:val="auto"/>
        </w:rPr>
      </w:pPr>
      <w:r>
        <w:rPr>
          <w:rFonts w:ascii="Arial" w:cs="Arial" w:eastAsia="Arial" w:hAnsi="Arial"/>
          <w:sz w:val="15"/>
          <w:szCs w:val="15"/>
          <w:color w:val="auto"/>
        </w:rPr>
        <w:t>Baker Hughes, a GE Company</w:t>
      </w:r>
    </w:p>
    <w:p>
      <w:pPr>
        <w:spacing w:after="0" w:line="223" w:lineRule="auto"/>
        <w:rPr>
          <w:sz w:val="20"/>
          <w:szCs w:val="20"/>
          <w:color w:val="auto"/>
        </w:rPr>
      </w:pPr>
      <w:r>
        <w:rPr>
          <w:rFonts w:ascii="Arial" w:cs="Arial" w:eastAsia="Arial" w:hAnsi="Arial"/>
          <w:sz w:val="15"/>
          <w:szCs w:val="15"/>
          <w:color w:val="auto"/>
        </w:rPr>
        <w:t>Becton, Dickinson and Company</w:t>
      </w:r>
    </w:p>
    <w:p>
      <w:pPr>
        <w:spacing w:after="0" w:line="224" w:lineRule="auto"/>
        <w:rPr>
          <w:sz w:val="20"/>
          <w:szCs w:val="20"/>
          <w:color w:val="auto"/>
        </w:rPr>
      </w:pPr>
      <w:r>
        <w:rPr>
          <w:rFonts w:ascii="Arial" w:cs="Arial" w:eastAsia="Arial" w:hAnsi="Arial"/>
          <w:sz w:val="15"/>
          <w:szCs w:val="15"/>
          <w:color w:val="auto"/>
        </w:rPr>
        <w:t>Biogen Inc.</w:t>
      </w:r>
    </w:p>
    <w:p>
      <w:pPr>
        <w:spacing w:after="0" w:line="223" w:lineRule="auto"/>
        <w:rPr>
          <w:sz w:val="20"/>
          <w:szCs w:val="20"/>
          <w:color w:val="auto"/>
        </w:rPr>
      </w:pPr>
      <w:r>
        <w:rPr>
          <w:rFonts w:ascii="Arial" w:cs="Arial" w:eastAsia="Arial" w:hAnsi="Arial"/>
          <w:sz w:val="15"/>
          <w:szCs w:val="15"/>
          <w:color w:val="auto"/>
        </w:rPr>
        <w:t>Booking Holdings Inc.</w:t>
      </w:r>
    </w:p>
    <w:p>
      <w:pPr>
        <w:spacing w:after="0" w:line="223" w:lineRule="auto"/>
        <w:rPr>
          <w:sz w:val="20"/>
          <w:szCs w:val="20"/>
          <w:color w:val="auto"/>
        </w:rPr>
      </w:pPr>
      <w:r>
        <w:rPr>
          <w:rFonts w:ascii="Arial" w:cs="Arial" w:eastAsia="Arial" w:hAnsi="Arial"/>
          <w:sz w:val="15"/>
          <w:szCs w:val="15"/>
          <w:color w:val="auto"/>
        </w:rPr>
        <w:t>Bristol-Myers Squibb Co</w:t>
      </w:r>
    </w:p>
    <w:p>
      <w:pPr>
        <w:spacing w:after="0" w:line="223" w:lineRule="auto"/>
        <w:rPr>
          <w:sz w:val="20"/>
          <w:szCs w:val="20"/>
          <w:color w:val="auto"/>
        </w:rPr>
      </w:pPr>
      <w:r>
        <w:rPr>
          <w:rFonts w:ascii="Arial" w:cs="Arial" w:eastAsia="Arial" w:hAnsi="Arial"/>
          <w:sz w:val="15"/>
          <w:szCs w:val="15"/>
          <w:color w:val="auto"/>
        </w:rPr>
        <w:t>Broadcom Inc</w:t>
      </w:r>
    </w:p>
    <w:p>
      <w:pPr>
        <w:spacing w:after="0" w:line="224" w:lineRule="auto"/>
        <w:rPr>
          <w:sz w:val="20"/>
          <w:szCs w:val="20"/>
          <w:color w:val="auto"/>
        </w:rPr>
      </w:pPr>
      <w:r>
        <w:rPr>
          <w:rFonts w:ascii="Arial" w:cs="Arial" w:eastAsia="Arial" w:hAnsi="Arial"/>
          <w:sz w:val="15"/>
          <w:szCs w:val="15"/>
          <w:color w:val="auto"/>
        </w:rPr>
        <w:t>C.H. Robinson Worldwide Inc.</w:t>
      </w:r>
    </w:p>
    <w:p>
      <w:pPr>
        <w:spacing w:after="0" w:line="223" w:lineRule="auto"/>
        <w:rPr>
          <w:sz w:val="20"/>
          <w:szCs w:val="20"/>
          <w:color w:val="auto"/>
        </w:rPr>
      </w:pPr>
      <w:r>
        <w:rPr>
          <w:rFonts w:ascii="Arial" w:cs="Arial" w:eastAsia="Arial" w:hAnsi="Arial"/>
          <w:sz w:val="15"/>
          <w:szCs w:val="15"/>
          <w:color w:val="auto"/>
        </w:rPr>
        <w:t>CarMax Inc.</w:t>
      </w:r>
    </w:p>
    <w:p>
      <w:pPr>
        <w:spacing w:after="0" w:line="223" w:lineRule="auto"/>
        <w:rPr>
          <w:sz w:val="20"/>
          <w:szCs w:val="20"/>
          <w:color w:val="auto"/>
        </w:rPr>
      </w:pPr>
      <w:r>
        <w:rPr>
          <w:rFonts w:ascii="Arial" w:cs="Arial" w:eastAsia="Arial" w:hAnsi="Arial"/>
          <w:sz w:val="15"/>
          <w:szCs w:val="15"/>
          <w:color w:val="auto"/>
        </w:rPr>
        <w:t>Carnival Corporation Plc</w:t>
      </w:r>
    </w:p>
    <w:p>
      <w:pPr>
        <w:spacing w:after="0" w:line="224" w:lineRule="auto"/>
        <w:rPr>
          <w:sz w:val="20"/>
          <w:szCs w:val="20"/>
          <w:color w:val="auto"/>
        </w:rPr>
      </w:pPr>
      <w:r>
        <w:rPr>
          <w:rFonts w:ascii="Arial" w:cs="Arial" w:eastAsia="Arial" w:hAnsi="Arial"/>
          <w:sz w:val="15"/>
          <w:szCs w:val="15"/>
          <w:color w:val="auto"/>
        </w:rPr>
        <w:t>CBRE Group, Inc.</w:t>
      </w:r>
    </w:p>
    <w:p>
      <w:pPr>
        <w:spacing w:after="0" w:line="223" w:lineRule="auto"/>
        <w:rPr>
          <w:sz w:val="20"/>
          <w:szCs w:val="20"/>
          <w:color w:val="auto"/>
        </w:rPr>
      </w:pPr>
      <w:r>
        <w:rPr>
          <w:rFonts w:ascii="Arial" w:cs="Arial" w:eastAsia="Arial" w:hAnsi="Arial"/>
          <w:sz w:val="15"/>
          <w:szCs w:val="15"/>
          <w:color w:val="auto"/>
        </w:rPr>
        <w:t>CDW Corporation</w:t>
      </w:r>
    </w:p>
    <w:p>
      <w:pPr>
        <w:spacing w:after="0" w:line="223" w:lineRule="auto"/>
        <w:rPr>
          <w:sz w:val="20"/>
          <w:szCs w:val="20"/>
          <w:color w:val="auto"/>
        </w:rPr>
      </w:pPr>
      <w:r>
        <w:rPr>
          <w:rFonts w:ascii="Arial" w:cs="Arial" w:eastAsia="Arial" w:hAnsi="Arial"/>
          <w:sz w:val="15"/>
          <w:szCs w:val="15"/>
          <w:color w:val="auto"/>
        </w:rPr>
        <w:t>CenturyLink Inc.</w:t>
      </w:r>
    </w:p>
    <w:p>
      <w:pPr>
        <w:spacing w:after="0" w:line="224" w:lineRule="auto"/>
        <w:rPr>
          <w:sz w:val="20"/>
          <w:szCs w:val="20"/>
          <w:color w:val="auto"/>
        </w:rPr>
      </w:pPr>
      <w:r>
        <w:rPr>
          <w:rFonts w:ascii="Arial" w:cs="Arial" w:eastAsia="Arial" w:hAnsi="Arial"/>
          <w:sz w:val="15"/>
          <w:szCs w:val="15"/>
          <w:color w:val="auto"/>
        </w:rPr>
        <w:t>Cognizant Technology Solutions Corp</w:t>
      </w:r>
    </w:p>
    <w:p>
      <w:pPr>
        <w:spacing w:after="0" w:line="223" w:lineRule="auto"/>
        <w:rPr>
          <w:sz w:val="20"/>
          <w:szCs w:val="20"/>
          <w:color w:val="auto"/>
        </w:rPr>
      </w:pPr>
      <w:r>
        <w:rPr>
          <w:rFonts w:ascii="Arial" w:cs="Arial" w:eastAsia="Arial" w:hAnsi="Arial"/>
          <w:sz w:val="15"/>
          <w:szCs w:val="15"/>
          <w:color w:val="auto"/>
        </w:rPr>
        <w:t>Colgate-Palmolive Co.</w:t>
      </w:r>
    </w:p>
    <w:p>
      <w:pPr>
        <w:spacing w:after="0" w:line="223" w:lineRule="auto"/>
        <w:rPr>
          <w:sz w:val="20"/>
          <w:szCs w:val="20"/>
          <w:color w:val="auto"/>
        </w:rPr>
      </w:pPr>
      <w:r>
        <w:rPr>
          <w:rFonts w:ascii="Arial" w:cs="Arial" w:eastAsia="Arial" w:hAnsi="Arial"/>
          <w:sz w:val="15"/>
          <w:szCs w:val="15"/>
          <w:color w:val="auto"/>
        </w:rPr>
        <w:t>ConocoPhillips</w:t>
      </w:r>
    </w:p>
    <w:p>
      <w:pPr>
        <w:spacing w:after="0" w:line="224" w:lineRule="auto"/>
        <w:rPr>
          <w:sz w:val="20"/>
          <w:szCs w:val="20"/>
          <w:color w:val="auto"/>
        </w:rPr>
      </w:pPr>
      <w:r>
        <w:rPr>
          <w:rFonts w:ascii="Arial" w:cs="Arial" w:eastAsia="Arial" w:hAnsi="Arial"/>
          <w:sz w:val="15"/>
          <w:szCs w:val="15"/>
          <w:color w:val="auto"/>
        </w:rPr>
        <w:t>Cummins Inc.</w:t>
      </w:r>
    </w:p>
    <w:p>
      <w:pPr>
        <w:spacing w:after="0" w:line="223" w:lineRule="auto"/>
        <w:rPr>
          <w:sz w:val="20"/>
          <w:szCs w:val="20"/>
          <w:color w:val="auto"/>
        </w:rPr>
      </w:pPr>
      <w:r>
        <w:rPr>
          <w:rFonts w:ascii="Arial" w:cs="Arial" w:eastAsia="Arial" w:hAnsi="Arial"/>
          <w:sz w:val="15"/>
          <w:szCs w:val="15"/>
          <w:color w:val="auto"/>
        </w:rPr>
        <w:t>D.R. Horton, Inc.</w:t>
      </w:r>
    </w:p>
    <w:p>
      <w:pPr>
        <w:spacing w:after="0" w:line="223" w:lineRule="auto"/>
        <w:rPr>
          <w:sz w:val="20"/>
          <w:szCs w:val="20"/>
          <w:color w:val="auto"/>
        </w:rPr>
      </w:pPr>
      <w:r>
        <w:rPr>
          <w:rFonts w:ascii="Arial" w:cs="Arial" w:eastAsia="Arial" w:hAnsi="Arial"/>
          <w:sz w:val="15"/>
          <w:szCs w:val="15"/>
          <w:color w:val="auto"/>
        </w:rPr>
        <w:t>Danaher Corp</w:t>
      </w:r>
    </w:p>
    <w:p>
      <w:pPr>
        <w:spacing w:after="0" w:line="223" w:lineRule="auto"/>
        <w:rPr>
          <w:sz w:val="20"/>
          <w:szCs w:val="20"/>
          <w:color w:val="auto"/>
        </w:rPr>
      </w:pPr>
      <w:r>
        <w:rPr>
          <w:rFonts w:ascii="Arial" w:cs="Arial" w:eastAsia="Arial" w:hAnsi="Arial"/>
          <w:sz w:val="15"/>
          <w:szCs w:val="15"/>
          <w:color w:val="auto"/>
        </w:rPr>
        <w:t>Deere &amp; Co.</w:t>
      </w:r>
    </w:p>
    <w:p>
      <w:pPr>
        <w:spacing w:after="0" w:line="224" w:lineRule="auto"/>
        <w:rPr>
          <w:sz w:val="20"/>
          <w:szCs w:val="20"/>
          <w:color w:val="auto"/>
        </w:rPr>
      </w:pPr>
      <w:r>
        <w:rPr>
          <w:rFonts w:ascii="Arial" w:cs="Arial" w:eastAsia="Arial" w:hAnsi="Arial"/>
          <w:sz w:val="15"/>
          <w:szCs w:val="15"/>
          <w:color w:val="auto"/>
        </w:rPr>
        <w:t>Dollar General Corp.</w:t>
      </w:r>
    </w:p>
    <w:p>
      <w:pPr>
        <w:spacing w:after="0" w:line="223" w:lineRule="auto"/>
        <w:rPr>
          <w:sz w:val="20"/>
          <w:szCs w:val="20"/>
          <w:color w:val="auto"/>
        </w:rPr>
      </w:pPr>
      <w:r>
        <w:rPr>
          <w:rFonts w:ascii="Arial" w:cs="Arial" w:eastAsia="Arial" w:hAnsi="Arial"/>
          <w:sz w:val="15"/>
          <w:szCs w:val="15"/>
          <w:color w:val="auto"/>
        </w:rPr>
        <w:t>Dollar Tree Inc.</w:t>
      </w:r>
    </w:p>
    <w:p>
      <w:pPr>
        <w:spacing w:after="0" w:line="223" w:lineRule="auto"/>
        <w:rPr>
          <w:sz w:val="20"/>
          <w:szCs w:val="20"/>
          <w:color w:val="auto"/>
        </w:rPr>
      </w:pPr>
      <w:r>
        <w:rPr>
          <w:rFonts w:ascii="Arial" w:cs="Arial" w:eastAsia="Arial" w:hAnsi="Arial"/>
          <w:sz w:val="15"/>
          <w:szCs w:val="15"/>
          <w:color w:val="auto"/>
        </w:rPr>
        <w:t>DuPont de Nemours, Inc.</w:t>
      </w:r>
    </w:p>
    <w:p>
      <w:pPr>
        <w:spacing w:after="0" w:line="224" w:lineRule="auto"/>
        <w:rPr>
          <w:sz w:val="20"/>
          <w:szCs w:val="20"/>
          <w:color w:val="auto"/>
        </w:rPr>
      </w:pPr>
      <w:r>
        <w:rPr>
          <w:rFonts w:ascii="Arial" w:cs="Arial" w:eastAsia="Arial" w:hAnsi="Arial"/>
          <w:sz w:val="15"/>
          <w:szCs w:val="15"/>
          <w:color w:val="auto"/>
        </w:rPr>
        <w:t>DXC Technology Company</w:t>
      </w:r>
    </w:p>
    <w:p>
      <w:pPr>
        <w:spacing w:after="0" w:line="223" w:lineRule="auto"/>
        <w:rPr>
          <w:sz w:val="20"/>
          <w:szCs w:val="20"/>
          <w:color w:val="auto"/>
        </w:rPr>
      </w:pPr>
      <w:r>
        <w:rPr>
          <w:rFonts w:ascii="Arial" w:cs="Arial" w:eastAsia="Arial" w:hAnsi="Arial"/>
          <w:sz w:val="15"/>
          <w:szCs w:val="15"/>
          <w:color w:val="auto"/>
        </w:rPr>
        <w:t>Eaton Corporation plc</w:t>
      </w:r>
    </w:p>
    <w:p>
      <w:pPr>
        <w:spacing w:after="0" w:line="223" w:lineRule="auto"/>
        <w:rPr>
          <w:sz w:val="20"/>
          <w:szCs w:val="20"/>
          <w:color w:val="auto"/>
        </w:rPr>
      </w:pPr>
      <w:r>
        <w:rPr>
          <w:rFonts w:ascii="Arial" w:cs="Arial" w:eastAsia="Arial" w:hAnsi="Arial"/>
          <w:sz w:val="15"/>
          <w:szCs w:val="15"/>
          <w:color w:val="auto"/>
        </w:rPr>
        <w:t>Ecolab Inc.</w:t>
      </w:r>
    </w:p>
    <w:p>
      <w:pPr>
        <w:spacing w:after="0" w:line="224" w:lineRule="auto"/>
        <w:rPr>
          <w:sz w:val="20"/>
          <w:szCs w:val="20"/>
          <w:color w:val="auto"/>
        </w:rPr>
      </w:pPr>
      <w:r>
        <w:rPr>
          <w:rFonts w:ascii="Arial" w:cs="Arial" w:eastAsia="Arial" w:hAnsi="Arial"/>
          <w:sz w:val="15"/>
          <w:szCs w:val="15"/>
          <w:color w:val="auto"/>
        </w:rPr>
        <w:t>Eli Lilly and Co</w:t>
      </w:r>
    </w:p>
    <w:p>
      <w:pPr>
        <w:spacing w:after="0" w:line="223" w:lineRule="auto"/>
        <w:rPr>
          <w:sz w:val="20"/>
          <w:szCs w:val="20"/>
          <w:color w:val="auto"/>
        </w:rPr>
      </w:pPr>
      <w:r>
        <w:rPr>
          <w:rFonts w:ascii="Arial" w:cs="Arial" w:eastAsia="Arial" w:hAnsi="Arial"/>
          <w:sz w:val="15"/>
          <w:szCs w:val="15"/>
          <w:color w:val="auto"/>
        </w:rPr>
        <w:t>Emerson Electric Co</w:t>
      </w:r>
    </w:p>
    <w:p>
      <w:pPr>
        <w:spacing w:after="0" w:line="223" w:lineRule="auto"/>
        <w:rPr>
          <w:sz w:val="20"/>
          <w:szCs w:val="20"/>
          <w:color w:val="auto"/>
        </w:rPr>
      </w:pPr>
      <w:r>
        <w:rPr>
          <w:rFonts w:ascii="Arial" w:cs="Arial" w:eastAsia="Arial" w:hAnsi="Arial"/>
          <w:sz w:val="15"/>
          <w:szCs w:val="15"/>
          <w:color w:val="auto"/>
        </w:rPr>
        <w:t>EOG Resources, Inc.</w:t>
      </w:r>
    </w:p>
    <w:p>
      <w:pPr>
        <w:spacing w:after="0" w:line="224" w:lineRule="auto"/>
        <w:rPr>
          <w:sz w:val="20"/>
          <w:szCs w:val="20"/>
          <w:color w:val="auto"/>
        </w:rPr>
      </w:pPr>
      <w:r>
        <w:rPr>
          <w:rFonts w:ascii="Arial" w:cs="Arial" w:eastAsia="Arial" w:hAnsi="Arial"/>
          <w:sz w:val="15"/>
          <w:szCs w:val="15"/>
          <w:color w:val="auto"/>
        </w:rPr>
        <w:t>Freeport-McMoran Inc.</w:t>
      </w:r>
    </w:p>
    <w:p>
      <w:pPr>
        <w:spacing w:after="0" w:line="223" w:lineRule="auto"/>
        <w:rPr>
          <w:sz w:val="20"/>
          <w:szCs w:val="20"/>
          <w:color w:val="auto"/>
        </w:rPr>
      </w:pPr>
      <w:r>
        <w:rPr>
          <w:rFonts w:ascii="Arial" w:cs="Arial" w:eastAsia="Arial" w:hAnsi="Arial"/>
          <w:sz w:val="15"/>
          <w:szCs w:val="15"/>
          <w:color w:val="auto"/>
        </w:rPr>
        <w:t>General Dynamics Corp</w:t>
      </w:r>
    </w:p>
    <w:p>
      <w:pPr>
        <w:spacing w:after="0" w:line="223" w:lineRule="auto"/>
        <w:rPr>
          <w:sz w:val="20"/>
          <w:szCs w:val="20"/>
          <w:color w:val="auto"/>
        </w:rPr>
      </w:pPr>
      <w:r>
        <w:rPr>
          <w:rFonts w:ascii="Arial" w:cs="Arial" w:eastAsia="Arial" w:hAnsi="Arial"/>
          <w:sz w:val="15"/>
          <w:szCs w:val="15"/>
          <w:color w:val="auto"/>
        </w:rPr>
        <w:t>General Mills Inc.</w:t>
      </w:r>
    </w:p>
    <w:p>
      <w:pPr>
        <w:spacing w:after="0" w:line="223" w:lineRule="auto"/>
        <w:rPr>
          <w:sz w:val="20"/>
          <w:szCs w:val="20"/>
          <w:color w:val="auto"/>
        </w:rPr>
      </w:pPr>
      <w:r>
        <w:rPr>
          <w:rFonts w:ascii="Arial" w:cs="Arial" w:eastAsia="Arial" w:hAnsi="Arial"/>
          <w:sz w:val="15"/>
          <w:szCs w:val="15"/>
          <w:color w:val="auto"/>
        </w:rPr>
        <w:t>Genuine Parts Co</w:t>
      </w:r>
    </w:p>
    <w:p>
      <w:pPr>
        <w:spacing w:after="0" w:line="224" w:lineRule="auto"/>
        <w:rPr>
          <w:sz w:val="20"/>
          <w:szCs w:val="20"/>
          <w:color w:val="auto"/>
        </w:rPr>
      </w:pPr>
      <w:r>
        <w:rPr>
          <w:rFonts w:ascii="Arial" w:cs="Arial" w:eastAsia="Arial" w:hAnsi="Arial"/>
          <w:sz w:val="15"/>
          <w:szCs w:val="15"/>
          <w:color w:val="auto"/>
        </w:rPr>
        <w:t>Gilead Sciences Inc.</w:t>
      </w:r>
    </w:p>
    <w:p>
      <w:pPr>
        <w:spacing w:after="0" w:line="223" w:lineRule="auto"/>
        <w:rPr>
          <w:sz w:val="20"/>
          <w:szCs w:val="20"/>
          <w:color w:val="auto"/>
        </w:rPr>
      </w:pPr>
      <w:r>
        <w:rPr>
          <w:rFonts w:ascii="Arial" w:cs="Arial" w:eastAsia="Arial" w:hAnsi="Arial"/>
          <w:sz w:val="15"/>
          <w:szCs w:val="15"/>
          <w:color w:val="auto"/>
        </w:rPr>
        <w:t>Halliburton Co</w:t>
      </w:r>
    </w:p>
    <w:p>
      <w:pPr>
        <w:spacing w:after="0" w:line="223" w:lineRule="auto"/>
        <w:rPr>
          <w:sz w:val="20"/>
          <w:szCs w:val="20"/>
          <w:color w:val="auto"/>
        </w:rPr>
      </w:pPr>
      <w:r>
        <w:rPr>
          <w:rFonts w:ascii="Arial" w:cs="Arial" w:eastAsia="Arial" w:hAnsi="Arial"/>
          <w:sz w:val="15"/>
          <w:szCs w:val="15"/>
          <w:color w:val="auto"/>
        </w:rPr>
        <w:t>Hewlett Packard Enterprise Co</w:t>
      </w:r>
    </w:p>
    <w:p>
      <w:pPr>
        <w:spacing w:after="0" w:line="224" w:lineRule="auto"/>
        <w:rPr>
          <w:sz w:val="20"/>
          <w:szCs w:val="20"/>
          <w:color w:val="auto"/>
        </w:rPr>
      </w:pPr>
      <w:r>
        <w:rPr>
          <w:rFonts w:ascii="Arial" w:cs="Arial" w:eastAsia="Arial" w:hAnsi="Arial"/>
          <w:sz w:val="15"/>
          <w:szCs w:val="15"/>
          <w:color w:val="auto"/>
        </w:rPr>
        <w:t>HollyFrontier Corp</w:t>
      </w:r>
    </w:p>
    <w:p>
      <w:pPr>
        <w:spacing w:after="0" w:line="223" w:lineRule="auto"/>
        <w:rPr>
          <w:sz w:val="20"/>
          <w:szCs w:val="20"/>
          <w:color w:val="auto"/>
        </w:rPr>
      </w:pPr>
      <w:r>
        <w:rPr>
          <w:rFonts w:ascii="Arial" w:cs="Arial" w:eastAsia="Arial" w:hAnsi="Arial"/>
          <w:sz w:val="15"/>
          <w:szCs w:val="15"/>
          <w:color w:val="auto"/>
        </w:rPr>
        <w:t>Honeywell International Inc.</w:t>
      </w:r>
    </w:p>
    <w:p>
      <w:pPr>
        <w:spacing w:after="0" w:line="223" w:lineRule="auto"/>
        <w:rPr>
          <w:sz w:val="20"/>
          <w:szCs w:val="20"/>
          <w:color w:val="auto"/>
        </w:rPr>
      </w:pPr>
      <w:r>
        <w:rPr>
          <w:rFonts w:ascii="Arial" w:cs="Arial" w:eastAsia="Arial" w:hAnsi="Arial"/>
          <w:sz w:val="15"/>
          <w:szCs w:val="15"/>
          <w:color w:val="auto"/>
        </w:rPr>
        <w:t>International Paper Co</w:t>
      </w:r>
    </w:p>
    <w:p>
      <w:pPr>
        <w:spacing w:after="0" w:line="224" w:lineRule="auto"/>
        <w:rPr>
          <w:sz w:val="20"/>
          <w:szCs w:val="20"/>
          <w:color w:val="auto"/>
        </w:rPr>
      </w:pPr>
      <w:r>
        <w:rPr>
          <w:rFonts w:ascii="Arial" w:cs="Arial" w:eastAsia="Arial" w:hAnsi="Arial"/>
          <w:sz w:val="15"/>
          <w:szCs w:val="15"/>
          <w:color w:val="auto"/>
        </w:rPr>
        <w:t>Jacobs Engineering Group Inc.</w:t>
      </w:r>
    </w:p>
    <w:p>
      <w:pPr>
        <w:spacing w:after="0"/>
        <w:rPr>
          <w:sz w:val="20"/>
          <w:szCs w:val="20"/>
          <w:color w:val="auto"/>
        </w:rPr>
      </w:pPr>
      <w:r>
        <w:rPr>
          <w:rFonts w:ascii="Arial" w:cs="Arial" w:eastAsia="Arial" w:hAnsi="Arial"/>
          <w:sz w:val="15"/>
          <w:szCs w:val="15"/>
          <w:color w:val="auto"/>
        </w:rPr>
        <w:t>Johnson Controls International plc</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Kimberly-Clark Corp</w:t>
      </w:r>
    </w:p>
    <w:p>
      <w:pPr>
        <w:spacing w:after="0" w:line="223" w:lineRule="auto"/>
        <w:rPr>
          <w:sz w:val="20"/>
          <w:szCs w:val="20"/>
          <w:color w:val="auto"/>
        </w:rPr>
      </w:pPr>
      <w:r>
        <w:rPr>
          <w:rFonts w:ascii="Arial" w:cs="Arial" w:eastAsia="Arial" w:hAnsi="Arial"/>
          <w:sz w:val="15"/>
          <w:szCs w:val="15"/>
          <w:color w:val="auto"/>
        </w:rPr>
        <w:t>Kohl’s Corporation</w:t>
      </w:r>
    </w:p>
    <w:p>
      <w:pPr>
        <w:spacing w:after="0" w:line="223" w:lineRule="auto"/>
        <w:rPr>
          <w:sz w:val="20"/>
          <w:szCs w:val="20"/>
          <w:color w:val="auto"/>
        </w:rPr>
      </w:pPr>
      <w:r>
        <w:rPr>
          <w:rFonts w:ascii="Arial" w:cs="Arial" w:eastAsia="Arial" w:hAnsi="Arial"/>
          <w:sz w:val="15"/>
          <w:szCs w:val="15"/>
          <w:color w:val="auto"/>
        </w:rPr>
        <w:t>L3Harris Technologies, Inc.</w:t>
      </w:r>
    </w:p>
    <w:p>
      <w:pPr>
        <w:spacing w:after="0" w:line="223" w:lineRule="auto"/>
        <w:rPr>
          <w:sz w:val="20"/>
          <w:szCs w:val="20"/>
          <w:color w:val="auto"/>
        </w:rPr>
      </w:pPr>
      <w:r>
        <w:rPr>
          <w:rFonts w:ascii="Arial" w:cs="Arial" w:eastAsia="Arial" w:hAnsi="Arial"/>
          <w:sz w:val="15"/>
          <w:szCs w:val="15"/>
          <w:color w:val="auto"/>
        </w:rPr>
        <w:t>Lennar Corporation</w:t>
      </w:r>
    </w:p>
    <w:p>
      <w:pPr>
        <w:spacing w:after="0" w:line="224" w:lineRule="auto"/>
        <w:rPr>
          <w:sz w:val="20"/>
          <w:szCs w:val="20"/>
          <w:color w:val="auto"/>
        </w:rPr>
      </w:pPr>
      <w:r>
        <w:rPr>
          <w:rFonts w:ascii="Arial" w:cs="Arial" w:eastAsia="Arial" w:hAnsi="Arial"/>
          <w:sz w:val="15"/>
          <w:szCs w:val="15"/>
          <w:color w:val="auto"/>
        </w:rPr>
        <w:t>LyondellBasell Industries NV</w:t>
      </w:r>
    </w:p>
    <w:p>
      <w:pPr>
        <w:spacing w:after="0" w:line="223" w:lineRule="auto"/>
        <w:rPr>
          <w:sz w:val="20"/>
          <w:szCs w:val="20"/>
          <w:color w:val="auto"/>
        </w:rPr>
      </w:pPr>
      <w:r>
        <w:rPr>
          <w:rFonts w:ascii="Arial" w:cs="Arial" w:eastAsia="Arial" w:hAnsi="Arial"/>
          <w:sz w:val="15"/>
          <w:szCs w:val="15"/>
          <w:color w:val="auto"/>
        </w:rPr>
        <w:t>Macy’s Inc.</w:t>
      </w:r>
    </w:p>
    <w:p>
      <w:pPr>
        <w:spacing w:after="0" w:line="223" w:lineRule="auto"/>
        <w:rPr>
          <w:sz w:val="20"/>
          <w:szCs w:val="20"/>
          <w:color w:val="auto"/>
        </w:rPr>
      </w:pPr>
      <w:r>
        <w:rPr>
          <w:rFonts w:ascii="Arial" w:cs="Arial" w:eastAsia="Arial" w:hAnsi="Arial"/>
          <w:sz w:val="15"/>
          <w:szCs w:val="15"/>
          <w:color w:val="auto"/>
        </w:rPr>
        <w:t>Mastercard Inc.</w:t>
      </w:r>
    </w:p>
    <w:p>
      <w:pPr>
        <w:spacing w:after="0" w:line="224" w:lineRule="auto"/>
        <w:rPr>
          <w:sz w:val="20"/>
          <w:szCs w:val="20"/>
          <w:color w:val="auto"/>
        </w:rPr>
      </w:pPr>
      <w:r>
        <w:rPr>
          <w:rFonts w:ascii="Arial" w:cs="Arial" w:eastAsia="Arial" w:hAnsi="Arial"/>
          <w:sz w:val="15"/>
          <w:szCs w:val="15"/>
          <w:color w:val="auto"/>
        </w:rPr>
        <w:t>McDonald’s Corp</w:t>
      </w:r>
    </w:p>
    <w:p>
      <w:pPr>
        <w:spacing w:after="0" w:line="223" w:lineRule="auto"/>
        <w:rPr>
          <w:sz w:val="20"/>
          <w:szCs w:val="20"/>
          <w:color w:val="auto"/>
        </w:rPr>
      </w:pPr>
      <w:r>
        <w:rPr>
          <w:rFonts w:ascii="Arial" w:cs="Arial" w:eastAsia="Arial" w:hAnsi="Arial"/>
          <w:sz w:val="15"/>
          <w:szCs w:val="15"/>
          <w:color w:val="auto"/>
        </w:rPr>
        <w:t>Medtronic PLC</w:t>
      </w:r>
    </w:p>
    <w:p>
      <w:pPr>
        <w:spacing w:after="0" w:line="223" w:lineRule="auto"/>
        <w:rPr>
          <w:sz w:val="20"/>
          <w:szCs w:val="20"/>
          <w:color w:val="auto"/>
        </w:rPr>
      </w:pPr>
      <w:r>
        <w:rPr>
          <w:rFonts w:ascii="Arial" w:cs="Arial" w:eastAsia="Arial" w:hAnsi="Arial"/>
          <w:sz w:val="15"/>
          <w:szCs w:val="15"/>
          <w:color w:val="auto"/>
        </w:rPr>
        <w:t>Micron Technology Inc.</w:t>
      </w:r>
    </w:p>
    <w:p>
      <w:pPr>
        <w:spacing w:after="0" w:line="224" w:lineRule="auto"/>
        <w:rPr>
          <w:sz w:val="20"/>
          <w:szCs w:val="20"/>
          <w:color w:val="auto"/>
        </w:rPr>
      </w:pPr>
      <w:r>
        <w:rPr>
          <w:rFonts w:ascii="Arial" w:cs="Arial" w:eastAsia="Arial" w:hAnsi="Arial"/>
          <w:sz w:val="15"/>
          <w:szCs w:val="15"/>
          <w:color w:val="auto"/>
        </w:rPr>
        <w:t>Mondelez International Inc.</w:t>
      </w:r>
    </w:p>
    <w:p>
      <w:pPr>
        <w:spacing w:after="0" w:line="223" w:lineRule="auto"/>
        <w:rPr>
          <w:sz w:val="20"/>
          <w:szCs w:val="20"/>
          <w:color w:val="auto"/>
        </w:rPr>
      </w:pPr>
      <w:r>
        <w:rPr>
          <w:rFonts w:ascii="Arial" w:cs="Arial" w:eastAsia="Arial" w:hAnsi="Arial"/>
          <w:sz w:val="15"/>
          <w:szCs w:val="15"/>
          <w:color w:val="auto"/>
        </w:rPr>
        <w:t>Netflix, Inc.</w:t>
      </w:r>
    </w:p>
    <w:p>
      <w:pPr>
        <w:spacing w:after="0" w:line="223" w:lineRule="auto"/>
        <w:rPr>
          <w:sz w:val="20"/>
          <w:szCs w:val="20"/>
          <w:color w:val="auto"/>
        </w:rPr>
      </w:pPr>
      <w:r>
        <w:rPr>
          <w:rFonts w:ascii="Arial" w:cs="Arial" w:eastAsia="Arial" w:hAnsi="Arial"/>
          <w:sz w:val="15"/>
          <w:szCs w:val="15"/>
          <w:color w:val="auto"/>
        </w:rPr>
        <w:t>NIKE, Inc.</w:t>
      </w:r>
    </w:p>
    <w:p>
      <w:pPr>
        <w:spacing w:after="0" w:line="223" w:lineRule="auto"/>
        <w:rPr>
          <w:sz w:val="20"/>
          <w:szCs w:val="20"/>
          <w:color w:val="auto"/>
        </w:rPr>
      </w:pPr>
      <w:r>
        <w:rPr>
          <w:rFonts w:ascii="Arial" w:cs="Arial" w:eastAsia="Arial" w:hAnsi="Arial"/>
          <w:sz w:val="15"/>
          <w:szCs w:val="15"/>
          <w:color w:val="auto"/>
        </w:rPr>
        <w:t>Nordstrom, Inc.</w:t>
      </w:r>
    </w:p>
    <w:p>
      <w:pPr>
        <w:spacing w:after="0" w:line="224" w:lineRule="auto"/>
        <w:rPr>
          <w:sz w:val="20"/>
          <w:szCs w:val="20"/>
          <w:color w:val="auto"/>
        </w:rPr>
      </w:pPr>
      <w:r>
        <w:rPr>
          <w:rFonts w:ascii="Arial" w:cs="Arial" w:eastAsia="Arial" w:hAnsi="Arial"/>
          <w:sz w:val="15"/>
          <w:szCs w:val="15"/>
          <w:color w:val="auto"/>
        </w:rPr>
        <w:t>Northrop Grumman Corp</w:t>
      </w:r>
    </w:p>
    <w:p>
      <w:pPr>
        <w:spacing w:after="0" w:line="223" w:lineRule="auto"/>
        <w:rPr>
          <w:sz w:val="20"/>
          <w:szCs w:val="20"/>
          <w:color w:val="auto"/>
        </w:rPr>
      </w:pPr>
      <w:r>
        <w:rPr>
          <w:rFonts w:ascii="Arial" w:cs="Arial" w:eastAsia="Arial" w:hAnsi="Arial"/>
          <w:sz w:val="15"/>
          <w:szCs w:val="15"/>
          <w:color w:val="auto"/>
        </w:rPr>
        <w:t>Nucor Corp</w:t>
      </w:r>
    </w:p>
    <w:p>
      <w:pPr>
        <w:spacing w:after="0" w:line="223" w:lineRule="auto"/>
        <w:rPr>
          <w:sz w:val="20"/>
          <w:szCs w:val="20"/>
          <w:color w:val="auto"/>
        </w:rPr>
      </w:pPr>
      <w:r>
        <w:rPr>
          <w:rFonts w:ascii="Arial" w:cs="Arial" w:eastAsia="Arial" w:hAnsi="Arial"/>
          <w:sz w:val="15"/>
          <w:szCs w:val="15"/>
          <w:color w:val="auto"/>
        </w:rPr>
        <w:t>Occidental Petroleum Corp</w:t>
      </w:r>
    </w:p>
    <w:p>
      <w:pPr>
        <w:spacing w:after="0" w:line="224" w:lineRule="auto"/>
        <w:rPr>
          <w:sz w:val="20"/>
          <w:szCs w:val="20"/>
          <w:color w:val="auto"/>
        </w:rPr>
      </w:pPr>
      <w:r>
        <w:rPr>
          <w:rFonts w:ascii="Arial" w:cs="Arial" w:eastAsia="Arial" w:hAnsi="Arial"/>
          <w:sz w:val="15"/>
          <w:szCs w:val="15"/>
          <w:color w:val="auto"/>
        </w:rPr>
        <w:t>Omnicom Group Inc.</w:t>
      </w:r>
    </w:p>
    <w:p>
      <w:pPr>
        <w:spacing w:after="0" w:line="223" w:lineRule="auto"/>
        <w:rPr>
          <w:sz w:val="20"/>
          <w:szCs w:val="20"/>
          <w:color w:val="auto"/>
        </w:rPr>
      </w:pPr>
      <w:r>
        <w:rPr>
          <w:rFonts w:ascii="Arial" w:cs="Arial" w:eastAsia="Arial" w:hAnsi="Arial"/>
          <w:sz w:val="15"/>
          <w:szCs w:val="15"/>
          <w:color w:val="auto"/>
        </w:rPr>
        <w:t>Oracle Corp</w:t>
      </w:r>
    </w:p>
    <w:p>
      <w:pPr>
        <w:spacing w:after="0" w:line="223" w:lineRule="auto"/>
        <w:rPr>
          <w:sz w:val="20"/>
          <w:szCs w:val="20"/>
          <w:color w:val="auto"/>
        </w:rPr>
      </w:pPr>
      <w:r>
        <w:rPr>
          <w:rFonts w:ascii="Arial" w:cs="Arial" w:eastAsia="Arial" w:hAnsi="Arial"/>
          <w:sz w:val="15"/>
          <w:szCs w:val="15"/>
          <w:color w:val="auto"/>
        </w:rPr>
        <w:t>PACCAR Inc.</w:t>
      </w:r>
    </w:p>
    <w:p>
      <w:pPr>
        <w:spacing w:after="0" w:line="224" w:lineRule="auto"/>
        <w:rPr>
          <w:sz w:val="20"/>
          <w:szCs w:val="20"/>
          <w:color w:val="auto"/>
        </w:rPr>
      </w:pPr>
      <w:r>
        <w:rPr>
          <w:rFonts w:ascii="Arial" w:cs="Arial" w:eastAsia="Arial" w:hAnsi="Arial"/>
          <w:sz w:val="15"/>
          <w:szCs w:val="15"/>
          <w:color w:val="auto"/>
        </w:rPr>
        <w:t>PayPal Holdings, Inc.</w:t>
      </w:r>
    </w:p>
    <w:p>
      <w:pPr>
        <w:spacing w:after="0" w:line="223" w:lineRule="auto"/>
        <w:rPr>
          <w:sz w:val="20"/>
          <w:szCs w:val="20"/>
          <w:color w:val="auto"/>
        </w:rPr>
      </w:pPr>
      <w:r>
        <w:rPr>
          <w:rFonts w:ascii="Arial" w:cs="Arial" w:eastAsia="Arial" w:hAnsi="Arial"/>
          <w:sz w:val="15"/>
          <w:szCs w:val="15"/>
          <w:color w:val="auto"/>
        </w:rPr>
        <w:t>Phillip Morris International Inc.</w:t>
      </w:r>
    </w:p>
    <w:p>
      <w:pPr>
        <w:spacing w:after="0" w:line="223" w:lineRule="auto"/>
        <w:rPr>
          <w:sz w:val="20"/>
          <w:szCs w:val="20"/>
          <w:color w:val="auto"/>
        </w:rPr>
      </w:pPr>
      <w:r>
        <w:rPr>
          <w:rFonts w:ascii="Arial" w:cs="Arial" w:eastAsia="Arial" w:hAnsi="Arial"/>
          <w:sz w:val="15"/>
          <w:szCs w:val="15"/>
          <w:color w:val="auto"/>
        </w:rPr>
        <w:t>PPG Industries, Inc.</w:t>
      </w:r>
    </w:p>
    <w:p>
      <w:pPr>
        <w:spacing w:after="0" w:line="224" w:lineRule="auto"/>
        <w:rPr>
          <w:sz w:val="20"/>
          <w:szCs w:val="20"/>
          <w:color w:val="auto"/>
        </w:rPr>
      </w:pPr>
      <w:r>
        <w:rPr>
          <w:rFonts w:ascii="Arial" w:cs="Arial" w:eastAsia="Arial" w:hAnsi="Arial"/>
          <w:sz w:val="15"/>
          <w:szCs w:val="15"/>
          <w:color w:val="auto"/>
        </w:rPr>
        <w:t>QUALCOMM Inc.</w:t>
      </w:r>
    </w:p>
    <w:p>
      <w:pPr>
        <w:spacing w:after="0" w:line="223" w:lineRule="auto"/>
        <w:rPr>
          <w:sz w:val="20"/>
          <w:szCs w:val="20"/>
          <w:color w:val="auto"/>
        </w:rPr>
      </w:pPr>
      <w:r>
        <w:rPr>
          <w:rFonts w:ascii="Arial" w:cs="Arial" w:eastAsia="Arial" w:hAnsi="Arial"/>
          <w:sz w:val="15"/>
          <w:szCs w:val="15"/>
          <w:color w:val="auto"/>
        </w:rPr>
        <w:t>Raytheon Co</w:t>
      </w:r>
    </w:p>
    <w:p>
      <w:pPr>
        <w:spacing w:after="0" w:line="223" w:lineRule="auto"/>
        <w:rPr>
          <w:sz w:val="20"/>
          <w:szCs w:val="20"/>
          <w:color w:val="auto"/>
        </w:rPr>
      </w:pPr>
      <w:r>
        <w:rPr>
          <w:rFonts w:ascii="Arial" w:cs="Arial" w:eastAsia="Arial" w:hAnsi="Arial"/>
          <w:sz w:val="15"/>
          <w:szCs w:val="15"/>
          <w:color w:val="auto"/>
        </w:rPr>
        <w:t>ROSS Stores, Inc.</w:t>
      </w:r>
    </w:p>
    <w:p>
      <w:pPr>
        <w:spacing w:after="0" w:line="223" w:lineRule="auto"/>
        <w:rPr>
          <w:sz w:val="20"/>
          <w:szCs w:val="20"/>
          <w:color w:val="auto"/>
        </w:rPr>
      </w:pPr>
      <w:r>
        <w:rPr>
          <w:rFonts w:ascii="Arial" w:cs="Arial" w:eastAsia="Arial" w:hAnsi="Arial"/>
          <w:sz w:val="15"/>
          <w:szCs w:val="15"/>
          <w:color w:val="auto"/>
        </w:rPr>
        <w:t>Salesforce.com, inc.</w:t>
      </w:r>
    </w:p>
    <w:p>
      <w:pPr>
        <w:spacing w:after="0" w:line="224" w:lineRule="auto"/>
        <w:rPr>
          <w:sz w:val="20"/>
          <w:szCs w:val="20"/>
          <w:color w:val="auto"/>
        </w:rPr>
      </w:pPr>
      <w:r>
        <w:rPr>
          <w:rFonts w:ascii="Arial" w:cs="Arial" w:eastAsia="Arial" w:hAnsi="Arial"/>
          <w:sz w:val="15"/>
          <w:szCs w:val="15"/>
          <w:color w:val="auto"/>
        </w:rPr>
        <w:t>Schlumberger Ltd</w:t>
      </w:r>
    </w:p>
    <w:p>
      <w:pPr>
        <w:spacing w:after="0" w:line="223" w:lineRule="auto"/>
        <w:rPr>
          <w:sz w:val="20"/>
          <w:szCs w:val="20"/>
          <w:color w:val="auto"/>
        </w:rPr>
      </w:pPr>
      <w:r>
        <w:rPr>
          <w:rFonts w:ascii="Arial" w:cs="Arial" w:eastAsia="Arial" w:hAnsi="Arial"/>
          <w:sz w:val="15"/>
          <w:szCs w:val="15"/>
          <w:color w:val="auto"/>
        </w:rPr>
        <w:t>Southwest Airlines Co</w:t>
      </w:r>
    </w:p>
    <w:p>
      <w:pPr>
        <w:spacing w:after="0" w:line="223" w:lineRule="auto"/>
        <w:rPr>
          <w:sz w:val="20"/>
          <w:szCs w:val="20"/>
          <w:color w:val="auto"/>
        </w:rPr>
      </w:pPr>
      <w:r>
        <w:rPr>
          <w:rFonts w:ascii="Arial" w:cs="Arial" w:eastAsia="Arial" w:hAnsi="Arial"/>
          <w:sz w:val="15"/>
          <w:szCs w:val="15"/>
          <w:color w:val="auto"/>
        </w:rPr>
        <w:t>Stanley Black &amp; Decker, Inc.</w:t>
      </w:r>
    </w:p>
    <w:p>
      <w:pPr>
        <w:spacing w:after="0" w:line="224" w:lineRule="auto"/>
        <w:rPr>
          <w:sz w:val="20"/>
          <w:szCs w:val="20"/>
          <w:color w:val="auto"/>
        </w:rPr>
      </w:pPr>
      <w:r>
        <w:rPr>
          <w:rFonts w:ascii="Arial" w:cs="Arial" w:eastAsia="Arial" w:hAnsi="Arial"/>
          <w:sz w:val="15"/>
          <w:szCs w:val="15"/>
          <w:color w:val="auto"/>
        </w:rPr>
        <w:t>Starbucks Corp</w:t>
      </w:r>
    </w:p>
    <w:p>
      <w:pPr>
        <w:spacing w:after="0" w:line="223" w:lineRule="auto"/>
        <w:rPr>
          <w:sz w:val="20"/>
          <w:szCs w:val="20"/>
          <w:color w:val="auto"/>
        </w:rPr>
      </w:pPr>
      <w:r>
        <w:rPr>
          <w:rFonts w:ascii="Arial" w:cs="Arial" w:eastAsia="Arial" w:hAnsi="Arial"/>
          <w:sz w:val="15"/>
          <w:szCs w:val="15"/>
          <w:color w:val="auto"/>
        </w:rPr>
        <w:t>Stryker Corp</w:t>
      </w:r>
    </w:p>
    <w:p>
      <w:pPr>
        <w:spacing w:after="0" w:line="223" w:lineRule="auto"/>
        <w:rPr>
          <w:sz w:val="20"/>
          <w:szCs w:val="20"/>
          <w:color w:val="auto"/>
        </w:rPr>
      </w:pPr>
      <w:r>
        <w:rPr>
          <w:rFonts w:ascii="Arial" w:cs="Arial" w:eastAsia="Arial" w:hAnsi="Arial"/>
          <w:sz w:val="15"/>
          <w:szCs w:val="15"/>
          <w:color w:val="auto"/>
        </w:rPr>
        <w:t>Texas Instruments Inc.</w:t>
      </w:r>
    </w:p>
    <w:p>
      <w:pPr>
        <w:spacing w:after="0" w:line="224" w:lineRule="auto"/>
        <w:rPr>
          <w:sz w:val="20"/>
          <w:szCs w:val="20"/>
          <w:color w:val="auto"/>
        </w:rPr>
      </w:pPr>
      <w:r>
        <w:rPr>
          <w:rFonts w:ascii="Arial" w:cs="Arial" w:eastAsia="Arial" w:hAnsi="Arial"/>
          <w:sz w:val="15"/>
          <w:szCs w:val="15"/>
          <w:color w:val="auto"/>
        </w:rPr>
        <w:t>The Coca-Cola Company</w:t>
      </w:r>
    </w:p>
    <w:p>
      <w:pPr>
        <w:spacing w:after="0" w:line="223" w:lineRule="auto"/>
        <w:rPr>
          <w:sz w:val="20"/>
          <w:szCs w:val="20"/>
          <w:color w:val="auto"/>
        </w:rPr>
      </w:pPr>
      <w:r>
        <w:rPr>
          <w:rFonts w:ascii="Arial" w:cs="Arial" w:eastAsia="Arial" w:hAnsi="Arial"/>
          <w:sz w:val="15"/>
          <w:szCs w:val="15"/>
          <w:color w:val="auto"/>
        </w:rPr>
        <w:t>The Estèe Lauder Companies Inc.</w:t>
      </w:r>
    </w:p>
    <w:p>
      <w:pPr>
        <w:spacing w:after="0" w:line="223" w:lineRule="auto"/>
        <w:rPr>
          <w:sz w:val="20"/>
          <w:szCs w:val="20"/>
          <w:color w:val="auto"/>
        </w:rPr>
      </w:pPr>
      <w:r>
        <w:rPr>
          <w:rFonts w:ascii="Arial" w:cs="Arial" w:eastAsia="Arial" w:hAnsi="Arial"/>
          <w:sz w:val="15"/>
          <w:szCs w:val="15"/>
          <w:color w:val="auto"/>
        </w:rPr>
        <w:t>The Gap, Inc.</w:t>
      </w:r>
    </w:p>
    <w:p>
      <w:pPr>
        <w:spacing w:after="0" w:line="224" w:lineRule="auto"/>
        <w:rPr>
          <w:sz w:val="20"/>
          <w:szCs w:val="20"/>
          <w:color w:val="auto"/>
        </w:rPr>
      </w:pPr>
      <w:r>
        <w:rPr>
          <w:rFonts w:ascii="Arial" w:cs="Arial" w:eastAsia="Arial" w:hAnsi="Arial"/>
          <w:sz w:val="15"/>
          <w:szCs w:val="15"/>
          <w:color w:val="auto"/>
        </w:rPr>
        <w:t>The Kraft Heinz Co.</w:t>
      </w:r>
    </w:p>
    <w:p>
      <w:pPr>
        <w:spacing w:after="0" w:line="223" w:lineRule="auto"/>
        <w:rPr>
          <w:sz w:val="20"/>
          <w:szCs w:val="20"/>
          <w:color w:val="auto"/>
        </w:rPr>
      </w:pPr>
      <w:r>
        <w:rPr>
          <w:rFonts w:ascii="Arial" w:cs="Arial" w:eastAsia="Arial" w:hAnsi="Arial"/>
          <w:sz w:val="15"/>
          <w:szCs w:val="15"/>
          <w:color w:val="auto"/>
        </w:rPr>
        <w:t>The Sherwin Williams Co.</w:t>
      </w:r>
    </w:p>
    <w:p>
      <w:pPr>
        <w:spacing w:after="0" w:line="223" w:lineRule="auto"/>
        <w:rPr>
          <w:sz w:val="20"/>
          <w:szCs w:val="20"/>
          <w:color w:val="auto"/>
        </w:rPr>
      </w:pPr>
      <w:r>
        <w:rPr>
          <w:rFonts w:ascii="Arial" w:cs="Arial" w:eastAsia="Arial" w:hAnsi="Arial"/>
          <w:sz w:val="15"/>
          <w:szCs w:val="15"/>
          <w:color w:val="auto"/>
        </w:rPr>
        <w:t>The TJX Companies, Inc.</w:t>
      </w:r>
    </w:p>
    <w:p>
      <w:pPr>
        <w:spacing w:after="0" w:line="223" w:lineRule="auto"/>
        <w:rPr>
          <w:sz w:val="20"/>
          <w:szCs w:val="20"/>
          <w:color w:val="auto"/>
        </w:rPr>
      </w:pPr>
      <w:r>
        <w:rPr>
          <w:rFonts w:ascii="Arial" w:cs="Arial" w:eastAsia="Arial" w:hAnsi="Arial"/>
          <w:sz w:val="15"/>
          <w:szCs w:val="15"/>
          <w:color w:val="auto"/>
        </w:rPr>
        <w:t>Thermo Fisher Scientific Inc.</w:t>
      </w:r>
    </w:p>
    <w:p>
      <w:pPr>
        <w:spacing w:after="0" w:line="224" w:lineRule="auto"/>
        <w:rPr>
          <w:sz w:val="20"/>
          <w:szCs w:val="20"/>
          <w:color w:val="auto"/>
        </w:rPr>
      </w:pPr>
      <w:r>
        <w:rPr>
          <w:rFonts w:ascii="Arial" w:cs="Arial" w:eastAsia="Arial" w:hAnsi="Arial"/>
          <w:sz w:val="15"/>
          <w:szCs w:val="15"/>
          <w:color w:val="auto"/>
        </w:rPr>
        <w:t>Trane Technologies plc</w:t>
      </w:r>
    </w:p>
    <w:p>
      <w:pPr>
        <w:spacing w:after="0" w:line="223" w:lineRule="auto"/>
        <w:rPr>
          <w:sz w:val="20"/>
          <w:szCs w:val="20"/>
          <w:color w:val="auto"/>
        </w:rPr>
      </w:pPr>
      <w:r>
        <w:rPr>
          <w:rFonts w:ascii="Arial" w:cs="Arial" w:eastAsia="Arial" w:hAnsi="Arial"/>
          <w:sz w:val="15"/>
          <w:szCs w:val="15"/>
          <w:color w:val="auto"/>
        </w:rPr>
        <w:t>Union Pacific Corp</w:t>
      </w:r>
    </w:p>
    <w:p>
      <w:pPr>
        <w:spacing w:after="0" w:line="223" w:lineRule="auto"/>
        <w:rPr>
          <w:sz w:val="20"/>
          <w:szCs w:val="20"/>
          <w:color w:val="auto"/>
        </w:rPr>
      </w:pPr>
      <w:r>
        <w:rPr>
          <w:rFonts w:ascii="Arial" w:cs="Arial" w:eastAsia="Arial" w:hAnsi="Arial"/>
          <w:sz w:val="15"/>
          <w:szCs w:val="15"/>
          <w:color w:val="auto"/>
        </w:rPr>
        <w:t>Visa Inc.</w:t>
      </w:r>
    </w:p>
    <w:p>
      <w:pPr>
        <w:spacing w:after="0" w:line="224" w:lineRule="auto"/>
        <w:rPr>
          <w:sz w:val="20"/>
          <w:szCs w:val="20"/>
          <w:color w:val="auto"/>
        </w:rPr>
      </w:pPr>
      <w:r>
        <w:rPr>
          <w:rFonts w:ascii="Arial" w:cs="Arial" w:eastAsia="Arial" w:hAnsi="Arial"/>
          <w:sz w:val="15"/>
          <w:szCs w:val="15"/>
          <w:color w:val="auto"/>
        </w:rPr>
        <w:t>Waste Management Inc.</w:t>
      </w:r>
    </w:p>
    <w:p>
      <w:pPr>
        <w:spacing w:after="0" w:line="223" w:lineRule="auto"/>
        <w:rPr>
          <w:sz w:val="20"/>
          <w:szCs w:val="20"/>
          <w:color w:val="auto"/>
        </w:rPr>
      </w:pPr>
      <w:r>
        <w:rPr>
          <w:rFonts w:ascii="Arial" w:cs="Arial" w:eastAsia="Arial" w:hAnsi="Arial"/>
          <w:sz w:val="15"/>
          <w:szCs w:val="15"/>
          <w:color w:val="auto"/>
        </w:rPr>
        <w:t>Western Digital Corporation</w:t>
      </w:r>
    </w:p>
    <w:p>
      <w:pPr>
        <w:spacing w:after="0" w:line="223" w:lineRule="auto"/>
        <w:rPr>
          <w:sz w:val="20"/>
          <w:szCs w:val="20"/>
          <w:color w:val="auto"/>
        </w:rPr>
      </w:pPr>
      <w:r>
        <w:rPr>
          <w:rFonts w:ascii="Arial" w:cs="Arial" w:eastAsia="Arial" w:hAnsi="Arial"/>
          <w:sz w:val="15"/>
          <w:szCs w:val="15"/>
          <w:color w:val="auto"/>
        </w:rPr>
        <w:t>WestRock Co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Whirlpool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291465</wp:posOffset>
            </wp:positionV>
            <wp:extent cx="69297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4860" w:space="720"/>
            <w:col w:w="4399"/>
          </w:cols>
          <w:pgMar w:left="480" w:top="233" w:right="1440" w:bottom="1440" w:gutter="0" w:footer="0" w:header="0"/>
          <w:type w:val="continuous"/>
        </w:sectPr>
      </w:pPr>
    </w:p>
    <w:p>
      <w:pPr>
        <w:spacing w:after="0" w:line="236" w:lineRule="exact"/>
        <w:rPr>
          <w:sz w:val="20"/>
          <w:szCs w:val="20"/>
          <w:color w:val="auto"/>
        </w:rPr>
      </w:pPr>
    </w:p>
    <w:p>
      <w:pPr>
        <w:ind w:left="6020" w:hanging="620"/>
        <w:spacing w:after="0"/>
        <w:tabs>
          <w:tab w:leader="none" w:pos="6020" w:val="left"/>
        </w:tabs>
        <w:numPr>
          <w:ilvl w:val="0"/>
          <w:numId w:val="108"/>
        </w:numPr>
        <w:rPr>
          <w:rFonts w:ascii="Arial" w:cs="Arial" w:eastAsia="Arial" w:hAnsi="Arial"/>
          <w:sz w:val="19"/>
          <w:szCs w:val="19"/>
          <w:b w:val="1"/>
          <w:bCs w:val="1"/>
          <w:color w:val="5D89B4"/>
        </w:rPr>
      </w:pPr>
      <w:r>
        <w:rPr>
          <w:rFonts w:ascii="Arial" w:cs="Arial" w:eastAsia="Arial" w:hAnsi="Arial"/>
          <w:sz w:val="15"/>
          <w:szCs w:val="15"/>
          <w:b w:val="1"/>
          <w:bCs w:val="1"/>
          <w:color w:val="BFBFB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-123190</wp:posOffset>
            </wp:positionV>
            <wp:extent cx="934085" cy="169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9979"/>
          </w:cols>
          <w:pgMar w:left="480" w:top="233" w:right="1440" w:bottom="1440" w:gutter="0" w:footer="0" w:header="0"/>
          <w:type w:val="continuous"/>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254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6135" cy="2547620"/>
                    </a:xfrm>
                    <a:prstGeom prst="rect">
                      <a:avLst/>
                    </a:prstGeom>
                    <a:noFill/>
                  </pic:spPr>
                </pic:pic>
              </a:graphicData>
            </a:graphic>
          </wp:anchor>
        </w:drawing>
      </w:r>
    </w:p>
    <w:p>
      <w:pPr>
        <w:spacing w:after="0" w:line="376" w:lineRule="exact"/>
        <w:rPr>
          <w:sz w:val="20"/>
          <w:szCs w:val="20"/>
          <w:color w:val="auto"/>
        </w:rPr>
      </w:pPr>
    </w:p>
    <w:p>
      <w:pPr>
        <w:ind w:left="5780"/>
        <w:spacing w:after="0"/>
        <w:rPr>
          <w:sz w:val="20"/>
          <w:szCs w:val="20"/>
          <w:color w:val="auto"/>
        </w:rPr>
      </w:pPr>
      <w:r>
        <w:rPr>
          <w:rFonts w:ascii="Arial" w:cs="Arial" w:eastAsia="Arial" w:hAnsi="Arial"/>
          <w:sz w:val="25"/>
          <w:szCs w:val="25"/>
          <w:b w:val="1"/>
          <w:bCs w:val="1"/>
          <w:color w:val="auto"/>
        </w:rPr>
        <w:t>Your vote matters – here’s how to vote!</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You may vote online or by phone instead of mailing this card.</w:t>
      </w:r>
    </w:p>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-119380</wp:posOffset>
            </wp:positionV>
            <wp:extent cx="339725" cy="33972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clrChange>
                        <a:clrFrom>
                          <a:srgbClr val="000000"/>
                        </a:clrFrom>
                        <a:clrTo>
                          <a:srgbClr val="000000">
                            <a:alpha val="0"/>
                          </a:srgbClr>
                        </a:clrTo>
                      </a:clrChange>
                      <a:extLst>
                        <a:ext uri="{28A0092B-C50C-407E-A947-70E740481C1C}"/>
                      </a:extLst>
                    </a:blip>
                    <a:srcRect/>
                    <a:stretch>
                      <a:fillRect/>
                    </a:stretch>
                  </pic:blipFill>
                  <pic:spPr bwMode="auto">
                    <a:xfrm>
                      <a:off x="0" y="0"/>
                      <a:ext cx="339725" cy="33972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-119380</wp:posOffset>
            </wp:positionV>
            <wp:extent cx="339725" cy="33972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clrChange>
                        <a:clrFrom>
                          <a:srgbClr val="FFFFFF"/>
                        </a:clrFrom>
                        <a:clrTo>
                          <a:srgbClr val="FFFFFF">
                            <a:alpha val="0"/>
                          </a:srgbClr>
                        </a:clrTo>
                      </a:clrChange>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4" w:lineRule="exact"/>
        <w:rPr>
          <w:sz w:val="20"/>
          <w:szCs w:val="20"/>
          <w:color w:val="auto"/>
        </w:rPr>
      </w:pPr>
    </w:p>
    <w:p>
      <w:pPr>
        <w:jc w:val="both"/>
        <w:ind w:left="6560" w:right="380"/>
        <w:spacing w:after="0" w:line="397" w:lineRule="auto"/>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www.envisionreports.com/MAN</w:t>
      </w:r>
      <w:r>
        <w:rPr>
          <w:rFonts w:ascii="Arial" w:cs="Arial" w:eastAsia="Arial" w:hAnsi="Arial"/>
          <w:sz w:val="14"/>
          <w:szCs w:val="14"/>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2540</wp:posOffset>
            </wp:positionV>
            <wp:extent cx="212090" cy="37338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clrChange>
                        <a:clrFrom>
                          <a:srgbClr val="000000"/>
                        </a:clrFrom>
                        <a:clrTo>
                          <a:srgbClr val="000000">
                            <a:alpha val="0"/>
                          </a:srgbClr>
                        </a:clrTo>
                      </a:clrChange>
                      <a:extLst>
                        <a:ext uri="{28A0092B-C50C-407E-A947-70E740481C1C}"/>
                      </a:extLst>
                    </a:blip>
                    <a:srcRect/>
                    <a:stretch>
                      <a:fillRect/>
                    </a:stretch>
                  </pic:blipFill>
                  <pic:spPr bwMode="auto">
                    <a:xfrm>
                      <a:off x="0" y="0"/>
                      <a:ext cx="212090" cy="373380"/>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2540</wp:posOffset>
            </wp:positionV>
            <wp:extent cx="212090" cy="37338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clrChange>
                        <a:clrFrom>
                          <a:srgbClr val="FFFFFF"/>
                        </a:clrFrom>
                        <a:clrTo>
                          <a:srgbClr val="FFFFFF">
                            <a:alpha val="0"/>
                          </a:srgbClr>
                        </a:clrTo>
                      </a:clrChange>
                      <a:extLst>
                        <a:ext uri="{28A0092B-C50C-407E-A947-70E740481C1C}"/>
                      </a:extLst>
                    </a:blip>
                    <a:srcRect/>
                    <a:stretch>
                      <a:fillRect/>
                    </a:stretch>
                  </pic:blipFill>
                  <pic:spPr bwMode="auto">
                    <a:xfrm>
                      <a:off x="0" y="0"/>
                      <a:ext cx="212090" cy="37338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b w:val="1"/>
          <w:bCs w:val="1"/>
          <w:color w:val="auto"/>
        </w:rPr>
        <w:t>Phone</w:t>
      </w:r>
    </w:p>
    <w:p>
      <w:pPr>
        <w:spacing w:after="0" w:line="24" w:lineRule="exact"/>
        <w:rPr>
          <w:sz w:val="20"/>
          <w:szCs w:val="20"/>
          <w:color w:val="auto"/>
        </w:rPr>
      </w:pPr>
    </w:p>
    <w:p>
      <w:pPr>
        <w:ind w:left="6560" w:right="140"/>
        <w:spacing w:after="0" w:line="256" w:lineRule="auto"/>
        <w:rPr>
          <w:sz w:val="20"/>
          <w:szCs w:val="20"/>
          <w:color w:val="auto"/>
        </w:rPr>
      </w:pPr>
      <w:r>
        <w:rPr>
          <w:rFonts w:ascii="Arial" w:cs="Arial" w:eastAsia="Arial" w:hAnsi="Arial"/>
          <w:sz w:val="18"/>
          <w:szCs w:val="18"/>
          <w:color w:val="auto"/>
        </w:rPr>
        <w:t>Call toll free 1-800-652-VOTE (8683) within the USA, US territories and Canada</w:t>
      </w:r>
    </w:p>
    <w:p>
      <w:pPr>
        <w:spacing w:after="0" w:line="94" w:lineRule="exact"/>
        <w:rPr>
          <w:sz w:val="20"/>
          <w:szCs w:val="20"/>
          <w:color w:val="auto"/>
        </w:rPr>
      </w:pPr>
    </w:p>
    <w:p>
      <w:pPr>
        <w:ind w:left="6560" w:right="1380"/>
        <w:spacing w:after="0" w:line="297" w:lineRule="auto"/>
        <w:rPr>
          <w:sz w:val="20"/>
          <w:szCs w:val="20"/>
          <w:color w:val="auto"/>
        </w:rPr>
      </w:pPr>
      <w:r>
        <w:rPr>
          <w:rFonts w:ascii="Arial" w:cs="Arial" w:eastAsia="Arial" w:hAnsi="Arial"/>
          <w:sz w:val="19"/>
          <w:szCs w:val="19"/>
          <w:b w:val="1"/>
          <w:bCs w:val="1"/>
          <w:color w:val="auto"/>
        </w:rPr>
        <w:t>Save paper, time and money! Sign up for electronic delivery at 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-480060</wp:posOffset>
            </wp:positionV>
            <wp:extent cx="356870" cy="3568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56870" cy="356870"/>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-29845</wp:posOffset>
            </wp:positionV>
            <wp:extent cx="280035" cy="2546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80035" cy="254635"/>
                    </a:xfrm>
                    <a:prstGeom prst="rect">
                      <a:avLst/>
                    </a:prstGeom>
                    <a:noFill/>
                  </pic:spPr>
                </pic:pic>
              </a:graphicData>
            </a:graphic>
          </wp:anchor>
        </w:drawing>
      </w:r>
    </w:p>
    <w:p>
      <w:pPr>
        <w:ind w:left="240" w:right="7300"/>
        <w:spacing w:after="0" w:line="272" w:lineRule="auto"/>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 Please do not write outside the designated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40" w:type="dxa"/>
            <w:vAlign w:val="bottom"/>
            <w:shd w:val="clear" w:color="auto" w:fill="000000"/>
          </w:tcPr>
          <w:p>
            <w:pPr>
              <w:spacing w:after="0"/>
              <w:rPr>
                <w:sz w:val="24"/>
                <w:szCs w:val="24"/>
                <w:color w:val="auto"/>
              </w:rPr>
            </w:pPr>
          </w:p>
        </w:tc>
        <w:tc>
          <w:tcPr>
            <w:tcW w:w="10260" w:type="dxa"/>
            <w:vAlign w:val="bottom"/>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Proposals – THIS PROXY, WHEN PROPERLY EXECUTED, WILL BE VOTED IN THE MATTER DIRECTED HEREIN BY</w:t>
            </w:r>
          </w:p>
        </w:tc>
        <w:tc>
          <w:tcPr>
            <w:tcW w:w="420" w:type="dxa"/>
            <w:vAlign w:val="bottom"/>
            <w:vMerge w:val="restart"/>
          </w:tcPr>
          <w:p>
            <w:pPr>
              <w:jc w:val="right"/>
              <w:spacing w:after="0"/>
              <w:rPr>
                <w:sz w:val="20"/>
                <w:szCs w:val="20"/>
                <w:color w:val="auto"/>
              </w:rPr>
            </w:pPr>
            <w:r>
              <w:rPr>
                <w:rFonts w:ascii="Arial" w:cs="Arial" w:eastAsia="Arial" w:hAnsi="Arial"/>
                <w:sz w:val="45"/>
                <w:szCs w:val="45"/>
                <w:b w:val="1"/>
                <w:bCs w:val="1"/>
                <w:color w:val="auto"/>
              </w:rPr>
              <w:t>+</w:t>
            </w:r>
          </w:p>
        </w:tc>
        <w:tc>
          <w:tcPr>
            <w:tcW w:w="0" w:type="dxa"/>
            <w:vAlign w:val="bottom"/>
          </w:tcPr>
          <w:p>
            <w:pPr>
              <w:spacing w:after="0"/>
              <w:rPr>
                <w:sz w:val="1"/>
                <w:szCs w:val="1"/>
                <w:color w:val="auto"/>
              </w:rPr>
            </w:pPr>
          </w:p>
        </w:tc>
      </w:tr>
      <w:tr>
        <w:trPr>
          <w:trHeight w:val="214"/>
        </w:trPr>
        <w:tc>
          <w:tcPr>
            <w:tcW w:w="240" w:type="dxa"/>
            <w:vAlign w:val="bottom"/>
            <w:shd w:val="clear" w:color="auto" w:fill="000000"/>
          </w:tcPr>
          <w:p>
            <w:pPr>
              <w:ind w:left="40"/>
              <w:spacing w:after="0"/>
              <w:rPr>
                <w:sz w:val="20"/>
                <w:szCs w:val="20"/>
                <w:color w:val="auto"/>
              </w:rPr>
            </w:pPr>
            <w:r>
              <w:rPr>
                <w:rFonts w:ascii="Arial" w:cs="Arial" w:eastAsia="Arial" w:hAnsi="Arial"/>
                <w:sz w:val="18"/>
                <w:szCs w:val="18"/>
                <w:b w:val="1"/>
                <w:bCs w:val="1"/>
                <w:color w:val="FFFFFF"/>
              </w:rPr>
              <w:t>A</w:t>
            </w:r>
          </w:p>
        </w:tc>
        <w:tc>
          <w:tcPr>
            <w:tcW w:w="10260" w:type="dxa"/>
            <w:vAlign w:val="bottom"/>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THE UNDERSIGNED SHAREHOLDER. IF NO DIRECTION IS MADE, THIS PROXY WILL BE VOTED FOR PROPOSALS 1,</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40" w:type="dxa"/>
            <w:vAlign w:val="bottom"/>
            <w:shd w:val="clear" w:color="auto" w:fill="000000"/>
          </w:tcPr>
          <w:p>
            <w:pPr>
              <w:spacing w:after="0"/>
              <w:rPr>
                <w:sz w:val="20"/>
                <w:szCs w:val="20"/>
                <w:color w:val="auto"/>
              </w:rPr>
            </w:pPr>
          </w:p>
        </w:tc>
        <w:tc>
          <w:tcPr>
            <w:tcW w:w="7960" w:type="dxa"/>
            <w:vAlign w:val="bottom"/>
            <w:gridSpan w:val="2"/>
            <w:shd w:val="clear" w:color="auto" w:fill="D8D8D8"/>
          </w:tcPr>
          <w:p>
            <w:pPr>
              <w:ind w:left="120"/>
              <w:spacing w:after="0"/>
              <w:rPr>
                <w:sz w:val="20"/>
                <w:szCs w:val="20"/>
                <w:color w:val="auto"/>
              </w:rPr>
            </w:pPr>
            <w:r>
              <w:rPr>
                <w:rFonts w:ascii="Arial" w:cs="Arial" w:eastAsia="Arial" w:hAnsi="Arial"/>
                <w:sz w:val="18"/>
                <w:szCs w:val="18"/>
                <w:b w:val="1"/>
                <w:bCs w:val="1"/>
                <w:color w:val="auto"/>
              </w:rPr>
              <w:t>2 AND 3. PROPOSALS 1, 2 AND 3 ARE BEING PROPOSED BY MANPOWERGROUP INC.</w:t>
            </w:r>
          </w:p>
        </w:tc>
        <w:tc>
          <w:tcPr>
            <w:tcW w:w="2300" w:type="dxa"/>
            <w:vAlign w:val="bottom"/>
            <w:shd w:val="clear" w:color="auto" w:fill="D8D8D8"/>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26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3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4020" w:type="dxa"/>
            <w:vAlign w:val="bottom"/>
          </w:tcPr>
          <w:p>
            <w:pPr>
              <w:ind w:left="1520"/>
              <w:spacing w:after="0"/>
              <w:rPr>
                <w:sz w:val="20"/>
                <w:szCs w:val="20"/>
                <w:color w:val="auto"/>
              </w:rPr>
            </w:pPr>
            <w:r>
              <w:rPr>
                <w:rFonts w:ascii="Arial" w:cs="Arial" w:eastAsia="Arial" w:hAnsi="Arial"/>
                <w:sz w:val="14"/>
                <w:szCs w:val="14"/>
                <w:b w:val="1"/>
                <w:bCs w:val="1"/>
                <w:color w:val="auto"/>
              </w:rPr>
              <w:t>For  Against Abstain</w:t>
            </w:r>
          </w:p>
        </w:tc>
        <w:tc>
          <w:tcPr>
            <w:tcW w:w="3940" w:type="dxa"/>
            <w:vAlign w:val="bottom"/>
          </w:tcPr>
          <w:p>
            <w:pPr>
              <w:ind w:left="1100"/>
              <w:spacing w:after="0"/>
              <w:rPr>
                <w:sz w:val="20"/>
                <w:szCs w:val="20"/>
                <w:color w:val="auto"/>
              </w:rPr>
            </w:pPr>
            <w:r>
              <w:rPr>
                <w:rFonts w:ascii="Arial" w:cs="Arial" w:eastAsia="Arial" w:hAnsi="Arial"/>
                <w:sz w:val="14"/>
                <w:szCs w:val="14"/>
                <w:b w:val="1"/>
                <w:bCs w:val="1"/>
                <w:color w:val="auto"/>
              </w:rPr>
              <w:t>For  Against  Abstain</w:t>
            </w:r>
          </w:p>
        </w:tc>
        <w:tc>
          <w:tcPr>
            <w:tcW w:w="2300" w:type="dxa"/>
            <w:vAlign w:val="bottom"/>
          </w:tcPr>
          <w:p>
            <w:pPr>
              <w:ind w:left="600"/>
              <w:spacing w:after="0"/>
              <w:rPr>
                <w:sz w:val="20"/>
                <w:szCs w:val="20"/>
                <w:color w:val="auto"/>
              </w:rPr>
            </w:pPr>
            <w:r>
              <w:rPr>
                <w:rFonts w:ascii="Arial" w:cs="Arial" w:eastAsia="Arial" w:hAnsi="Arial"/>
                <w:sz w:val="14"/>
                <w:szCs w:val="14"/>
                <w:b w:val="1"/>
                <w:bCs w:val="1"/>
                <w:color w:val="auto"/>
              </w:rPr>
              <w:t>For  Against   Abstain</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0920"/>
          </w:cols>
          <w:pgMar w:left="480" w:top="1440" w:right="499" w:bottom="1440" w:gutter="0" w:footer="0" w:header="0"/>
        </w:sectPr>
      </w:pPr>
    </w:p>
    <w:p>
      <w:pPr>
        <w:spacing w:after="0" w:line="1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1.A - Gina R. Boswell</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1.D - John F. Ferraro</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1.G - Julie M. Howard</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1.J - Paul Read</w:t>
      </w:r>
    </w:p>
    <w:p>
      <w:pPr>
        <w:spacing w:after="0" w:line="20" w:lineRule="exact"/>
        <w:rPr>
          <w:sz w:val="20"/>
          <w:szCs w:val="20"/>
          <w:color w:val="auto"/>
        </w:rPr>
      </w:pPr>
      <w:r>
        <w:rPr>
          <w:sz w:val="20"/>
          <w:szCs w:val="20"/>
          <w:color w:val="auto"/>
        </w:rPr>
        <w:br w:type="column"/>
      </w:r>
    </w:p>
    <w:p>
      <w:pPr>
        <w:spacing w:after="0" w:line="251" w:lineRule="exact"/>
        <w:tabs>
          <w:tab w:leader="none" w:pos="10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1.B - Jean-Philippe Courtois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1.E - William P. Gipson</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1.H - Ulice Payne, Jr.</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1.K - Elizabeth P. Sartain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0"/>
        </w:trPr>
        <w:tc>
          <w:tcPr>
            <w:tcW w:w="920" w:type="dxa"/>
            <w:vAlign w:val="bottom"/>
            <w:gridSpan w:val="2"/>
          </w:tcPr>
          <w:p>
            <w:pPr>
              <w:jc w:val="right"/>
              <w:ind w:right="46"/>
              <w:spacing w:after="0" w:line="271" w:lineRule="exact"/>
              <w:rPr>
                <w:sz w:val="20"/>
                <w:szCs w:val="20"/>
                <w:color w:val="auto"/>
              </w:rPr>
            </w:pPr>
            <w:r>
              <w:rPr>
                <w:rFonts w:ascii="MS PGothic" w:cs="MS PGothic" w:eastAsia="MS PGothic" w:hAnsi="MS PGothic"/>
                <w:sz w:val="27"/>
                <w:szCs w:val="27"/>
                <w:color w:val="auto"/>
              </w:rPr>
              <w:t>☐  ☐</w:t>
            </w:r>
          </w:p>
        </w:tc>
        <w:tc>
          <w:tcPr>
            <w:tcW w:w="5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1780" w:type="dxa"/>
            <w:vAlign w:val="bottom"/>
          </w:tcPr>
          <w:p>
            <w:pPr>
              <w:ind w:left="160"/>
              <w:spacing w:after="0"/>
              <w:rPr>
                <w:sz w:val="20"/>
                <w:szCs w:val="20"/>
                <w:color w:val="auto"/>
              </w:rPr>
            </w:pPr>
            <w:r>
              <w:rPr>
                <w:rFonts w:ascii="Arial" w:cs="Arial" w:eastAsia="Arial" w:hAnsi="Arial"/>
                <w:sz w:val="14"/>
                <w:szCs w:val="14"/>
                <w:color w:val="auto"/>
              </w:rPr>
              <w:t>1.C - William Downe</w:t>
            </w:r>
          </w:p>
        </w:tc>
        <w:tc>
          <w:tcPr>
            <w:tcW w:w="1100" w:type="dxa"/>
            <w:vAlign w:val="bottom"/>
            <w:gridSpan w:val="2"/>
          </w:tcPr>
          <w:p>
            <w:pPr>
              <w:jc w:val="right"/>
              <w:ind w:right="66"/>
              <w:spacing w:after="0" w:line="271" w:lineRule="exact"/>
              <w:rPr>
                <w:sz w:val="20"/>
                <w:szCs w:val="20"/>
                <w:color w:val="auto"/>
              </w:rPr>
            </w:pPr>
            <w:r>
              <w:rPr>
                <w:rFonts w:ascii="MS PGothic" w:cs="MS PGothic" w:eastAsia="MS PGothic" w:hAnsi="MS PGothic"/>
                <w:sz w:val="27"/>
                <w:szCs w:val="27"/>
                <w:color w:val="auto"/>
              </w:rPr>
              <w:t>☐  ☐</w:t>
            </w:r>
          </w:p>
        </w:tc>
        <w:tc>
          <w:tcPr>
            <w:tcW w:w="460" w:type="dxa"/>
            <w:vAlign w:val="bottom"/>
          </w:tcPr>
          <w:p>
            <w:pPr>
              <w:ind w:left="2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192"/>
        </w:trPr>
        <w:tc>
          <w:tcPr>
            <w:tcW w:w="920" w:type="dxa"/>
            <w:vAlign w:val="bottom"/>
            <w:gridSpan w:val="2"/>
            <w:vMerge w:val="restart"/>
          </w:tcPr>
          <w:p>
            <w:pPr>
              <w:jc w:val="right"/>
              <w:ind w:right="46"/>
              <w:spacing w:after="0" w:line="271" w:lineRule="exact"/>
              <w:rPr>
                <w:sz w:val="20"/>
                <w:szCs w:val="20"/>
                <w:color w:val="auto"/>
              </w:rPr>
            </w:pPr>
            <w:r>
              <w:rPr>
                <w:rFonts w:ascii="MS PGothic" w:cs="MS PGothic" w:eastAsia="MS PGothic" w:hAnsi="MS PGothic"/>
                <w:sz w:val="27"/>
                <w:szCs w:val="27"/>
                <w:color w:val="auto"/>
              </w:rPr>
              <w:t>☐  ☐</w:t>
            </w:r>
          </w:p>
        </w:tc>
        <w:tc>
          <w:tcPr>
            <w:tcW w:w="580" w:type="dxa"/>
            <w:vAlign w:val="bottom"/>
            <w:vMerge w:val="restart"/>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1780" w:type="dxa"/>
            <w:vAlign w:val="bottom"/>
          </w:tcPr>
          <w:p>
            <w:pPr>
              <w:ind w:left="160"/>
              <w:spacing w:after="0"/>
              <w:rPr>
                <w:sz w:val="20"/>
                <w:szCs w:val="20"/>
                <w:color w:val="auto"/>
              </w:rPr>
            </w:pPr>
            <w:r>
              <w:rPr>
                <w:rFonts w:ascii="Arial" w:cs="Arial" w:eastAsia="Arial" w:hAnsi="Arial"/>
                <w:sz w:val="14"/>
                <w:szCs w:val="14"/>
                <w:color w:val="auto"/>
              </w:rPr>
              <w:t>1.F - Patricia Hemingway</w:t>
            </w:r>
          </w:p>
        </w:tc>
        <w:tc>
          <w:tcPr>
            <w:tcW w:w="1100" w:type="dxa"/>
            <w:vAlign w:val="bottom"/>
            <w:gridSpan w:val="2"/>
            <w:vMerge w:val="restart"/>
          </w:tcPr>
          <w:p>
            <w:pPr>
              <w:jc w:val="right"/>
              <w:ind w:right="66"/>
              <w:spacing w:after="0" w:line="271" w:lineRule="exact"/>
              <w:rPr>
                <w:sz w:val="20"/>
                <w:szCs w:val="20"/>
                <w:color w:val="auto"/>
              </w:rPr>
            </w:pPr>
            <w:r>
              <w:rPr>
                <w:rFonts w:ascii="MS PGothic" w:cs="MS PGothic" w:eastAsia="MS PGothic" w:hAnsi="MS PGothic"/>
                <w:sz w:val="27"/>
                <w:szCs w:val="27"/>
                <w:color w:val="auto"/>
              </w:rPr>
              <w:t>☐  ☐</w:t>
            </w:r>
          </w:p>
        </w:tc>
        <w:tc>
          <w:tcPr>
            <w:tcW w:w="46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236"/>
        </w:trPr>
        <w:tc>
          <w:tcPr>
            <w:tcW w:w="92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780" w:type="dxa"/>
            <w:vAlign w:val="bottom"/>
          </w:tcPr>
          <w:p>
            <w:pPr>
              <w:ind w:left="480"/>
              <w:spacing w:after="0"/>
              <w:rPr>
                <w:sz w:val="20"/>
                <w:szCs w:val="20"/>
                <w:color w:val="auto"/>
              </w:rPr>
            </w:pPr>
            <w:r>
              <w:rPr>
                <w:rFonts w:ascii="Arial" w:cs="Arial" w:eastAsia="Arial" w:hAnsi="Arial"/>
                <w:sz w:val="14"/>
                <w:szCs w:val="14"/>
                <w:color w:val="auto"/>
              </w:rPr>
              <w:t>Hall</w:t>
            </w:r>
          </w:p>
        </w:tc>
        <w:tc>
          <w:tcPr>
            <w:tcW w:w="1100" w:type="dxa"/>
            <w:vAlign w:val="bottom"/>
            <w:gridSpan w:val="2"/>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3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560" w:type="dxa"/>
            <w:vAlign w:val="bottom"/>
          </w:tcPr>
          <w:p>
            <w:pPr>
              <w:jc w:val="right"/>
              <w:ind w:right="46"/>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1780" w:type="dxa"/>
            <w:vAlign w:val="bottom"/>
          </w:tcPr>
          <w:p>
            <w:pPr>
              <w:ind w:left="160"/>
              <w:spacing w:after="0"/>
              <w:rPr>
                <w:sz w:val="20"/>
                <w:szCs w:val="20"/>
                <w:color w:val="auto"/>
              </w:rPr>
            </w:pPr>
            <w:r>
              <w:rPr>
                <w:rFonts w:ascii="Arial" w:cs="Arial" w:eastAsia="Arial" w:hAnsi="Arial"/>
                <w:sz w:val="14"/>
                <w:szCs w:val="14"/>
                <w:color w:val="auto"/>
              </w:rPr>
              <w:t>1.I - Jonas Prising</w:t>
            </w:r>
          </w:p>
        </w:tc>
        <w:tc>
          <w:tcPr>
            <w:tcW w:w="52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jc w:val="right"/>
              <w:ind w:right="66"/>
              <w:spacing w:after="0" w:line="271" w:lineRule="exact"/>
              <w:rPr>
                <w:sz w:val="20"/>
                <w:szCs w:val="20"/>
                <w:color w:val="auto"/>
              </w:rPr>
            </w:pPr>
            <w:r>
              <w:rPr>
                <w:rFonts w:ascii="MS PGothic" w:cs="MS PGothic" w:eastAsia="MS PGothic" w:hAnsi="MS PGothic"/>
                <w:sz w:val="27"/>
                <w:szCs w:val="27"/>
                <w:color w:val="auto"/>
              </w:rPr>
              <w:t>☐</w:t>
            </w:r>
          </w:p>
        </w:tc>
        <w:tc>
          <w:tcPr>
            <w:tcW w:w="460" w:type="dxa"/>
            <w:vAlign w:val="bottom"/>
          </w:tcPr>
          <w:p>
            <w:pPr>
              <w:ind w:left="2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428"/>
        </w:trPr>
        <w:tc>
          <w:tcPr>
            <w:tcW w:w="3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560" w:type="dxa"/>
            <w:vAlign w:val="bottom"/>
          </w:tcPr>
          <w:p>
            <w:pPr>
              <w:jc w:val="right"/>
              <w:ind w:right="46"/>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2300" w:type="dxa"/>
            <w:vAlign w:val="bottom"/>
            <w:gridSpan w:val="2"/>
          </w:tcPr>
          <w:p>
            <w:pPr>
              <w:ind w:left="160"/>
              <w:spacing w:after="0" w:line="299" w:lineRule="exact"/>
              <w:rPr>
                <w:sz w:val="20"/>
                <w:szCs w:val="20"/>
                <w:color w:val="auto"/>
              </w:rPr>
            </w:pPr>
            <w:r>
              <w:rPr>
                <w:rFonts w:ascii="Arial" w:cs="Arial" w:eastAsia="Arial" w:hAnsi="Arial"/>
                <w:sz w:val="14"/>
                <w:szCs w:val="14"/>
                <w:color w:val="auto"/>
              </w:rPr>
              <w:t xml:space="preserve">1.L - Michael J. Van Handel   </w:t>
            </w:r>
            <w:r>
              <w:rPr>
                <w:rFonts w:ascii="MS PGothic" w:cs="MS PGothic" w:eastAsia="MS PGothic" w:hAnsi="MS PGothic"/>
                <w:sz w:val="26"/>
                <w:szCs w:val="26"/>
                <w:color w:val="auto"/>
              </w:rPr>
              <w:t>☐</w:t>
            </w:r>
          </w:p>
        </w:tc>
        <w:tc>
          <w:tcPr>
            <w:tcW w:w="580" w:type="dxa"/>
            <w:vAlign w:val="bottom"/>
          </w:tcPr>
          <w:p>
            <w:pPr>
              <w:jc w:val="right"/>
              <w:ind w:right="66"/>
              <w:spacing w:after="0" w:line="271" w:lineRule="exact"/>
              <w:rPr>
                <w:sz w:val="20"/>
                <w:szCs w:val="20"/>
                <w:color w:val="auto"/>
              </w:rPr>
            </w:pPr>
            <w:r>
              <w:rPr>
                <w:rFonts w:ascii="MS PGothic" w:cs="MS PGothic" w:eastAsia="MS PGothic" w:hAnsi="MS PGothic"/>
                <w:sz w:val="27"/>
                <w:szCs w:val="27"/>
                <w:color w:val="auto"/>
              </w:rPr>
              <w:t>☐</w:t>
            </w:r>
          </w:p>
        </w:tc>
        <w:tc>
          <w:tcPr>
            <w:tcW w:w="460" w:type="dxa"/>
            <w:vAlign w:val="bottom"/>
          </w:tcPr>
          <w:p>
            <w:pPr>
              <w:ind w:left="2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4">
            <w:col w:w="1440" w:space="320"/>
            <w:col w:w="1300" w:space="360"/>
            <w:col w:w="1620" w:space="320"/>
            <w:col w:w="5560"/>
          </w:cols>
          <w:pgMar w:left="480" w:top="1440" w:right="499" w:bottom="1440" w:gutter="0" w:footer="0" w:header="0"/>
          <w:type w:val="continuous"/>
        </w:sectPr>
      </w:pPr>
    </w:p>
    <w:p>
      <w:pPr>
        <w:spacing w:after="0" w:line="169" w:lineRule="exact"/>
        <w:rPr>
          <w:sz w:val="20"/>
          <w:szCs w:val="20"/>
          <w:color w:val="auto"/>
        </w:rPr>
      </w:pPr>
    </w:p>
    <w:p>
      <w:pPr>
        <w:ind w:left="160" w:right="540" w:hanging="153"/>
        <w:spacing w:after="0" w:line="249" w:lineRule="auto"/>
        <w:tabs>
          <w:tab w:leader="none" w:pos="153"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Ratification of Deloitte &amp; Touche LLP as our independent auditors for 2022.</w:t>
      </w:r>
    </w:p>
    <w:p>
      <w:pPr>
        <w:spacing w:after="0" w:line="241" w:lineRule="exact"/>
        <w:rPr>
          <w:sz w:val="20"/>
          <w:szCs w:val="20"/>
          <w:color w:val="auto"/>
        </w:rPr>
      </w:pPr>
    </w:p>
    <w:p>
      <w:pPr>
        <w:ind w:left="160" w:hanging="153"/>
        <w:spacing w:after="0" w:line="236" w:lineRule="auto"/>
        <w:tabs>
          <w:tab w:leader="none" w:pos="153"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Against</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55"/>
        </w:trPr>
        <w:tc>
          <w:tcPr>
            <w:tcW w:w="400" w:type="dxa"/>
            <w:vAlign w:val="bottom"/>
            <w:vMerge w:val="restart"/>
          </w:tcPr>
          <w:p>
            <w:pPr>
              <w:spacing w:after="0" w:line="271" w:lineRule="exact"/>
              <w:rPr>
                <w:sz w:val="20"/>
                <w:szCs w:val="20"/>
                <w:color w:val="auto"/>
              </w:rPr>
            </w:pPr>
            <w:r>
              <w:rPr>
                <w:rFonts w:ascii="MS PGothic" w:cs="MS PGothic" w:eastAsia="MS PGothic" w:hAnsi="MS PGothic"/>
                <w:sz w:val="27"/>
                <w:szCs w:val="27"/>
                <w:color w:val="auto"/>
              </w:rPr>
              <w:t>☐</w:t>
            </w:r>
          </w:p>
        </w:tc>
        <w:tc>
          <w:tcPr>
            <w:tcW w:w="76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7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840" w:type="dxa"/>
            <w:vAlign w:val="bottom"/>
          </w:tcPr>
          <w:p>
            <w:pPr>
              <w:ind w:left="160"/>
              <w:spacing w:after="0" w:line="155" w:lineRule="exact"/>
              <w:rPr>
                <w:sz w:val="20"/>
                <w:szCs w:val="20"/>
                <w:color w:val="auto"/>
              </w:rPr>
            </w:pPr>
            <w:r>
              <w:rPr>
                <w:rFonts w:ascii="Arial" w:cs="Arial" w:eastAsia="Arial" w:hAnsi="Arial"/>
                <w:sz w:val="14"/>
                <w:szCs w:val="14"/>
                <w:color w:val="auto"/>
                <w:w w:val="98"/>
              </w:rPr>
              <w:t>3. Advisory vote to approve the compensation of our named</w:t>
            </w:r>
          </w:p>
        </w:tc>
        <w:tc>
          <w:tcPr>
            <w:tcW w:w="600" w:type="dxa"/>
            <w:vAlign w:val="bottom"/>
            <w:vMerge w:val="restart"/>
          </w:tcPr>
          <w:p>
            <w:pPr>
              <w:jc w:val="right"/>
              <w:spacing w:after="0" w:line="271" w:lineRule="exact"/>
              <w:rPr>
                <w:sz w:val="20"/>
                <w:szCs w:val="20"/>
                <w:color w:val="auto"/>
              </w:rPr>
            </w:pPr>
            <w:r>
              <w:rPr>
                <w:rFonts w:ascii="MS PGothic" w:cs="MS PGothic" w:eastAsia="MS PGothic" w:hAnsi="MS PGothic"/>
                <w:sz w:val="27"/>
                <w:szCs w:val="27"/>
                <w:color w:val="auto"/>
              </w:rPr>
              <w:t>☐</w:t>
            </w:r>
          </w:p>
        </w:tc>
        <w:tc>
          <w:tcPr>
            <w:tcW w:w="620" w:type="dxa"/>
            <w:vAlign w:val="bottom"/>
            <w:vMerge w:val="restart"/>
          </w:tcPr>
          <w:p>
            <w:pPr>
              <w:ind w:left="24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vMerge w:val="restart"/>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265"/>
        </w:trPr>
        <w:tc>
          <w:tcPr>
            <w:tcW w:w="400" w:type="dxa"/>
            <w:vAlign w:val="bottom"/>
            <w:vMerge w:val="continue"/>
          </w:tcPr>
          <w:p>
            <w:pPr>
              <w:spacing w:after="0"/>
              <w:rPr>
                <w:sz w:val="23"/>
                <w:szCs w:val="23"/>
                <w:color w:val="auto"/>
              </w:rPr>
            </w:pPr>
          </w:p>
        </w:tc>
        <w:tc>
          <w:tcPr>
            <w:tcW w:w="760" w:type="dxa"/>
            <w:vAlign w:val="bottom"/>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3840" w:type="dxa"/>
            <w:vAlign w:val="bottom"/>
          </w:tcPr>
          <w:p>
            <w:pPr>
              <w:ind w:left="300"/>
              <w:spacing w:after="0"/>
              <w:rPr>
                <w:sz w:val="20"/>
                <w:szCs w:val="20"/>
                <w:color w:val="auto"/>
              </w:rPr>
            </w:pPr>
            <w:r>
              <w:rPr>
                <w:rFonts w:ascii="Arial" w:cs="Arial" w:eastAsia="Arial" w:hAnsi="Arial"/>
                <w:sz w:val="14"/>
                <w:szCs w:val="14"/>
                <w:color w:val="auto"/>
              </w:rPr>
              <w:t>executive officers.</w:t>
            </w:r>
          </w:p>
        </w:tc>
        <w:tc>
          <w:tcPr>
            <w:tcW w:w="600" w:type="dxa"/>
            <w:vAlign w:val="bottom"/>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837" w:lineRule="exact"/>
        <w:rPr>
          <w:sz w:val="20"/>
          <w:szCs w:val="20"/>
          <w:color w:val="auto"/>
        </w:rPr>
      </w:pPr>
    </w:p>
    <w:p>
      <w:pPr>
        <w:sectPr>
          <w:pgSz w:w="11900" w:h="16838" w:orient="portrait"/>
          <w:cols w:equalWidth="0" w:num="2">
            <w:col w:w="3280" w:space="140"/>
            <w:col w:w="7500"/>
          </w:cols>
          <w:pgMar w:left="480" w:top="1440" w:right="499" w:bottom="1440" w:gutter="0" w:footer="0" w:header="0"/>
          <w:type w:val="continuous"/>
        </w:sectPr>
      </w:pPr>
    </w:p>
    <w:p>
      <w:pPr>
        <w:spacing w:after="0" w:line="7" w:lineRule="exact"/>
        <w:rPr>
          <w:sz w:val="20"/>
          <w:szCs w:val="20"/>
          <w:color w:val="auto"/>
        </w:rPr>
      </w:pPr>
    </w:p>
    <w:p>
      <w:pPr>
        <w:ind w:left="340" w:hanging="288"/>
        <w:spacing w:after="0"/>
        <w:tabs>
          <w:tab w:leader="none" w:pos="340" w:val="left"/>
        </w:tabs>
        <w:numPr>
          <w:ilvl w:val="0"/>
          <w:numId w:val="111"/>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929755" cy="135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54"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201" w:lineRule="exact"/>
        <w:rPr>
          <w:sz w:val="20"/>
          <w:szCs w:val="20"/>
          <w:color w:val="auto"/>
        </w:rPr>
      </w:pPr>
    </w:p>
    <w:p>
      <w:pPr>
        <w:spacing w:after="0"/>
        <w:tabs>
          <w:tab w:leader="none" w:pos="3700" w:val="left"/>
          <w:tab w:leader="none" w:pos="742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2"/>
          <w:szCs w:val="12"/>
          <w:color w:val="auto"/>
        </w:rPr>
        <w:t>Signature 1 – Please keep signature within the box.</w:t>
      </w:r>
      <w:r>
        <w:rPr>
          <w:sz w:val="20"/>
          <w:szCs w:val="20"/>
          <w:color w:val="auto"/>
        </w:rPr>
        <w:tab/>
      </w:r>
      <w:r>
        <w:rPr>
          <w:rFonts w:ascii="Arial" w:cs="Arial" w:eastAsia="Arial" w:hAnsi="Arial"/>
          <w:sz w:val="11"/>
          <w:szCs w:val="11"/>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6938010" cy="41592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938010" cy="415925"/>
                    </a:xfrm>
                    <a:prstGeom prst="rect">
                      <a:avLst/>
                    </a:prstGeom>
                    <a:noFill/>
                  </pic:spPr>
                </pic:pic>
              </a:graphicData>
            </a:graphic>
          </wp:anchor>
        </w:drawing>
      </w:r>
    </w:p>
    <w:p>
      <w:pPr>
        <w:ind w:left="960"/>
        <w:spacing w:after="0"/>
        <w:tabs>
          <w:tab w:leader="none" w:pos="1900" w:val="left"/>
        </w:tabs>
        <w:rPr>
          <w:sz w:val="20"/>
          <w:szCs w:val="20"/>
          <w:color w:val="auto"/>
        </w:rPr>
      </w:pPr>
      <w:r>
        <w:rPr>
          <w:rFonts w:ascii="Arial" w:cs="Arial" w:eastAsia="Arial" w:hAnsi="Arial"/>
          <w:sz w:val="53"/>
          <w:szCs w:val="53"/>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172085</wp:posOffset>
            </wp:positionV>
            <wp:extent cx="6793865" cy="69659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793865" cy="69659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ManpowerGroup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ManpowerGroup Inc. Shareholders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Friday, May 6, 2022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Agenda</w:t>
      </w:r>
    </w:p>
    <w:p>
      <w:pPr>
        <w:spacing w:after="0" w:line="24" w:lineRule="exact"/>
        <w:rPr>
          <w:sz w:val="20"/>
          <w:szCs w:val="20"/>
          <w:color w:val="auto"/>
        </w:rPr>
      </w:pPr>
    </w:p>
    <w:p>
      <w:pPr>
        <w:ind w:left="440" w:hanging="433"/>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Elect twelve individuals nominated by the Board of Directors of ManpowerGroup Inc. to serve until 2023 as directors.</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Ratification of Deloitte &amp; Touche LLP as our independent auditors for 2022.</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2022 Annual Meeting of Shareholders of ManpowerGroup Inc. will be held 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Friday, May 6, 2022, 9:00 A.M. Central time, virtually via the internet at www.meetnow.global/MXN79FA.</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To access the virtual meeting, you must have the information that is printed in the shaded bar located on the reverse side of this form.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Shareholders: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the 2021 Annual Report on Form 10-K are available at: </w:t>
      </w:r>
      <w:r>
        <w:rPr>
          <w:rFonts w:ascii="Arial" w:cs="Arial" w:eastAsia="Arial" w:hAnsi="Arial"/>
          <w:sz w:val="18"/>
          <w:szCs w:val="18"/>
          <w:b w:val="1"/>
          <w:bCs w:val="1"/>
          <w:u w:val="single" w:color="auto"/>
          <w:color w:val="auto"/>
        </w:rPr>
        <w:t>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234950</wp:posOffset>
            </wp:positionV>
            <wp:extent cx="4161155" cy="58610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161155" cy="5861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Small steps make an impact.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Help the environment by consenting to receive electronic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delivery, sign up at www.envisionreports.com/MAN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333" w:lineRule="exact"/>
        <w:rPr>
          <w:sz w:val="20"/>
          <w:szCs w:val="20"/>
          <w:color w:val="auto"/>
        </w:rPr>
      </w:pPr>
    </w:p>
    <w:p>
      <w:pPr>
        <w:ind w:left="140"/>
        <w:spacing w:after="0"/>
        <w:tabs>
          <w:tab w:leader="none" w:pos="10700" w:val="left"/>
        </w:tabs>
        <w:rPr>
          <w:sz w:val="20"/>
          <w:szCs w:val="20"/>
          <w:color w:val="auto"/>
        </w:rPr>
      </w:pPr>
      <w:r>
        <w:rPr>
          <w:rFonts w:ascii="Arial" w:cs="Arial" w:eastAsia="Arial" w:hAnsi="Arial"/>
          <w:sz w:val="25"/>
          <w:szCs w:val="25"/>
          <w:b w:val="1"/>
          <w:bCs w:val="1"/>
          <w:color w:val="auto"/>
        </w:rPr>
        <w:t>Proxy - ManpowerGroup Inc.</w:t>
      </w:r>
      <w:r>
        <w:rPr>
          <w:sz w:val="20"/>
          <w:szCs w:val="20"/>
          <w:color w:val="auto"/>
        </w:rPr>
        <w:tab/>
      </w:r>
      <w:r>
        <w:rPr>
          <w:rFonts w:ascii="Arial" w:cs="Arial" w:eastAsia="Arial" w:hAnsi="Arial"/>
          <w:sz w:val="34"/>
          <w:szCs w:val="3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6725920" cy="2800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725920" cy="28003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PROXY IS SOLICITED ON BEHALF OF THE BOARD OF DIRECTORS OF MANPOWERGROUP INC.</w:t>
      </w:r>
    </w:p>
    <w:p>
      <w:pPr>
        <w:spacing w:after="0" w:line="22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undersigned hereby appoints Jonas Prising, John T. McGinnis and Richard Buchband proxies, each with the power to act without the other and with power of substitution, and hereby authorizes them to represent and vote, as designated on the other side, all the shares of stock of ManpowerGroup Inc. standing in the name of the undersigned with all the powers which the undersigned would possess if personally present at the Annual Meeting of Shareholders of ManpowerGroup Inc. to be held on May 6, 2022 or at any adjournment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to be voted appear on reverse side)</w:t>
      </w:r>
    </w:p>
    <w:p>
      <w:pPr>
        <w:spacing w:after="0" w:line="200" w:lineRule="exact"/>
        <w:rPr>
          <w:sz w:val="20"/>
          <w:szCs w:val="20"/>
          <w:color w:val="auto"/>
        </w:rPr>
      </w:pPr>
    </w:p>
    <w:p>
      <w:pPr>
        <w:spacing w:after="0" w:line="320" w:lineRule="exact"/>
        <w:rPr>
          <w:sz w:val="20"/>
          <w:szCs w:val="20"/>
          <w:color w:val="auto"/>
        </w:rPr>
      </w:pPr>
    </w:p>
    <w:p>
      <w:pPr>
        <w:ind w:left="340" w:hanging="283"/>
        <w:spacing w:after="0"/>
        <w:tabs>
          <w:tab w:leader="none" w:pos="340" w:val="left"/>
        </w:tabs>
        <w:numPr>
          <w:ilvl w:val="0"/>
          <w:numId w:val="113"/>
        </w:numPr>
        <w:rPr>
          <w:rFonts w:ascii="Arial" w:cs="Arial" w:eastAsia="Arial" w:hAnsi="Arial"/>
          <w:sz w:val="18"/>
          <w:szCs w:val="18"/>
          <w:b w:val="1"/>
          <w:bCs w:val="1"/>
          <w:color w:val="FFFFFF"/>
        </w:rPr>
      </w:pPr>
      <w:r>
        <w:rPr>
          <w:rFonts w:ascii="Arial" w:cs="Arial" w:eastAsia="Arial" w:hAnsi="Arial"/>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929755" cy="169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18" w:lineRule="exact"/>
        <w:rPr>
          <w:sz w:val="20"/>
          <w:szCs w:val="20"/>
          <w:color w:val="auto"/>
        </w:rPr>
      </w:pPr>
    </w:p>
    <w:p>
      <w:pPr>
        <w:spacing w:after="0"/>
        <w:tabs>
          <w:tab w:leader="none" w:pos="550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38010" cy="43307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938010"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45"/>
          <w:szCs w:val="4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135890" cy="135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sectPr>
      <w:pgSz w:w="11900" w:h="16838" w:orient="portrait"/>
      <w:cols w:equalWidth="0" w:num="1">
        <w:col w:w="10920"/>
      </w:cols>
      <w:pgMar w:left="480" w:top="26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bullet"/>
      <w:start w:val="1"/>
    </w:lvl>
  </w:abstractNum>
  <w:abstractNum w:abstractNumId="6">
    <w:nsid w:val="741226BB"/>
    <w:multiLevelType w:val="hybridMultilevel"/>
    <w:lvl w:ilvl="0">
      <w:lvlJc w:val="left"/>
      <w:lvlText w:val="4"/>
      <w:numFmt w:val="bullet"/>
      <w:start w:val="1"/>
    </w:lvl>
  </w:abstractNum>
  <w:abstractNum w:abstractNumId="7">
    <w:nsid w:val="D34B6A8"/>
    <w:multiLevelType w:val="hybridMultilevel"/>
    <w:lvl w:ilvl="0">
      <w:lvlJc w:val="left"/>
      <w:lvlText w:val="1"/>
      <w:numFmt w:val="bullet"/>
      <w:start w:val="1"/>
    </w:lvl>
  </w:abstractNum>
  <w:abstractNum w:abstractNumId="8">
    <w:nsid w:val="10233C99"/>
    <w:multiLevelType w:val="hybridMultilevel"/>
    <w:lvl w:ilvl="0">
      <w:lvlJc w:val="left"/>
      <w:lvlText w:val="7"/>
      <w:numFmt w:val="bullet"/>
      <w:start w:val="1"/>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1"/>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2"/>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3"/>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4"/>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5"/>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6"/>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8"/>
      <w:numFmt w:val="bullet"/>
      <w:start w:val="1"/>
    </w:lvl>
  </w:abstractNum>
  <w:abstractNum w:abstractNumId="48">
    <w:nsid w:val="60B6DF70"/>
    <w:multiLevelType w:val="hybridMultilevel"/>
    <w:lvl w:ilvl="0">
      <w:lvlJc w:val="left"/>
      <w:lvlText w:val="(%1)"/>
      <w:numFmt w:val="decimal"/>
      <w:start w:val="1"/>
    </w:lvl>
  </w:abstractNum>
  <w:abstractNum w:abstractNumId="49">
    <w:nsid w:val="6A5EE64"/>
    <w:multiLevelType w:val="hybridMultilevel"/>
    <w:lvl w:ilvl="0">
      <w:lvlJc w:val="left"/>
      <w:lvlText w:val="(%1)"/>
      <w:numFmt w:val="decimal"/>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1)"/>
      <w:numFmt w:val="decimal"/>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lvl w:ilvl="1">
      <w:lvlJc w:val="left"/>
      <w:lvlText w:val="\endash "/>
      <w:numFmt w:val="bullet"/>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
      <w:numFmt w:val="bullet"/>
      <w:start w:val="1"/>
    </w:lvl>
  </w:abstractNum>
  <w:abstractNum w:abstractNumId="68">
    <w:nsid w:val="46B7D447"/>
    <w:multiLevelType w:val="hybridMultilevel"/>
    <w:lvl w:ilvl="0">
      <w:lvlJc w:val="left"/>
      <w:lvlText w:val="%1."/>
      <w:numFmt w:val="decimal"/>
      <w:start w:val="4"/>
    </w:lvl>
  </w:abstractNum>
  <w:abstractNum w:abstractNumId="69">
    <w:nsid w:val="4A2AC315"/>
    <w:multiLevelType w:val="hybridMultilevel"/>
    <w:lvl w:ilvl="0">
      <w:lvlJc w:val="left"/>
      <w:lvlText w:val="•"/>
      <w:numFmt w:val="bullet"/>
      <w:start w:val="1"/>
    </w:lvl>
  </w:abstractNum>
  <w:abstractNum w:abstractNumId="70">
    <w:nsid w:val="39EE015C"/>
    <w:multiLevelType w:val="hybridMultilevel"/>
    <w:lvl w:ilvl="0">
      <w:lvlJc w:val="left"/>
      <w:lvlText w:val="%1"/>
      <w:numFmt w:val="decimal"/>
      <w:start w:val="30"/>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lvl w:ilvl="1">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1"/>
      <w:numFmt w:val="decimal"/>
      <w:start w:val="33"/>
    </w:lvl>
  </w:abstractNum>
  <w:abstractNum w:abstractNumId="75">
    <w:nsid w:val="26F324BA"/>
    <w:multiLevelType w:val="hybridMultilevel"/>
    <w:lvl w:ilvl="0">
      <w:lvlJc w:val="left"/>
      <w:lvlText w:val="(%1)"/>
      <w:numFmt w:val="decimal"/>
      <w:start w:val="1"/>
    </w:lvl>
  </w:abstractNum>
  <w:abstractNum w:abstractNumId="76">
    <w:nsid w:val="7F01579B"/>
    <w:multiLevelType w:val="hybridMultilevel"/>
    <w:lvl w:ilvl="0">
      <w:lvlJc w:val="left"/>
      <w:lvlText w:val="(%1)"/>
      <w:numFmt w:val="lowerRoman"/>
      <w:start w:val="3"/>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lvl w:ilvl="1">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
      <w:numFmt w:val="bullet"/>
      <w:start w:val="1"/>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
      <w:numFmt w:val="bullet"/>
      <w:start w:val="1"/>
    </w:lvl>
  </w:abstractNum>
  <w:abstractNum w:abstractNumId="84">
    <w:nsid w:val="7672BD23"/>
    <w:multiLevelType w:val="hybridMultilevel"/>
    <w:lvl w:ilvl="0">
      <w:lvlJc w:val="left"/>
      <w:lvlText w:val="•"/>
      <w:numFmt w:val="bullet"/>
      <w:start w:val="1"/>
    </w:lvl>
  </w:abstractNum>
  <w:abstractNum w:abstractNumId="85">
    <w:nsid w:val="6FC75AF8"/>
    <w:multiLevelType w:val="hybridMultilevel"/>
    <w:lvl w:ilvl="0">
      <w:lvlJc w:val="left"/>
      <w:lvlText w:val="(%1)"/>
      <w:numFmt w:val="decimal"/>
      <w:start w:val="1"/>
    </w:lvl>
  </w:abstractNum>
  <w:abstractNum w:abstractNumId="86">
    <w:nsid w:val="6A5F7029"/>
    <w:multiLevelType w:val="hybridMultilevel"/>
    <w:lvl w:ilvl="0">
      <w:lvlJc w:val="left"/>
      <w:lvlText w:val="(%1)"/>
      <w:numFmt w:val="decimal"/>
      <w:start w:val="1"/>
    </w:lvl>
  </w:abstractNum>
  <w:abstractNum w:abstractNumId="87">
    <w:nsid w:val="7D5E18F8"/>
    <w:multiLevelType w:val="hybridMultilevel"/>
    <w:lvl w:ilvl="0">
      <w:lvlJc w:val="left"/>
      <w:lvlText w:val="(%1)"/>
      <w:numFmt w:val="decimal"/>
      <w:start w:val="1"/>
    </w:lvl>
  </w:abstractNum>
  <w:abstractNum w:abstractNumId="88">
    <w:nsid w:val="5F3534A4"/>
    <w:multiLevelType w:val="hybridMultilevel"/>
    <w:lvl w:ilvl="0">
      <w:lvlJc w:val="left"/>
      <w:lvlText w:val="(%1)"/>
      <w:numFmt w:val="decimal"/>
      <w:start w:val="2"/>
    </w:lvl>
  </w:abstractNum>
  <w:abstractNum w:abstractNumId="89">
    <w:nsid w:val="73A1821B"/>
    <w:multiLevelType w:val="hybridMultilevel"/>
    <w:lvl w:ilvl="0">
      <w:lvlJc w:val="left"/>
      <w:lvlText w:val="(%1)"/>
      <w:numFmt w:val="decimal"/>
      <w:start w:val="3"/>
    </w:lvl>
  </w:abstractNum>
  <w:abstractNum w:abstractNumId="90">
    <w:nsid w:val="7DE67713"/>
    <w:multiLevelType w:val="hybridMultilevel"/>
    <w:lvl w:ilvl="0">
      <w:lvlJc w:val="left"/>
      <w:lvlText w:val="(%1)"/>
      <w:numFmt w:val="upperLetter"/>
      <w:start w:val="1"/>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1)"/>
      <w:numFmt w:val="decimal"/>
      <w:start w:val="1"/>
    </w:lvl>
  </w:abstractNum>
  <w:abstractNum w:abstractNumId="93">
    <w:nsid w:val="14FCE74E"/>
    <w:multiLevelType w:val="hybridMultilevel"/>
    <w:lvl w:ilvl="0">
      <w:lvlJc w:val="left"/>
      <w:lvlText w:val="(%1)"/>
      <w:numFmt w:val="decimal"/>
      <w:start w:val="1"/>
    </w:lvl>
  </w:abstractNum>
  <w:abstractNum w:abstractNumId="94">
    <w:nsid w:val="6A3DD3E8"/>
    <w:multiLevelType w:val="hybridMultilevel"/>
    <w:lvl w:ilvl="0">
      <w:lvlJc w:val="left"/>
      <w:lvlText w:val="(%1)"/>
      <w:numFmt w:val="decimal"/>
      <w:start w:val="1"/>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1)"/>
      <w:numFmt w:val="decimal"/>
      <w:start w:val="1"/>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
      <w:numFmt w:val="bullet"/>
      <w:start w:val="1"/>
    </w:lvl>
  </w:abstractNum>
  <w:abstractNum w:abstractNumId="99">
    <w:nsid w:val="5092CA79"/>
    <w:multiLevelType w:val="hybridMultilevel"/>
    <w:lvl w:ilvl="0">
      <w:lvlJc w:val="left"/>
      <w:lvlText w:val="•"/>
      <w:numFmt w:val="bullet"/>
      <w:start w:val="1"/>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1)"/>
      <w:numFmt w:val="decimal"/>
      <w:start w:val="1"/>
    </w:lvl>
  </w:abstractNum>
  <w:abstractNum w:abstractNumId="102">
    <w:nsid w:val="288F1A34"/>
    <w:multiLevelType w:val="hybridMultilevel"/>
    <w:lvl w:ilvl="0">
      <w:lvlJc w:val="left"/>
      <w:lvlText w:val="*"/>
      <w:numFmt w:val="bullet"/>
      <w:start w:val="1"/>
    </w:lvl>
  </w:abstractNum>
  <w:abstractNum w:abstractNumId="103">
    <w:nsid w:val="2A155DBC"/>
    <w:multiLevelType w:val="hybridMultilevel"/>
    <w:lvl w:ilvl="0">
      <w:lvlJc w:val="left"/>
      <w:lvlText w:val="(%1)"/>
      <w:numFmt w:val="decimal"/>
      <w:start w:val="1"/>
    </w:lvl>
  </w:abstractNum>
  <w:abstractNum w:abstractNumId="104">
    <w:nsid w:val="1D9F6E5F"/>
    <w:multiLevelType w:val="hybridMultilevel"/>
    <w:lvl w:ilvl="0">
      <w:lvlJc w:val="left"/>
      <w:lvlText w:val="(%1)"/>
      <w:numFmt w:val="decimal"/>
      <w:start w:val="2"/>
    </w:lvl>
  </w:abstractNum>
  <w:abstractNum w:abstractNumId="105">
    <w:nsid w:val="97E1B4E"/>
    <w:multiLevelType w:val="hybridMultilevel"/>
    <w:lvl w:ilvl="0">
      <w:lvlJc w:val="left"/>
      <w:lvlText w:val="%1."/>
      <w:numFmt w:val="decimal"/>
      <w:start w:val="3"/>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A"/>
      <w:numFmt w:val="bullet"/>
      <w:start w:val="1"/>
    </w:lvl>
  </w:abstractNum>
  <w:abstractNum w:abstractNumId="108">
    <w:nsid w:val="53584BCB"/>
    <w:multiLevelType w:val="hybridMultilevel"/>
    <w:lvl w:ilvl="0">
      <w:lvlJc w:val="left"/>
      <w:lvlText w:val="%1."/>
      <w:numFmt w:val="decimal"/>
      <w:start w:val="2"/>
    </w:lvl>
  </w:abstractNum>
  <w:abstractNum w:abstractNumId="109">
    <w:nsid w:val="415E286C"/>
    <w:multiLevelType w:val="hybridMultilevel"/>
    <w:lvl w:ilvl="0">
      <w:lvlJc w:val="left"/>
      <w:lvlText w:val="%1."/>
      <w:numFmt w:val="decimal"/>
      <w:start w:val="4"/>
    </w:lvl>
  </w:abstractNum>
  <w:abstractNum w:abstractNumId="110">
    <w:nsid w:val="7C58FD05"/>
    <w:multiLevelType w:val="hybridMultilevel"/>
    <w:lvl w:ilvl="0">
      <w:lvlJc w:val="left"/>
      <w:lvlText w:val="B"/>
      <w:numFmt w:val="bullet"/>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2022-03-10T15:56:00Z</dcterms:created>
  <dcterms:modified xsi:type="dcterms:W3CDTF">2022-03-10T15:56:00Z</dcterms:modified>
</cp:coreProperties>
</file>