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9952d8k.htm"/>
      <w:bookmarkStart w:id="1" w:name="ksd2299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1-10686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39-1672779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100 Manpower Place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Milwaukee, Wisconsin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53212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(414) 961-1000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2990"/>
        <w:gridCol w:w="60"/>
        <w:gridCol w:w="740"/>
        <w:gridCol w:w="60"/>
        <w:gridCol w:w="2660"/>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845" w:type="dxa"/>
        <w:jc w:val="left"/>
        <w:tblInd w:w="0" w:type="dxa"/>
        <w:tblLayout w:type="fixed"/>
        <w:tblCellMar>
          <w:top w:w="0" w:type="dxa"/>
          <w:left w:w="0" w:type="dxa"/>
          <w:bottom w:w="0" w:type="dxa"/>
          <w:right w:w="0" w:type="dxa"/>
        </w:tblCellMar>
      </w:tblPr>
      <w:tblGrid>
        <w:gridCol w:w="965"/>
        <w:gridCol w:w="1880"/>
      </w:tblGrid>
      <w:tr>
        <w:trPr/>
        <w:tc>
          <w:tcPr>
            <w:tcW w:w="965" w:type="dxa"/>
            <w:tcBorders/>
            <w:vAlign w:val="center"/>
          </w:tcPr>
          <w:p>
            <w:pPr>
              <w:pStyle w:val="TableContents"/>
              <w:bidi w:val="0"/>
              <w:spacing w:before="0" w:after="283"/>
              <w:jc w:val="left"/>
              <w:rPr>
                <w:b/>
              </w:rPr>
            </w:pPr>
            <w:r>
              <w:rPr>
                <w:b/>
              </w:rPr>
              <w:t>Item 5.02</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7, 2026, ManpowerGroup Inc. (the “Company”) appointed John B. Gibson, Jr. to its Board of Directors, with service to begin on September 1, 2026. The size of the Company’s Board of Directors will increase from ten to eleven directors in connection with the appointment of Mr. Gibson. Mr. Gibson will serve as a member of the People, Culture, and Compensation Committee. Mr. Gibson is the President and Chief Executive Officer of Paychex, Inc. </w:t>
      </w:r>
    </w:p>
    <w:p>
      <w:pPr>
        <w:pStyle w:val="TextBody"/>
        <w:bidi w:val="0"/>
        <w:spacing w:before="240" w:after="0"/>
        <w:jc w:val="left"/>
        <w:rPr>
          <w:rFonts w:ascii="Times New Roman" w:hAnsi="Times New Roman"/>
          <w:sz w:val="20"/>
        </w:rPr>
      </w:pPr>
      <w:r>
        <w:rPr>
          <w:rFonts w:ascii="Times New Roman" w:hAnsi="Times New Roman"/>
          <w:sz w:val="20"/>
        </w:rPr>
        <w:t xml:space="preserve">As a non-employee director of the Company, Mr. Gibson will participate in the same compensation arrangement as the other non-employee directors of the Company, as described in Exhibits 10.5(a) and 10.5(b) of the Company’s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Under this compensation arrangement, non-employee directors receive (1) an annual cash retainer equal to $120,000 (or, if elected by the director, deferred stock in lieu of all or a portion of the cash retainer), and (2) an annual grant of deferred stock with a grant date fair value of approximately $180,000 (or, if elected by the director, a grant of restricted stock). Mr. Gibson will receive a prorated retainer and annual grant in connection with his service in 2026. Mr. Gibson will also be entitled to receive reimbursement for travel expenses incurred in connection with attending Board of Directors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Gibson and any director or executive officer of the Company, and no arrangements or understandings between Mr. Gibson and any other person pursuant to which he was selected as a director. Since January 1, 2025, there have been no transactions, and there are no currently proposed transactions, to which the Company was or is a participant and in which Mr. Gibson had or is to have a direct or indirect material interest that would require disclosure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enter into an indemnification agreement with Mr. Gibson, which will be in substantially the same form as the indemnification agreements entered into by the Company with each of the Company’s other outside directors. A copy of the indemnification agreement is filed as Exhibit 99.1 to the Company’s Current Report on Form 8-K dated October 31, 2006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issued by the Company announcing the appointment of Mr. Gibson is attached hereto as Exhibit 99.1 and is incorporated herein by reference.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965"/>
        <w:gridCol w:w="785"/>
      </w:tblGrid>
      <w:tr>
        <w:trPr/>
        <w:tc>
          <w:tcPr>
            <w:tcW w:w="965" w:type="dxa"/>
            <w:tcBorders/>
            <w:vAlign w:val="center"/>
          </w:tcPr>
          <w:p>
            <w:pPr>
              <w:pStyle w:val="TableContents"/>
              <w:bidi w:val="0"/>
              <w:spacing w:before="0" w:after="283"/>
              <w:jc w:val="left"/>
              <w:rPr>
                <w:b/>
              </w:rPr>
            </w:pPr>
            <w:r>
              <w:rPr>
                <w:b/>
              </w:rPr>
              <w:t>Item 9.01</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29952dex991.htm">
              <w:r>
                <w:rPr>
                  <w:rStyle w:val="InternetLink"/>
                </w:rPr>
                <w:t xml:space="preserve">Press Release dated August 11,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73" w:type="dxa"/>
        <w:jc w:val="left"/>
        <w:tblInd w:w="0" w:type="dxa"/>
        <w:tblLayout w:type="fixed"/>
        <w:tblCellMar>
          <w:top w:w="0" w:type="dxa"/>
          <w:left w:w="0" w:type="dxa"/>
          <w:bottom w:w="0" w:type="dxa"/>
          <w:right w:w="0" w:type="dxa"/>
        </w:tblCellMar>
      </w:tblPr>
      <w:tblGrid>
        <w:gridCol w:w="2315"/>
        <w:gridCol w:w="60"/>
        <w:gridCol w:w="23"/>
        <w:gridCol w:w="60"/>
        <w:gridCol w:w="650"/>
        <w:gridCol w:w="60"/>
        <w:gridCol w:w="300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5" w:type="dxa"/>
            <w:gridSpan w:val="3"/>
            <w:tcBorders/>
            <w:vAlign w:val="center"/>
          </w:tcPr>
          <w:p>
            <w:pPr>
              <w:pStyle w:val="TableContents"/>
              <w:bidi w:val="0"/>
              <w:spacing w:before="0" w:after="283"/>
              <w:jc w:val="left"/>
              <w:rPr/>
            </w:pPr>
            <w:r>
              <w:rPr/>
              <w:t>MANPOWERGROUP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06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S. Nettles</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Michelle S. Nettles</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Chief People and Legal Officer</w:t>
            </w:r>
          </w:p>
        </w:tc>
      </w:tr>
    </w:tbl>
    <w:p>
      <w:pPr>
        <w:pStyle w:val="TextBody"/>
        <w:bidi w:val="0"/>
        <w:spacing w:before="0" w:after="0"/>
        <w:jc w:val="right"/>
        <w:rPr>
          <w:rFonts w:ascii="Times New Roman" w:hAnsi="Times New Roman"/>
          <w:b/>
          <w:sz w:val="20"/>
        </w:rPr>
      </w:pPr>
      <w:bookmarkStart w:id="2" w:name="d229952dex991.htm"/>
      <w:bookmarkStart w:id="3" w:name="ksd22995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2001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ManpowerGroup Elects John B. Gibson Jr. to Board of Directors </w:t>
      </w:r>
    </w:p>
    <w:p>
      <w:pPr>
        <w:pStyle w:val="TextBody"/>
        <w:bidi w:val="0"/>
        <w:spacing w:before="240" w:after="0"/>
        <w:jc w:val="left"/>
        <w:rPr>
          <w:rFonts w:ascii="Times New Roman" w:hAnsi="Times New Roman"/>
          <w:sz w:val="20"/>
        </w:rPr>
      </w:pPr>
      <w:r>
        <w:rPr>
          <w:rFonts w:ascii="Times New Roman" w:hAnsi="Times New Roman"/>
          <w:b/>
          <w:sz w:val="20"/>
        </w:rPr>
        <w:t>MILWAUKEE August</w:t>
      </w:r>
      <w:r>
        <w:rPr>
          <w:rFonts w:ascii="Times New Roman" w:hAnsi="Times New Roman"/>
          <w:sz w:val="20"/>
        </w:rPr>
        <w:t> </w:t>
      </w:r>
      <w:r>
        <w:rPr>
          <w:rFonts w:ascii="Times New Roman" w:hAnsi="Times New Roman"/>
          <w:b/>
          <w:sz w:val="20"/>
        </w:rPr>
        <w:t xml:space="preserve">11, 2026 </w:t>
      </w:r>
      <w:r>
        <w:rPr>
          <w:rFonts w:ascii="Times New Roman" w:hAnsi="Times New Roman"/>
          <w:sz w:val="20"/>
        </w:rPr>
        <w:t xml:space="preserve">– ManpowerGroup (NYSE: MAN) today announced the appointment of Paychex (Nasdaq: PAYX) President and Chief Executive Officer John B. Gibson, Jr. to its Board of Directors, effective September 1, 2026.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2000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95450" cy="2000250"/>
                    </a:xfrm>
                    <a:prstGeom prst="rect">
                      <a:avLst/>
                    </a:prstGeom>
                  </pic:spPr>
                </pic:pic>
              </a:graphicData>
            </a:graphic>
          </wp:inline>
        </w:drawing>
      </w:r>
      <w:r>
        <w:rPr/>
        <w:t xml:space="preserve"> </w:t>
      </w:r>
    </w:p>
    <w:p>
      <w:pPr>
        <w:pStyle w:val="TextBody"/>
        <w:bidi w:val="0"/>
        <w:spacing w:before="240" w:after="0"/>
        <w:jc w:val="left"/>
        <w:rPr/>
      </w:pPr>
      <w:r>
        <w:rPr/>
        <w:t>“</w:t>
      </w:r>
      <w:r>
        <w:rPr>
          <w:rFonts w:ascii="Times New Roman" w:hAnsi="Times New Roman"/>
          <w:sz w:val="20"/>
        </w:rPr>
        <w:t xml:space="preserve">John is an accomplished leader with deep experience across human capital management, technology-enabled services and business transformation,” said Jonas Prising, ManpowerGroup Chair &amp; CEO. “We are pleased to welcome him to our Board. His strategic perspective, operational expertise and track record of leading through change will strengthen our ability to evolve the business and advance our transformation strategy.” </w:t>
      </w:r>
    </w:p>
    <w:p>
      <w:pPr>
        <w:pStyle w:val="TextBody"/>
        <w:bidi w:val="0"/>
        <w:spacing w:before="240" w:after="0"/>
        <w:jc w:val="left"/>
        <w:rPr>
          <w:rFonts w:ascii="Times New Roman" w:hAnsi="Times New Roman"/>
          <w:sz w:val="20"/>
        </w:rPr>
      </w:pPr>
      <w:r>
        <w:rPr>
          <w:rFonts w:ascii="Times New Roman" w:hAnsi="Times New Roman"/>
          <w:sz w:val="20"/>
        </w:rPr>
        <w:t xml:space="preserve">Gibson has served as President and Chief Executive office of Paychex since October 2022, leading the company’s strategy of combining innovative technology with advisory solutions for HR, payroll, and benefits to help businesses grow and succeed. In April 2025, Gibson led Paychex’s acquisition of Paycor, the largest in the company’s history, expanding its human capital management platforms to address the workforce needs of businesses of all sizes. </w:t>
      </w:r>
    </w:p>
    <w:p>
      <w:pPr>
        <w:pStyle w:val="TextBody"/>
        <w:bidi w:val="0"/>
        <w:spacing w:before="240" w:after="0"/>
        <w:jc w:val="left"/>
        <w:rPr>
          <w:rFonts w:ascii="Times New Roman" w:hAnsi="Times New Roman"/>
          <w:sz w:val="20"/>
        </w:rPr>
      </w:pPr>
      <w:r>
        <w:rPr>
          <w:rFonts w:ascii="Times New Roman" w:hAnsi="Times New Roman"/>
          <w:sz w:val="20"/>
        </w:rPr>
        <w:t xml:space="preserve">Previously, from 2020 to 2022, Gibson was Paychex’s President and Chief Operating Officer, overseeing operations, sales, service, marketing and product management. He joined Paychex in 2013 as Senior Vice President of Service. Prior to Paychex, he held senior leadership in the human capital management and technology sectors, including at Ameritech (now AT&amp;T) and Convergys (now Concentrix), where he served as President of the HR management division providing global HR solutions to clients across 68 countries. </w:t>
      </w:r>
    </w:p>
    <w:p>
      <w:pPr>
        <w:pStyle w:val="TextBody"/>
        <w:bidi w:val="0"/>
        <w:spacing w:before="240" w:after="0"/>
        <w:jc w:val="left"/>
        <w:rPr>
          <w:rFonts w:ascii="Times New Roman" w:hAnsi="Times New Roman"/>
          <w:sz w:val="20"/>
        </w:rPr>
      </w:pPr>
      <w:r>
        <w:rPr>
          <w:rFonts w:ascii="Times New Roman" w:hAnsi="Times New Roman"/>
          <w:sz w:val="20"/>
        </w:rPr>
        <w:t xml:space="preserve">Gibson currently serves on the New York Fed’s Second District Advisory Council. He holds a Bachelor of Arts degree from Indiana University and has completed executive education programs at Northwestern University’s Kellogg School of Management and INSEAD’s international business program.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ABOUT MANPOWERGROUP </w:t>
      </w:r>
    </w:p>
    <w:p>
      <w:pPr>
        <w:pStyle w:val="TextBody"/>
        <w:bidi w:val="0"/>
        <w:spacing w:before="120" w:after="0"/>
        <w:jc w:val="left"/>
        <w:rPr>
          <w:rFonts w:ascii="Times New Roman" w:hAnsi="Times New Roman"/>
          <w:sz w:val="20"/>
        </w:rPr>
      </w:pPr>
      <w:r>
        <w:rPr>
          <w:rFonts w:ascii="Times New Roman" w:hAnsi="Times New Roman"/>
          <w:sz w:val="20"/>
          <w:u w:val="single"/>
        </w:rPr>
        <w:t>ManpowerGroup</w:t>
      </w:r>
      <w:r>
        <w:rPr>
          <w:rFonts w:ascii="Times New Roman" w:hAnsi="Times New Roman"/>
          <w:sz w:val="20"/>
        </w:rPr>
        <w:t>®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w:t>
      </w:r>
      <w:r>
        <w:rPr>
          <w:rFonts w:ascii="Times New Roman" w:hAnsi="Times New Roman"/>
          <w:sz w:val="20"/>
          <w:u w:val="single"/>
        </w:rPr>
        <w:t>Manpower</w:t>
      </w:r>
      <w:r>
        <w:rPr>
          <w:rFonts w:ascii="Times New Roman" w:hAnsi="Times New Roman"/>
          <w:sz w:val="20"/>
        </w:rPr>
        <w:t>, </w:t>
      </w:r>
      <w:r>
        <w:rPr>
          <w:rFonts w:ascii="Times New Roman" w:hAnsi="Times New Roman"/>
          <w:sz w:val="20"/>
          <w:u w:val="single"/>
        </w:rPr>
        <w:t>Experis</w:t>
      </w:r>
      <w:r>
        <w:rPr>
          <w:rFonts w:ascii="Times New Roman" w:hAnsi="Times New Roman"/>
          <w:sz w:val="20"/>
        </w:rPr>
        <w:t>, and </w:t>
      </w:r>
      <w:r>
        <w:rPr>
          <w:rFonts w:ascii="Times New Roman" w:hAnsi="Times New Roman"/>
          <w:sz w:val="20"/>
          <w:u w:val="single"/>
        </w:rPr>
        <w:t>Talent Solutions</w:t>
      </w:r>
      <w:r>
        <w:rPr>
          <w:rFonts w:ascii="Times New Roman" w:hAnsi="Times New Roman"/>
          <w:sz w:val="20"/>
        </w:rPr>
        <w:t xml:space="preserve"> – creates substantially more value for candidates and clients across more than 70 countries and territories and has done so for more than 75 years. We are recognized consistently as a best place to work for Women, Inclusion, Equality, and Disability, and in 2026 ManpowerGroup was named one of the World’s Most Ethical Companies for the 17th time; all confirming our position as the brand of choice for in-demand talent. </w:t>
      </w:r>
    </w:p>
    <w:p>
      <w:pPr>
        <w:pStyle w:val="TextBody"/>
        <w:bidi w:val="0"/>
        <w:spacing w:before="240" w:after="0"/>
        <w:jc w:val="left"/>
        <w:rPr>
          <w:rFonts w:ascii="Times New Roman" w:hAnsi="Times New Roman"/>
          <w:sz w:val="20"/>
        </w:rPr>
      </w:pPr>
      <w:r>
        <w:rPr>
          <w:rFonts w:ascii="Times New Roman" w:hAnsi="Times New Roman"/>
          <w:sz w:val="20"/>
        </w:rPr>
        <w:t>For more information, visit </w:t>
      </w:r>
      <w:r>
        <w:rPr>
          <w:rFonts w:ascii="Times New Roman" w:hAnsi="Times New Roman"/>
          <w:sz w:val="20"/>
          <w:u w:val="single"/>
        </w:rPr>
        <w:t>www.manpowergroup.com</w:t>
      </w:r>
      <w:r>
        <w:rPr>
          <w:rFonts w:ascii="Times New Roman" w:hAnsi="Times New Roman"/>
          <w:sz w:val="20"/>
        </w:rPr>
        <w:t>, or follow us on </w:t>
      </w:r>
      <w:r>
        <w:rPr>
          <w:rFonts w:ascii="Times New Roman" w:hAnsi="Times New Roman"/>
          <w:sz w:val="20"/>
          <w:u w:val="single"/>
        </w:rPr>
        <w:t>LinkedIn</w:t>
      </w:r>
      <w:r>
        <w:rPr>
          <w:rFonts w:ascii="Times New Roman" w:hAnsi="Times New Roman"/>
          <w:sz w:val="20"/>
        </w:rPr>
        <w:t> &amp; </w:t>
      </w:r>
      <w:r>
        <w:rPr>
          <w:rFonts w:ascii="Times New Roman" w:hAnsi="Times New Roman"/>
          <w:sz w:val="20"/>
          <w:u w:val="single"/>
        </w:rPr>
        <w:t>Facebook</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1227</Words>
  <Characters>6768</Characters>
  <CharactersWithSpaces>8004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