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156845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188595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Securities Exchange Act of 1934</w:t>
      </w:r>
    </w:p>
    <w:p>
      <w:pPr>
        <w:jc w:val="center"/>
        <w:ind w:right="-239"/>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180340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97"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7"/>
          <w:szCs w:val="17"/>
          <w:color w:val="auto"/>
        </w:rPr>
        <w:t>Check the appropriate box:</w:t>
      </w:r>
    </w:p>
    <w:p>
      <w:pPr>
        <w:spacing w:after="0" w:line="219"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9" w:lineRule="exact"/>
        <w:rPr>
          <w:rFonts w:ascii="MS PGothic" w:cs="MS PGothic" w:eastAsia="MS PGothic" w:hAnsi="MS PGothic"/>
          <w:sz w:val="17"/>
          <w:szCs w:val="17"/>
          <w:color w:val="auto"/>
        </w:rPr>
      </w:pPr>
    </w:p>
    <w:p>
      <w:pPr>
        <w:ind w:left="560" w:hanging="553"/>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31"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5"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5" w:lineRule="exact"/>
        <w:rPr>
          <w:rFonts w:ascii="MS PGothic" w:cs="MS PGothic" w:eastAsia="MS PGothic" w:hAnsi="MS PGothic"/>
          <w:sz w:val="17"/>
          <w:szCs w:val="17"/>
          <w:color w:val="auto"/>
        </w:rPr>
      </w:pPr>
    </w:p>
    <w:p>
      <w:pPr>
        <w:ind w:left="560" w:hanging="553"/>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MANPOWERGROUP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23"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9" w:lineRule="exact"/>
        <w:rPr>
          <w:sz w:val="24"/>
          <w:szCs w:val="24"/>
          <w:color w:val="auto"/>
        </w:rPr>
      </w:pPr>
    </w:p>
    <w:p>
      <w:pPr>
        <w:ind w:left="440" w:hanging="433"/>
        <w:spacing w:after="0"/>
        <w:tabs>
          <w:tab w:leader="none" w:pos="4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9" w:lineRule="exact"/>
        <w:rPr>
          <w:sz w:val="24"/>
          <w:szCs w:val="24"/>
          <w:color w:val="auto"/>
        </w:rPr>
      </w:pPr>
    </w:p>
    <w:p>
      <w:pPr>
        <w:ind w:left="440" w:hanging="433"/>
        <w:spacing w:after="0"/>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19" w:lineRule="exact"/>
        <w:rPr>
          <w:rFonts w:ascii="MS PGothic" w:cs="MS PGothic" w:eastAsia="MS PGothic" w:hAnsi="MS PGothic"/>
          <w:sz w:val="17"/>
          <w:szCs w:val="17"/>
          <w:color w:val="auto"/>
        </w:rPr>
      </w:pPr>
    </w:p>
    <w:p>
      <w:pPr>
        <w:ind w:left="980" w:hanging="545"/>
        <w:spacing w:after="0"/>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the transaction applies: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980" w:hanging="545"/>
        <w:spacing w:after="0"/>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980" w:hanging="545"/>
        <w:spacing w:after="0" w:line="293" w:lineRule="auto"/>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the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624840</wp:posOffset>
            </wp:positionH>
            <wp:positionV relativeFrom="paragraph">
              <wp:posOffset>-840740</wp:posOffset>
            </wp:positionV>
            <wp:extent cx="6309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339090</wp:posOffset>
            </wp:positionV>
            <wp:extent cx="6309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ectPr>
          <w:pgSz w:w="11900" w:h="16838" w:orient="portrait"/>
          <w:cols w:equalWidth="0" w:num="1">
            <w:col w:w="10700"/>
          </w:cols>
          <w:pgMar w:left="480" w:top="419" w:right="719" w:bottom="1440" w:gutter="0" w:footer="0" w:header="0"/>
        </w:sectPr>
      </w:pPr>
    </w:p>
    <w:bookmarkStart w:id="1" w:name="page2"/>
    <w:bookmarkEnd w:id="1"/>
    <w:p>
      <w:pPr>
        <w:ind w:left="973" w:hanging="545"/>
        <w:spacing w:after="0"/>
        <w:tabs>
          <w:tab w:leader="none" w:pos="973" w:val="left"/>
        </w:tabs>
        <w:numPr>
          <w:ilvl w:val="1"/>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the transaction: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973" w:hanging="545"/>
        <w:spacing w:after="0"/>
        <w:tabs>
          <w:tab w:leader="none" w:pos="973" w:val="left"/>
        </w:tabs>
        <w:numPr>
          <w:ilvl w:val="1"/>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433" w:hanging="433"/>
        <w:spacing w:after="0"/>
        <w:tabs>
          <w:tab w:leader="none" w:pos="43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9" w:lineRule="exact"/>
        <w:rPr>
          <w:rFonts w:ascii="MS PGothic" w:cs="MS PGothic" w:eastAsia="MS PGothic" w:hAnsi="MS PGothic"/>
          <w:sz w:val="17"/>
          <w:szCs w:val="17"/>
          <w:color w:val="auto"/>
        </w:rPr>
      </w:pPr>
    </w:p>
    <w:p>
      <w:pPr>
        <w:ind w:left="433" w:hanging="433"/>
        <w:spacing w:after="0" w:line="293" w:lineRule="auto"/>
        <w:tabs>
          <w:tab w:leader="none" w:pos="43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51" w:lineRule="exact"/>
        <w:rPr>
          <w:rFonts w:ascii="MS PGothic" w:cs="MS PGothic" w:eastAsia="MS PGothic" w:hAnsi="MS PGothic"/>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-3022600</wp:posOffset>
            </wp:positionV>
            <wp:extent cx="6309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-1188085</wp:posOffset>
            </wp:positionV>
            <wp:extent cx="6309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-661670</wp:posOffset>
            </wp:positionV>
            <wp:extent cx="6309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382270</wp:posOffset>
            </wp:positionV>
            <wp:extent cx="6309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535305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560705</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893"/>
          </w:cols>
          <w:pgMar w:left="487" w:top="131" w:right="5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9265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42"/>
          <w:szCs w:val="42"/>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692975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p>
      <w:pPr>
        <w:spacing w:after="0" w:line="385" w:lineRule="exact"/>
        <w:rPr>
          <w:sz w:val="20"/>
          <w:szCs w:val="20"/>
          <w:color w:val="auto"/>
        </w:rPr>
      </w:pPr>
    </w:p>
    <w:p>
      <w:pPr>
        <w:ind w:right="320"/>
        <w:spacing w:after="0" w:line="281" w:lineRule="auto"/>
        <w:rPr>
          <w:sz w:val="20"/>
          <w:szCs w:val="20"/>
          <w:color w:val="auto"/>
        </w:rPr>
      </w:pPr>
      <w:r>
        <w:rPr>
          <w:rFonts w:ascii="Arial" w:cs="Arial" w:eastAsia="Arial" w:hAnsi="Arial"/>
          <w:sz w:val="25"/>
          <w:szCs w:val="25"/>
          <w:b w:val="1"/>
          <w:bCs w:val="1"/>
          <w:color w:val="5D89B4"/>
        </w:rPr>
        <w:t>We Believe Meaningful and Sustainable Employment Has the Power to Change the World</w:t>
      </w:r>
    </w:p>
    <w:p>
      <w:pPr>
        <w:spacing w:after="0" w:line="7" w:lineRule="exact"/>
        <w:rPr>
          <w:sz w:val="20"/>
          <w:szCs w:val="20"/>
          <w:color w:val="auto"/>
        </w:rPr>
      </w:pPr>
    </w:p>
    <w:p>
      <w:pPr>
        <w:ind w:right="140"/>
        <w:spacing w:after="0" w:line="228" w:lineRule="auto"/>
        <w:rPr>
          <w:sz w:val="20"/>
          <w:szCs w:val="20"/>
          <w:color w:val="auto"/>
        </w:rPr>
      </w:pPr>
      <w:r>
        <w:rPr>
          <w:rFonts w:ascii="Arial" w:cs="Arial" w:eastAsia="Arial" w:hAnsi="Arial"/>
          <w:sz w:val="15"/>
          <w:szCs w:val="15"/>
          <w:color w:val="auto"/>
        </w:rPr>
        <w:t>At ManpowerGroup every year we help millions of individuals and hundreds of thousands of clients to succeed in the world of work and to benefit from our innovative workforce solutions. This extraordinary year is no different. We’ve continued to find work for people including those displaced who needed new opportunities most; to find the skills our clients needed; to help people develop in-demand skills that will ensure their short and long-term employability; and to make workplaces more equitable and inclusive—even as those workplaces changed before our eyes.</w:t>
      </w:r>
    </w:p>
    <w:p>
      <w:pPr>
        <w:spacing w:after="0" w:line="194" w:lineRule="exact"/>
        <w:rPr>
          <w:sz w:val="20"/>
          <w:szCs w:val="20"/>
          <w:color w:val="auto"/>
        </w:rPr>
      </w:pPr>
    </w:p>
    <w:p>
      <w:pPr>
        <w:ind w:right="240"/>
        <w:spacing w:after="0" w:line="230" w:lineRule="auto"/>
        <w:rPr>
          <w:sz w:val="20"/>
          <w:szCs w:val="20"/>
          <w:color w:val="auto"/>
        </w:rPr>
      </w:pPr>
      <w:r>
        <w:rPr>
          <w:rFonts w:ascii="Arial" w:cs="Arial" w:eastAsia="Arial" w:hAnsi="Arial"/>
          <w:sz w:val="15"/>
          <w:szCs w:val="15"/>
          <w:color w:val="auto"/>
        </w:rPr>
        <w:t>We take seriously our responsibility and our commitment to reach, assess, train and upskill people of all backgrounds because we believe that work, education, skills and aspiration are critical parts of community cohesion, societal prosperity and inclusive growth. We are proud of what our people have accomplished over the past year and of the recognitions we have received for our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4704715" cy="619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04715" cy="619760"/>
                    </a:xfrm>
                    <a:prstGeom prst="rect">
                      <a:avLst/>
                    </a:prstGeom>
                    <a:noFill/>
                  </pic:spPr>
                </pic:pic>
              </a:graphicData>
            </a:graphic>
          </wp:anchor>
        </w:drawing>
      </w:r>
    </w:p>
    <w:p>
      <w:pPr>
        <w:spacing w:after="0" w:line="302" w:lineRule="exact"/>
        <w:rPr>
          <w:sz w:val="20"/>
          <w:szCs w:val="20"/>
          <w:color w:val="auto"/>
        </w:rPr>
      </w:pPr>
    </w:p>
    <w:p>
      <w:pPr>
        <w:ind w:left="340" w:right="480"/>
        <w:spacing w:after="0" w:line="249" w:lineRule="auto"/>
        <w:rPr>
          <w:sz w:val="20"/>
          <w:szCs w:val="20"/>
          <w:color w:val="auto"/>
        </w:rPr>
      </w:pPr>
      <w:r>
        <w:rPr>
          <w:rFonts w:ascii="Arial" w:cs="Arial" w:eastAsia="Arial" w:hAnsi="Arial"/>
          <w:sz w:val="18"/>
          <w:szCs w:val="18"/>
          <w:b w:val="1"/>
          <w:bCs w:val="1"/>
          <w:color w:val="7DA0C3"/>
        </w:rPr>
        <w:t xml:space="preserve">Awards and Recognitions </w:t>
      </w:r>
      <w:r>
        <w:rPr>
          <w:rFonts w:ascii="Arial" w:cs="Arial" w:eastAsia="Arial" w:hAnsi="Arial"/>
          <w:sz w:val="18"/>
          <w:szCs w:val="18"/>
          <w:color w:val="333333"/>
        </w:rPr>
        <w:t>- As an industry leader, we set high standards for</w:t>
      </w:r>
      <w:r>
        <w:rPr>
          <w:rFonts w:ascii="Arial" w:cs="Arial" w:eastAsia="Arial" w:hAnsi="Arial"/>
          <w:sz w:val="18"/>
          <w:szCs w:val="18"/>
          <w:b w:val="1"/>
          <w:bCs w:val="1"/>
          <w:color w:val="7DA0C3"/>
        </w:rPr>
        <w:t xml:space="preserve"> </w:t>
      </w:r>
      <w:r>
        <w:rPr>
          <w:rFonts w:ascii="Arial" w:cs="Arial" w:eastAsia="Arial" w:hAnsi="Arial"/>
          <w:sz w:val="18"/>
          <w:szCs w:val="18"/>
          <w:color w:val="333333"/>
        </w:rPr>
        <w:t>ourselves and others. We are consistently recognized for delivering our solutions with the highest degree of ethical and responsible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149225</wp:posOffset>
            </wp:positionV>
            <wp:extent cx="4347845" cy="1401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40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2020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-173355</wp:posOffset>
            </wp:positionV>
            <wp:extent cx="2012950" cy="237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12950" cy="2374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216535</wp:posOffset>
            </wp:positionV>
            <wp:extent cx="246380" cy="551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380"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color w:val="5D89B4"/>
        </w:rPr>
        <w:t>Connected</w:t>
      </w:r>
    </w:p>
    <w:p>
      <w:pPr>
        <w:spacing w:after="0" w:line="26" w:lineRule="exact"/>
        <w:rPr>
          <w:sz w:val="20"/>
          <w:szCs w:val="20"/>
          <w:color w:val="auto"/>
        </w:rPr>
      </w:pPr>
    </w:p>
    <w:p>
      <w:pPr>
        <w:jc w:val="center"/>
        <w:ind w:right="500"/>
        <w:spacing w:after="0"/>
        <w:rPr>
          <w:sz w:val="20"/>
          <w:szCs w:val="20"/>
          <w:color w:val="auto"/>
        </w:rPr>
      </w:pPr>
      <w:r>
        <w:rPr>
          <w:rFonts w:ascii="Arial" w:cs="Arial" w:eastAsia="Arial" w:hAnsi="Arial"/>
          <w:sz w:val="43"/>
          <w:szCs w:val="43"/>
          <w:b w:val="1"/>
          <w:bCs w:val="1"/>
          <w:color w:val="5D89B4"/>
        </w:rPr>
        <w:t>2 million</w:t>
      </w:r>
    </w:p>
    <w:p>
      <w:pPr>
        <w:ind w:left="420"/>
        <w:spacing w:after="0"/>
        <w:rPr>
          <w:sz w:val="20"/>
          <w:szCs w:val="20"/>
          <w:color w:val="auto"/>
        </w:rPr>
      </w:pPr>
      <w:r>
        <w:rPr>
          <w:rFonts w:ascii="Arial" w:cs="Arial" w:eastAsia="Arial" w:hAnsi="Arial"/>
          <w:sz w:val="21"/>
          <w:szCs w:val="21"/>
          <w:color w:val="5D89B4"/>
        </w:rPr>
        <w:t>people to jobs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266700</wp:posOffset>
            </wp:positionV>
            <wp:extent cx="170688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6880" cy="336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563880</wp:posOffset>
            </wp:positionV>
            <wp:extent cx="433070" cy="331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3070" cy="331470"/>
                    </a:xfrm>
                    <a:prstGeom prst="rect">
                      <a:avLst/>
                    </a:prstGeom>
                    <a:noFill/>
                  </pic:spPr>
                </pic:pic>
              </a:graphicData>
            </a:graphic>
          </wp:anchor>
        </w:drawing>
      </w:r>
    </w:p>
    <w:p>
      <w:pPr>
        <w:spacing w:after="0" w:line="1121" w:lineRule="exact"/>
        <w:rPr>
          <w:sz w:val="20"/>
          <w:szCs w:val="20"/>
          <w:color w:val="auto"/>
        </w:rPr>
      </w:pPr>
    </w:p>
    <w:p>
      <w:pPr>
        <w:sectPr>
          <w:pgSz w:w="11900" w:h="16838" w:orient="portrait"/>
          <w:cols w:equalWidth="0" w:num="2">
            <w:col w:w="7540" w:space="720"/>
            <w:col w:w="2660"/>
          </w:cols>
          <w:pgMar w:left="480" w:top="233" w:right="499" w:bottom="1440" w:gutter="0" w:footer="0" w:header="0"/>
          <w:type w:val="continuous"/>
        </w:sectPr>
      </w:pPr>
    </w:p>
    <w:p>
      <w:pPr>
        <w:spacing w:after="0" w:line="262" w:lineRule="exact"/>
        <w:rPr>
          <w:sz w:val="20"/>
          <w:szCs w:val="20"/>
          <w:color w:val="auto"/>
        </w:rPr>
      </w:pPr>
    </w:p>
    <w:p>
      <w:pPr>
        <w:jc w:val="center"/>
        <w:ind w:left="7740"/>
        <w:spacing w:after="0"/>
        <w:rPr>
          <w:sz w:val="20"/>
          <w:szCs w:val="20"/>
          <w:color w:val="auto"/>
        </w:rPr>
      </w:pPr>
      <w:r>
        <w:rPr>
          <w:rFonts w:ascii="Arial" w:cs="Arial" w:eastAsia="Arial" w:hAnsi="Arial"/>
          <w:sz w:val="43"/>
          <w:szCs w:val="43"/>
          <w:b w:val="1"/>
          <w:bCs w:val="1"/>
          <w:color w:val="5D89B4"/>
        </w:rPr>
        <w:t>1.3 million</w:t>
      </w:r>
    </w:p>
    <w:p>
      <w:pPr>
        <w:spacing w:after="0" w:line="47" w:lineRule="exact"/>
        <w:rPr>
          <w:sz w:val="20"/>
          <w:szCs w:val="20"/>
          <w:color w:val="auto"/>
        </w:rPr>
      </w:pPr>
    </w:p>
    <w:p>
      <w:pPr>
        <w:ind w:left="8460"/>
        <w:spacing w:after="0"/>
        <w:rPr>
          <w:sz w:val="20"/>
          <w:szCs w:val="20"/>
          <w:color w:val="auto"/>
        </w:rPr>
      </w:pPr>
      <w:r>
        <w:rPr>
          <w:rFonts w:ascii="Arial" w:cs="Arial" w:eastAsia="Arial" w:hAnsi="Arial"/>
          <w:sz w:val="21"/>
          <w:szCs w:val="21"/>
          <w:b w:val="1"/>
          <w:bCs w:val="1"/>
          <w:color w:val="5D89B4"/>
        </w:rPr>
        <w:t>courses taken by</w:t>
      </w:r>
    </w:p>
    <w:p>
      <w:pPr>
        <w:jc w:val="center"/>
        <w:ind w:left="7740"/>
        <w:spacing w:after="0"/>
        <w:rPr>
          <w:sz w:val="20"/>
          <w:szCs w:val="20"/>
          <w:color w:val="auto"/>
        </w:rPr>
      </w:pPr>
      <w:r>
        <w:rPr>
          <w:rFonts w:ascii="Arial" w:cs="Arial" w:eastAsia="Arial" w:hAnsi="Arial"/>
          <w:sz w:val="43"/>
          <w:szCs w:val="43"/>
          <w:b w:val="1"/>
          <w:bCs w:val="1"/>
          <w:color w:val="5D89B4"/>
        </w:rPr>
        <w:t>105,000+</w:t>
      </w:r>
    </w:p>
    <w:p>
      <w:pPr>
        <w:jc w:val="center"/>
        <w:ind w:left="7740"/>
        <w:spacing w:after="0"/>
        <w:rPr>
          <w:sz w:val="20"/>
          <w:szCs w:val="20"/>
          <w:color w:val="auto"/>
        </w:rPr>
      </w:pPr>
      <w:r>
        <w:rPr>
          <w:rFonts w:ascii="Arial" w:cs="Arial" w:eastAsia="Arial" w:hAnsi="Arial"/>
          <w:sz w:val="21"/>
          <w:szCs w:val="21"/>
          <w:color w:val="5D89B4"/>
        </w:rPr>
        <w:t>associates and employees on</w:t>
      </w:r>
    </w:p>
    <w:p>
      <w:pPr>
        <w:jc w:val="center"/>
        <w:ind w:left="7740"/>
        <w:spacing w:after="0"/>
        <w:rPr>
          <w:sz w:val="20"/>
          <w:szCs w:val="20"/>
          <w:color w:val="auto"/>
        </w:rPr>
      </w:pPr>
      <w:r>
        <w:rPr>
          <w:rFonts w:ascii="Arial" w:cs="Arial" w:eastAsia="Arial" w:hAnsi="Arial"/>
          <w:sz w:val="21"/>
          <w:szCs w:val="21"/>
          <w:color w:val="5D89B4"/>
        </w:rPr>
        <w:t>PowerYOU</w:t>
      </w:r>
    </w:p>
    <w:p>
      <w:pPr>
        <w:spacing w:after="0" w:line="200" w:lineRule="exact"/>
        <w:rPr>
          <w:sz w:val="20"/>
          <w:szCs w:val="20"/>
          <w:color w:val="auto"/>
        </w:rPr>
      </w:pPr>
    </w:p>
    <w:p>
      <w:pPr>
        <w:spacing w:after="0" w:line="212" w:lineRule="exact"/>
        <w:rPr>
          <w:sz w:val="20"/>
          <w:szCs w:val="20"/>
          <w:color w:val="auto"/>
        </w:rPr>
      </w:pPr>
    </w:p>
    <w:p>
      <w:pPr>
        <w:ind w:right="4100"/>
        <w:spacing w:after="0" w:line="260" w:lineRule="auto"/>
        <w:rPr>
          <w:sz w:val="20"/>
          <w:szCs w:val="20"/>
          <w:color w:val="auto"/>
        </w:rPr>
      </w:pPr>
      <w:r>
        <w:rPr>
          <w:rFonts w:ascii="Arial" w:cs="Arial" w:eastAsia="Arial" w:hAnsi="Arial"/>
          <w:sz w:val="15"/>
          <w:szCs w:val="15"/>
          <w:color w:val="auto"/>
        </w:rPr>
        <w:t xml:space="preserve">Learn more from our </w:t>
      </w:r>
      <w:r>
        <w:rPr>
          <w:rFonts w:ascii="Arial" w:cs="Arial" w:eastAsia="Arial" w:hAnsi="Arial"/>
          <w:sz w:val="15"/>
          <w:szCs w:val="15"/>
          <w:b w:val="1"/>
          <w:bCs w:val="1"/>
          <w:color w:val="5D89B4"/>
        </w:rPr>
        <w:t>Social Impact Report 2020</w:t>
      </w:r>
      <w:r>
        <w:rPr>
          <w:rFonts w:ascii="Arial" w:cs="Arial" w:eastAsia="Arial" w:hAnsi="Arial"/>
          <w:sz w:val="15"/>
          <w:szCs w:val="15"/>
          <w:color w:val="auto"/>
        </w:rPr>
        <w:t xml:space="preserve"> and see how we are supporting the </w:t>
      </w:r>
      <w:r>
        <w:rPr>
          <w:rFonts w:ascii="Arial" w:cs="Arial" w:eastAsia="Arial" w:hAnsi="Arial"/>
          <w:sz w:val="15"/>
          <w:szCs w:val="15"/>
          <w:b w:val="1"/>
          <w:bCs w:val="1"/>
          <w:color w:val="5D89B4"/>
        </w:rPr>
        <w:t>United Nations</w:t>
      </w:r>
      <w:r>
        <w:rPr>
          <w:rFonts w:ascii="Arial" w:cs="Arial" w:eastAsia="Arial" w:hAnsi="Arial"/>
          <w:sz w:val="15"/>
          <w:szCs w:val="15"/>
          <w:color w:val="auto"/>
        </w:rPr>
        <w:t xml:space="preserve"> </w:t>
      </w:r>
      <w:r>
        <w:rPr>
          <w:rFonts w:ascii="Arial" w:cs="Arial" w:eastAsia="Arial" w:hAnsi="Arial"/>
          <w:sz w:val="15"/>
          <w:szCs w:val="15"/>
          <w:b w:val="1"/>
          <w:bCs w:val="1"/>
          <w:color w:val="5D89B4"/>
        </w:rPr>
        <w:t xml:space="preserve">Sustainable Development Goals </w:t>
      </w:r>
      <w:r>
        <w:rPr>
          <w:rFonts w:ascii="Arial" w:cs="Arial" w:eastAsia="Arial" w:hAnsi="Arial"/>
          <w:sz w:val="15"/>
          <w:szCs w:val="15"/>
          <w:color w:val="000000"/>
        </w:rPr>
        <w:t>in the areas we can impact the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-231775</wp:posOffset>
            </wp:positionV>
            <wp:extent cx="6386195" cy="2428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6195"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7740"/>
        <w:spacing w:after="0"/>
        <w:rPr>
          <w:sz w:val="20"/>
          <w:szCs w:val="20"/>
          <w:color w:val="auto"/>
        </w:rPr>
      </w:pPr>
      <w:r>
        <w:rPr>
          <w:rFonts w:ascii="Arial" w:cs="Arial" w:eastAsia="Arial" w:hAnsi="Arial"/>
          <w:sz w:val="43"/>
          <w:szCs w:val="43"/>
          <w:b w:val="1"/>
          <w:bCs w:val="1"/>
          <w:color w:val="5D89B4"/>
        </w:rPr>
        <w:t>60,000</w:t>
      </w:r>
    </w:p>
    <w:p>
      <w:pPr>
        <w:spacing w:after="0" w:line="47" w:lineRule="exact"/>
        <w:rPr>
          <w:sz w:val="20"/>
          <w:szCs w:val="20"/>
          <w:color w:val="auto"/>
        </w:rPr>
      </w:pPr>
    </w:p>
    <w:p>
      <w:pPr>
        <w:jc w:val="center"/>
        <w:ind w:left="7740"/>
        <w:spacing w:after="0"/>
        <w:rPr>
          <w:sz w:val="20"/>
          <w:szCs w:val="20"/>
          <w:color w:val="auto"/>
        </w:rPr>
      </w:pPr>
      <w:r>
        <w:rPr>
          <w:rFonts w:ascii="Arial" w:cs="Arial" w:eastAsia="Arial" w:hAnsi="Arial"/>
          <w:sz w:val="21"/>
          <w:szCs w:val="21"/>
          <w:b w:val="1"/>
          <w:bCs w:val="1"/>
          <w:color w:val="5D89B4"/>
        </w:rPr>
        <w:t xml:space="preserve">People </w:t>
      </w:r>
      <w:r>
        <w:rPr>
          <w:rFonts w:ascii="Arial" w:cs="Arial" w:eastAsia="Arial" w:hAnsi="Arial"/>
          <w:sz w:val="21"/>
          <w:szCs w:val="21"/>
          <w:color w:val="5D89B4"/>
        </w:rPr>
        <w:t>per month across</w:t>
      </w:r>
    </w:p>
    <w:p>
      <w:pPr>
        <w:jc w:val="center"/>
        <w:ind w:left="7740"/>
        <w:spacing w:after="0"/>
        <w:rPr>
          <w:sz w:val="20"/>
          <w:szCs w:val="20"/>
          <w:color w:val="auto"/>
        </w:rPr>
      </w:pPr>
      <w:r>
        <w:rPr>
          <w:rFonts w:ascii="Arial" w:cs="Arial" w:eastAsia="Arial" w:hAnsi="Arial"/>
          <w:sz w:val="21"/>
          <w:szCs w:val="21"/>
          <w:color w:val="5D89B4"/>
        </w:rPr>
        <w:t>12 countries provided with career</w:t>
      </w:r>
    </w:p>
    <w:p>
      <w:pPr>
        <w:jc w:val="center"/>
        <w:ind w:left="7740"/>
        <w:spacing w:after="0"/>
        <w:rPr>
          <w:sz w:val="20"/>
          <w:szCs w:val="20"/>
          <w:color w:val="auto"/>
        </w:rPr>
      </w:pPr>
      <w:r>
        <w:rPr>
          <w:rFonts w:ascii="Arial" w:cs="Arial" w:eastAsia="Arial" w:hAnsi="Arial"/>
          <w:sz w:val="21"/>
          <w:szCs w:val="21"/>
          <w:color w:val="5D89B4"/>
        </w:rPr>
        <w:t>advancement and skills</w:t>
      </w:r>
    </w:p>
    <w:p>
      <w:pPr>
        <w:jc w:val="center"/>
        <w:ind w:left="7740"/>
        <w:spacing w:after="0"/>
        <w:rPr>
          <w:sz w:val="20"/>
          <w:szCs w:val="20"/>
          <w:color w:val="auto"/>
        </w:rPr>
      </w:pPr>
      <w:r>
        <w:rPr>
          <w:rFonts w:ascii="Arial" w:cs="Arial" w:eastAsia="Arial" w:hAnsi="Arial"/>
          <w:sz w:val="21"/>
          <w:szCs w:val="21"/>
          <w:color w:val="5D89B4"/>
        </w:rPr>
        <w:t>development</w:t>
      </w:r>
    </w:p>
    <w:p>
      <w:pPr>
        <w:jc w:val="center"/>
        <w:ind w:left="7740"/>
        <w:spacing w:after="0"/>
        <w:rPr>
          <w:sz w:val="20"/>
          <w:szCs w:val="20"/>
          <w:color w:val="auto"/>
        </w:rPr>
      </w:pPr>
      <w:r>
        <w:rPr>
          <w:rFonts w:ascii="Arial" w:cs="Arial" w:eastAsia="Arial" w:hAnsi="Arial"/>
          <w:sz w:val="21"/>
          <w:szCs w:val="21"/>
          <w:color w:val="5D89B4"/>
        </w:rPr>
        <w:t>through MyPath as of the</w:t>
      </w:r>
    </w:p>
    <w:p>
      <w:pPr>
        <w:jc w:val="center"/>
        <w:ind w:left="7740"/>
        <w:spacing w:after="0"/>
        <w:rPr>
          <w:sz w:val="20"/>
          <w:szCs w:val="20"/>
          <w:color w:val="auto"/>
        </w:rPr>
      </w:pPr>
      <w:r>
        <w:rPr>
          <w:rFonts w:ascii="Arial" w:cs="Arial" w:eastAsia="Arial" w:hAnsi="Arial"/>
          <w:sz w:val="21"/>
          <w:szCs w:val="21"/>
          <w:color w:val="5D89B4"/>
        </w:rPr>
        <w:t>end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266700</wp:posOffset>
            </wp:positionV>
            <wp:extent cx="170688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0688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5D89B4"/>
        </w:rPr>
        <w:t>To learn more about our efforts, please visit www.manpowergroup.com/sustainability.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5686425</wp:posOffset>
            </wp:positionH>
            <wp:positionV relativeFrom="paragraph">
              <wp:posOffset>-69850</wp:posOffset>
            </wp:positionV>
            <wp:extent cx="492760" cy="450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760"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7740"/>
        <w:spacing w:after="0"/>
        <w:rPr>
          <w:sz w:val="20"/>
          <w:szCs w:val="20"/>
          <w:color w:val="auto"/>
        </w:rPr>
      </w:pPr>
      <w:r>
        <w:rPr>
          <w:rFonts w:ascii="Arial" w:cs="Arial" w:eastAsia="Arial" w:hAnsi="Arial"/>
          <w:sz w:val="21"/>
          <w:szCs w:val="21"/>
          <w:color w:val="5D89B4"/>
        </w:rPr>
        <w:t>partnered with Junior</w:t>
      </w:r>
    </w:p>
    <w:p>
      <w:pPr>
        <w:jc w:val="center"/>
        <w:ind w:left="7740"/>
        <w:spacing w:after="0"/>
        <w:rPr>
          <w:sz w:val="20"/>
          <w:szCs w:val="20"/>
          <w:color w:val="auto"/>
        </w:rPr>
      </w:pPr>
      <w:r>
        <w:rPr>
          <w:rFonts w:ascii="Arial" w:cs="Arial" w:eastAsia="Arial" w:hAnsi="Arial"/>
          <w:sz w:val="21"/>
          <w:szCs w:val="21"/>
          <w:color w:val="5D89B4"/>
        </w:rPr>
        <w:t>Achievement in</w:t>
      </w:r>
    </w:p>
    <w:p>
      <w:pPr>
        <w:ind w:left="8080"/>
        <w:spacing w:after="0"/>
        <w:rPr>
          <w:sz w:val="20"/>
          <w:szCs w:val="20"/>
          <w:color w:val="auto"/>
        </w:rPr>
      </w:pPr>
      <w:r>
        <w:rPr>
          <w:rFonts w:ascii="Arial" w:cs="Arial" w:eastAsia="Arial" w:hAnsi="Arial"/>
          <w:sz w:val="43"/>
          <w:szCs w:val="43"/>
          <w:b w:val="1"/>
          <w:bCs w:val="1"/>
          <w:color w:val="5D89B4"/>
        </w:rPr>
        <w:t>40 countries</w:t>
      </w:r>
    </w:p>
    <w:p>
      <w:pPr>
        <w:jc w:val="center"/>
        <w:ind w:left="7740"/>
        <w:spacing w:after="0"/>
        <w:rPr>
          <w:sz w:val="20"/>
          <w:szCs w:val="20"/>
          <w:color w:val="auto"/>
        </w:rPr>
      </w:pPr>
      <w:r>
        <w:rPr>
          <w:rFonts w:ascii="Arial" w:cs="Arial" w:eastAsia="Arial" w:hAnsi="Arial"/>
          <w:sz w:val="21"/>
          <w:szCs w:val="21"/>
          <w:b w:val="1"/>
          <w:bCs w:val="1"/>
          <w:color w:val="5D89B4"/>
        </w:rPr>
        <w:t>to empower young talent</w:t>
      </w:r>
    </w:p>
    <w:p>
      <w:pPr>
        <w:jc w:val="center"/>
        <w:ind w:left="7740"/>
        <w:spacing w:after="0"/>
        <w:rPr>
          <w:sz w:val="20"/>
          <w:szCs w:val="20"/>
          <w:color w:val="auto"/>
        </w:rPr>
      </w:pPr>
      <w:r>
        <w:rPr>
          <w:rFonts w:ascii="Arial" w:cs="Arial" w:eastAsia="Arial" w:hAnsi="Arial"/>
          <w:sz w:val="21"/>
          <w:szCs w:val="21"/>
          <w:color w:val="5D89B4"/>
        </w:rPr>
        <w:t>with employability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6929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2975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220980</wp:posOffset>
            </wp:positionV>
            <wp:extent cx="1469390" cy="263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9390" cy="2635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080"/>
        <w:spacing w:after="0"/>
        <w:rPr>
          <w:sz w:val="20"/>
          <w:szCs w:val="20"/>
          <w:color w:val="auto"/>
        </w:rPr>
      </w:pPr>
      <w:r>
        <w:rPr>
          <w:rFonts w:ascii="Arial" w:cs="Arial" w:eastAsia="Arial" w:hAnsi="Arial"/>
          <w:sz w:val="20"/>
          <w:szCs w:val="20"/>
          <w:color w:val="5D89B4"/>
        </w:rPr>
        <w:t>ManpowerGroup Inc. | 100 Manpower Place | Milwaukee, Wisconsin 53212</w:t>
      </w: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2021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276860</wp:posOffset>
            </wp:positionV>
            <wp:extent cx="331470" cy="314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470" cy="31432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268605</wp:posOffset>
            </wp:positionV>
            <wp:extent cx="322580" cy="322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2580" cy="32258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276860</wp:posOffset>
            </wp:positionV>
            <wp:extent cx="195580" cy="314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580" cy="314325"/>
                    </a:xfrm>
                    <a:prstGeom prst="rect">
                      <a:avLst/>
                    </a:prstGeom>
                    <a:noFill/>
                  </pic:spPr>
                </pic:pic>
              </a:graphicData>
            </a:graphic>
          </wp:anchor>
        </w:drawing>
        <w:drawing>
          <wp:anchor simplePos="0" relativeHeight="251657728" behindDoc="1" locked="0" layoutInCell="0" allowOverlap="1">
            <wp:simplePos x="0" y="0"/>
            <wp:positionH relativeFrom="column">
              <wp:posOffset>5720080</wp:posOffset>
            </wp:positionH>
            <wp:positionV relativeFrom="paragraph">
              <wp:posOffset>251460</wp:posOffset>
            </wp:positionV>
            <wp:extent cx="246380" cy="339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638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40" w:type="dxa"/>
        <w:tblCellMar>
          <w:top w:w="0" w:type="dxa"/>
          <w:left w:w="0" w:type="dxa"/>
          <w:bottom w:w="0" w:type="dxa"/>
          <w:right w:w="0" w:type="dxa"/>
        </w:tblCellMar>
      </w:tblPr>
      <w:tr>
        <w:trPr>
          <w:trHeight w:val="284"/>
        </w:trPr>
        <w:tc>
          <w:tcPr>
            <w:tcW w:w="1640" w:type="dxa"/>
            <w:vAlign w:val="bottom"/>
          </w:tcPr>
          <w:p>
            <w:pPr>
              <w:jc w:val="center"/>
              <w:ind w:right="651"/>
              <w:spacing w:after="0"/>
              <w:rPr>
                <w:sz w:val="20"/>
                <w:szCs w:val="20"/>
                <w:color w:val="auto"/>
              </w:rPr>
            </w:pPr>
            <w:r>
              <w:rPr>
                <w:rFonts w:ascii="Arial" w:cs="Arial" w:eastAsia="Arial" w:hAnsi="Arial"/>
                <w:sz w:val="21"/>
                <w:szCs w:val="21"/>
                <w:b w:val="1"/>
                <w:bCs w:val="1"/>
                <w:color w:val="auto"/>
              </w:rPr>
              <w:t>Date</w:t>
            </w:r>
          </w:p>
        </w:tc>
        <w:tc>
          <w:tcPr>
            <w:tcW w:w="2200" w:type="dxa"/>
            <w:vAlign w:val="bottom"/>
          </w:tcPr>
          <w:p>
            <w:pPr>
              <w:jc w:val="center"/>
              <w:ind w:left="246"/>
              <w:spacing w:after="0"/>
              <w:rPr>
                <w:sz w:val="20"/>
                <w:szCs w:val="20"/>
                <w:color w:val="auto"/>
              </w:rPr>
            </w:pPr>
            <w:r>
              <w:rPr>
                <w:rFonts w:ascii="Arial" w:cs="Arial" w:eastAsia="Arial" w:hAnsi="Arial"/>
                <w:sz w:val="21"/>
                <w:szCs w:val="21"/>
                <w:b w:val="1"/>
                <w:bCs w:val="1"/>
                <w:color w:val="auto"/>
              </w:rPr>
              <w:t>Time</w:t>
            </w:r>
          </w:p>
        </w:tc>
        <w:tc>
          <w:tcPr>
            <w:tcW w:w="3080" w:type="dxa"/>
            <w:vAlign w:val="bottom"/>
          </w:tcPr>
          <w:p>
            <w:pPr>
              <w:jc w:val="center"/>
              <w:ind w:left="73"/>
              <w:spacing w:after="0"/>
              <w:rPr>
                <w:sz w:val="20"/>
                <w:szCs w:val="20"/>
                <w:color w:val="auto"/>
              </w:rPr>
            </w:pPr>
            <w:r>
              <w:rPr>
                <w:rFonts w:ascii="Arial" w:cs="Arial" w:eastAsia="Arial" w:hAnsi="Arial"/>
                <w:sz w:val="21"/>
                <w:szCs w:val="21"/>
                <w:b w:val="1"/>
                <w:bCs w:val="1"/>
                <w:color w:val="auto"/>
              </w:rPr>
              <w:t>Virtual Meeting</w:t>
            </w:r>
          </w:p>
        </w:tc>
        <w:tc>
          <w:tcPr>
            <w:tcW w:w="1820" w:type="dxa"/>
            <w:vAlign w:val="bottom"/>
          </w:tcPr>
          <w:p>
            <w:pPr>
              <w:jc w:val="center"/>
              <w:ind w:left="151"/>
              <w:spacing w:after="0"/>
              <w:rPr>
                <w:sz w:val="20"/>
                <w:szCs w:val="20"/>
                <w:color w:val="auto"/>
              </w:rPr>
            </w:pPr>
            <w:r>
              <w:rPr>
                <w:rFonts w:ascii="Arial" w:cs="Arial" w:eastAsia="Arial" w:hAnsi="Arial"/>
                <w:sz w:val="21"/>
                <w:szCs w:val="21"/>
                <w:b w:val="1"/>
                <w:bCs w:val="1"/>
                <w:color w:val="auto"/>
              </w:rPr>
              <w:t>Record Date</w:t>
            </w:r>
          </w:p>
        </w:tc>
      </w:tr>
      <w:tr>
        <w:trPr>
          <w:trHeight w:val="259"/>
        </w:trPr>
        <w:tc>
          <w:tcPr>
            <w:tcW w:w="1640" w:type="dxa"/>
            <w:vAlign w:val="bottom"/>
          </w:tcPr>
          <w:p>
            <w:pPr>
              <w:jc w:val="center"/>
              <w:ind w:right="671"/>
              <w:spacing w:after="0"/>
              <w:rPr>
                <w:sz w:val="20"/>
                <w:szCs w:val="20"/>
                <w:color w:val="auto"/>
              </w:rPr>
            </w:pPr>
            <w:r>
              <w:rPr>
                <w:rFonts w:ascii="Arial" w:cs="Arial" w:eastAsia="Arial" w:hAnsi="Arial"/>
                <w:sz w:val="16"/>
                <w:szCs w:val="16"/>
                <w:color w:val="auto"/>
                <w:w w:val="98"/>
              </w:rPr>
              <w:t>Friday</w:t>
            </w:r>
          </w:p>
        </w:tc>
        <w:tc>
          <w:tcPr>
            <w:tcW w:w="2200" w:type="dxa"/>
            <w:vAlign w:val="bottom"/>
          </w:tcPr>
          <w:p>
            <w:pPr>
              <w:jc w:val="center"/>
              <w:ind w:left="266"/>
              <w:spacing w:after="0"/>
              <w:rPr>
                <w:sz w:val="20"/>
                <w:szCs w:val="20"/>
                <w:color w:val="auto"/>
              </w:rPr>
            </w:pPr>
            <w:r>
              <w:rPr>
                <w:rFonts w:ascii="Arial" w:cs="Arial" w:eastAsia="Arial" w:hAnsi="Arial"/>
                <w:sz w:val="16"/>
                <w:szCs w:val="16"/>
                <w:color w:val="auto"/>
                <w:w w:val="99"/>
              </w:rPr>
              <w:t>9:00 a.m. CDT</w:t>
            </w:r>
          </w:p>
        </w:tc>
        <w:tc>
          <w:tcPr>
            <w:tcW w:w="3080" w:type="dxa"/>
            <w:vAlign w:val="bottom"/>
          </w:tcPr>
          <w:p>
            <w:pPr>
              <w:jc w:val="center"/>
              <w:ind w:left="73"/>
              <w:spacing w:after="0"/>
              <w:rPr>
                <w:sz w:val="20"/>
                <w:szCs w:val="20"/>
                <w:color w:val="auto"/>
              </w:rPr>
            </w:pPr>
            <w:r>
              <w:rPr>
                <w:rFonts w:ascii="Arial" w:cs="Arial" w:eastAsia="Arial" w:hAnsi="Arial"/>
                <w:sz w:val="16"/>
                <w:szCs w:val="16"/>
                <w:color w:val="auto"/>
              </w:rPr>
              <w:t>This year’s meeting is a virtual</w:t>
            </w:r>
          </w:p>
        </w:tc>
        <w:tc>
          <w:tcPr>
            <w:tcW w:w="1820" w:type="dxa"/>
            <w:vAlign w:val="bottom"/>
          </w:tcPr>
          <w:p>
            <w:pPr>
              <w:jc w:val="center"/>
              <w:ind w:left="171"/>
              <w:spacing w:after="0"/>
              <w:rPr>
                <w:sz w:val="20"/>
                <w:szCs w:val="20"/>
                <w:color w:val="auto"/>
              </w:rPr>
            </w:pPr>
            <w:r>
              <w:rPr>
                <w:rFonts w:ascii="Arial" w:cs="Arial" w:eastAsia="Arial" w:hAnsi="Arial"/>
                <w:sz w:val="16"/>
                <w:szCs w:val="16"/>
                <w:color w:val="auto"/>
              </w:rPr>
              <w:t>The close of business</w:t>
            </w:r>
          </w:p>
        </w:tc>
      </w:tr>
      <w:tr>
        <w:trPr>
          <w:trHeight w:val="187"/>
        </w:trPr>
        <w:tc>
          <w:tcPr>
            <w:tcW w:w="1640" w:type="dxa"/>
            <w:vAlign w:val="bottom"/>
          </w:tcPr>
          <w:p>
            <w:pPr>
              <w:jc w:val="center"/>
              <w:ind w:right="671"/>
              <w:spacing w:after="0"/>
              <w:rPr>
                <w:sz w:val="20"/>
                <w:szCs w:val="20"/>
                <w:color w:val="auto"/>
              </w:rPr>
            </w:pPr>
            <w:r>
              <w:rPr>
                <w:rFonts w:ascii="Arial" w:cs="Arial" w:eastAsia="Arial" w:hAnsi="Arial"/>
                <w:sz w:val="16"/>
                <w:szCs w:val="16"/>
                <w:color w:val="auto"/>
                <w:w w:val="99"/>
              </w:rPr>
              <w:t>May 7, 2021</w:t>
            </w:r>
          </w:p>
        </w:tc>
        <w:tc>
          <w:tcPr>
            <w:tcW w:w="2200" w:type="dxa"/>
            <w:vAlign w:val="bottom"/>
          </w:tcPr>
          <w:p>
            <w:pPr>
              <w:spacing w:after="0"/>
              <w:rPr>
                <w:sz w:val="16"/>
                <w:szCs w:val="16"/>
                <w:color w:val="auto"/>
              </w:rPr>
            </w:pPr>
          </w:p>
        </w:tc>
        <w:tc>
          <w:tcPr>
            <w:tcW w:w="3080" w:type="dxa"/>
            <w:vAlign w:val="bottom"/>
          </w:tcPr>
          <w:p>
            <w:pPr>
              <w:jc w:val="center"/>
              <w:ind w:left="73"/>
              <w:spacing w:after="0"/>
              <w:rPr>
                <w:sz w:val="20"/>
                <w:szCs w:val="20"/>
                <w:color w:val="auto"/>
              </w:rPr>
            </w:pPr>
            <w:r>
              <w:rPr>
                <w:rFonts w:ascii="Arial" w:cs="Arial" w:eastAsia="Arial" w:hAnsi="Arial"/>
                <w:sz w:val="16"/>
                <w:szCs w:val="16"/>
                <w:color w:val="auto"/>
              </w:rPr>
              <w:t>shareholders meeting at</w:t>
            </w:r>
          </w:p>
        </w:tc>
        <w:tc>
          <w:tcPr>
            <w:tcW w:w="1820" w:type="dxa"/>
            <w:vAlign w:val="bottom"/>
          </w:tcPr>
          <w:p>
            <w:pPr>
              <w:jc w:val="center"/>
              <w:ind w:left="171"/>
              <w:spacing w:after="0"/>
              <w:rPr>
                <w:sz w:val="20"/>
                <w:szCs w:val="20"/>
                <w:color w:val="auto"/>
              </w:rPr>
            </w:pPr>
            <w:r>
              <w:rPr>
                <w:rFonts w:ascii="Arial" w:cs="Arial" w:eastAsia="Arial" w:hAnsi="Arial"/>
                <w:sz w:val="16"/>
                <w:szCs w:val="16"/>
                <w:color w:val="auto"/>
              </w:rPr>
              <w:t>February 26, 2021</w:t>
            </w:r>
          </w:p>
        </w:tc>
      </w:tr>
      <w:tr>
        <w:trPr>
          <w:trHeight w:val="193"/>
        </w:trPr>
        <w:tc>
          <w:tcPr>
            <w:tcW w:w="16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80" w:type="dxa"/>
            <w:vAlign w:val="bottom"/>
          </w:tcPr>
          <w:p>
            <w:pPr>
              <w:jc w:val="center"/>
              <w:ind w:left="73"/>
              <w:spacing w:after="0"/>
              <w:rPr>
                <w:sz w:val="20"/>
                <w:szCs w:val="20"/>
                <w:color w:val="auto"/>
              </w:rPr>
            </w:pPr>
            <w:r>
              <w:rPr>
                <w:rFonts w:ascii="Arial" w:cs="Arial" w:eastAsia="Arial" w:hAnsi="Arial"/>
                <w:sz w:val="16"/>
                <w:szCs w:val="16"/>
                <w:color w:val="auto"/>
                <w:w w:val="99"/>
              </w:rPr>
              <w:t>www.meetingcenter.io/237950674</w:t>
            </w:r>
          </w:p>
        </w:tc>
        <w:tc>
          <w:tcPr>
            <w:tcW w:w="1820" w:type="dxa"/>
            <w:vAlign w:val="bottom"/>
          </w:tcPr>
          <w:p>
            <w:pPr>
              <w:spacing w:after="0"/>
              <w:rPr>
                <w:sz w:val="16"/>
                <w:szCs w:val="16"/>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-70485</wp:posOffset>
            </wp:positionV>
            <wp:extent cx="423799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37990" cy="50800"/>
                    </a:xfrm>
                    <a:prstGeom prst="rect">
                      <a:avLst/>
                    </a:prstGeom>
                    <a:noFill/>
                  </pic:spPr>
                </pic:pic>
              </a:graphicData>
            </a:graphic>
          </wp:anchor>
        </w:drawing>
      </w:r>
    </w:p>
    <w:p>
      <w:pPr>
        <w:spacing w:after="0" w:line="119" w:lineRule="exact"/>
        <w:rPr>
          <w:sz w:val="20"/>
          <w:szCs w:val="20"/>
          <w:color w:val="auto"/>
        </w:rPr>
      </w:pPr>
    </w:p>
    <w:p>
      <w:pPr>
        <w:ind w:right="440"/>
        <w:spacing w:after="0" w:line="237" w:lineRule="auto"/>
        <w:rPr>
          <w:sz w:val="20"/>
          <w:szCs w:val="20"/>
          <w:color w:val="auto"/>
        </w:rPr>
      </w:pPr>
      <w:r>
        <w:rPr>
          <w:rFonts w:ascii="Arial" w:cs="Arial" w:eastAsia="Arial" w:hAnsi="Arial"/>
          <w:sz w:val="15"/>
          <w:szCs w:val="15"/>
          <w:color w:val="auto"/>
        </w:rPr>
        <w:t>Whether or not you plan to attend the meeting, it is important that your shares are represented and voted. If you are a shareholder of record (“registered shareholder”), we urge you to vote in advance of the meeting using one of the advance voting methods below. You can vote by any of the following methods:</w:t>
      </w:r>
    </w:p>
    <w:p>
      <w:pPr>
        <w:spacing w:after="0" w:line="81"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460" w:type="dxa"/>
            <w:vAlign w:val="bottom"/>
          </w:tcPr>
          <w:p>
            <w:pPr>
              <w:jc w:val="center"/>
              <w:spacing w:after="0"/>
              <w:rPr>
                <w:sz w:val="20"/>
                <w:szCs w:val="20"/>
                <w:color w:val="auto"/>
              </w:rPr>
            </w:pPr>
            <w:r>
              <w:rPr>
                <w:rFonts w:ascii="Arial" w:cs="Arial" w:eastAsia="Arial" w:hAnsi="Arial"/>
                <w:sz w:val="18"/>
                <w:szCs w:val="18"/>
                <w:b w:val="1"/>
                <w:bCs w:val="1"/>
                <w:color w:val="5D89B4"/>
                <w:w w:val="97"/>
              </w:rPr>
              <w:t>By Internet:</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5D89B4"/>
                <w:w w:val="98"/>
              </w:rPr>
              <w:t>By Phone:</w:t>
            </w:r>
          </w:p>
        </w:tc>
        <w:tc>
          <w:tcPr>
            <w:tcW w:w="2720" w:type="dxa"/>
            <w:vAlign w:val="bottom"/>
          </w:tcPr>
          <w:p>
            <w:pPr>
              <w:jc w:val="center"/>
              <w:ind w:right="158"/>
              <w:spacing w:after="0"/>
              <w:rPr>
                <w:sz w:val="20"/>
                <w:szCs w:val="20"/>
                <w:color w:val="auto"/>
              </w:rPr>
            </w:pPr>
            <w:r>
              <w:rPr>
                <w:rFonts w:ascii="Arial" w:cs="Arial" w:eastAsia="Arial" w:hAnsi="Arial"/>
                <w:sz w:val="18"/>
                <w:szCs w:val="18"/>
                <w:b w:val="1"/>
                <w:bCs w:val="1"/>
                <w:color w:val="5D89B4"/>
                <w:w w:val="98"/>
              </w:rPr>
              <w:t>By Mail:</w:t>
            </w:r>
          </w:p>
        </w:tc>
        <w:tc>
          <w:tcPr>
            <w:tcW w:w="1640" w:type="dxa"/>
            <w:vAlign w:val="bottom"/>
          </w:tcPr>
          <w:p>
            <w:pPr>
              <w:jc w:val="center"/>
              <w:ind w:left="218"/>
              <w:spacing w:after="0"/>
              <w:rPr>
                <w:sz w:val="20"/>
                <w:szCs w:val="20"/>
                <w:color w:val="auto"/>
              </w:rPr>
            </w:pPr>
            <w:r>
              <w:rPr>
                <w:rFonts w:ascii="Arial" w:cs="Arial" w:eastAsia="Arial" w:hAnsi="Arial"/>
                <w:sz w:val="18"/>
                <w:szCs w:val="18"/>
                <w:b w:val="1"/>
                <w:bCs w:val="1"/>
                <w:color w:val="5D89B4"/>
                <w:w w:val="99"/>
              </w:rPr>
              <w:t>By QR Code:</w:t>
            </w:r>
          </w:p>
        </w:tc>
      </w:tr>
      <w:tr>
        <w:trPr>
          <w:trHeight w:val="187"/>
        </w:trPr>
        <w:tc>
          <w:tcPr>
            <w:tcW w:w="2460" w:type="dxa"/>
            <w:vAlign w:val="bottom"/>
          </w:tcPr>
          <w:p>
            <w:pPr>
              <w:jc w:val="center"/>
              <w:spacing w:after="0"/>
              <w:rPr>
                <w:sz w:val="20"/>
                <w:szCs w:val="20"/>
                <w:color w:val="auto"/>
              </w:rPr>
            </w:pPr>
            <w:r>
              <w:rPr>
                <w:rFonts w:ascii="Arial" w:cs="Arial" w:eastAsia="Arial" w:hAnsi="Arial"/>
                <w:sz w:val="16"/>
                <w:szCs w:val="16"/>
                <w:color w:val="auto"/>
                <w:w w:val="99"/>
              </w:rPr>
              <w:t>Prior to the 2021 Annual Meeting,</w:t>
            </w:r>
          </w:p>
        </w:tc>
        <w:tc>
          <w:tcPr>
            <w:tcW w:w="2500" w:type="dxa"/>
            <w:vAlign w:val="bottom"/>
          </w:tcPr>
          <w:p>
            <w:pPr>
              <w:jc w:val="center"/>
              <w:spacing w:after="0"/>
              <w:rPr>
                <w:sz w:val="20"/>
                <w:szCs w:val="20"/>
                <w:color w:val="auto"/>
              </w:rPr>
            </w:pPr>
            <w:r>
              <w:rPr>
                <w:rFonts w:ascii="Arial" w:cs="Arial" w:eastAsia="Arial" w:hAnsi="Arial"/>
                <w:sz w:val="16"/>
                <w:szCs w:val="16"/>
                <w:color w:val="auto"/>
                <w:w w:val="99"/>
              </w:rPr>
              <w:t>1-800-652-VOTE (8683)</w:t>
            </w:r>
          </w:p>
        </w:tc>
        <w:tc>
          <w:tcPr>
            <w:tcW w:w="2720" w:type="dxa"/>
            <w:vAlign w:val="bottom"/>
          </w:tcPr>
          <w:p>
            <w:pPr>
              <w:jc w:val="center"/>
              <w:ind w:right="158"/>
              <w:spacing w:after="0"/>
              <w:rPr>
                <w:sz w:val="20"/>
                <w:szCs w:val="20"/>
                <w:color w:val="auto"/>
              </w:rPr>
            </w:pPr>
            <w:r>
              <w:rPr>
                <w:rFonts w:ascii="Arial" w:cs="Arial" w:eastAsia="Arial" w:hAnsi="Arial"/>
                <w:sz w:val="16"/>
                <w:szCs w:val="16"/>
                <w:color w:val="auto"/>
              </w:rPr>
              <w:t>Complete, sign and</w:t>
            </w:r>
          </w:p>
        </w:tc>
        <w:tc>
          <w:tcPr>
            <w:tcW w:w="1640" w:type="dxa"/>
            <w:vAlign w:val="bottom"/>
          </w:tcPr>
          <w:p>
            <w:pPr>
              <w:jc w:val="center"/>
              <w:ind w:left="218"/>
              <w:spacing w:after="0"/>
              <w:rPr>
                <w:sz w:val="20"/>
                <w:szCs w:val="20"/>
                <w:color w:val="auto"/>
              </w:rPr>
            </w:pPr>
            <w:r>
              <w:rPr>
                <w:rFonts w:ascii="Arial" w:cs="Arial" w:eastAsia="Arial" w:hAnsi="Arial"/>
                <w:sz w:val="16"/>
                <w:szCs w:val="16"/>
                <w:color w:val="auto"/>
              </w:rPr>
              <w:t>Scan this QR code</w:t>
            </w:r>
          </w:p>
        </w:tc>
      </w:tr>
      <w:tr>
        <w:trPr>
          <w:trHeight w:val="187"/>
        </w:trPr>
        <w:tc>
          <w:tcPr>
            <w:tcW w:w="2460" w:type="dxa"/>
            <w:vAlign w:val="bottom"/>
          </w:tcPr>
          <w:p>
            <w:pPr>
              <w:jc w:val="center"/>
              <w:spacing w:after="0"/>
              <w:rPr>
                <w:sz w:val="20"/>
                <w:szCs w:val="20"/>
                <w:color w:val="auto"/>
              </w:rPr>
            </w:pPr>
            <w:r>
              <w:rPr>
                <w:rFonts w:ascii="Arial" w:cs="Arial" w:eastAsia="Arial" w:hAnsi="Arial"/>
                <w:sz w:val="16"/>
                <w:szCs w:val="16"/>
                <w:color w:val="auto"/>
              </w:rPr>
              <w:t>vote your shares online at</w:t>
            </w:r>
          </w:p>
        </w:tc>
        <w:tc>
          <w:tcPr>
            <w:tcW w:w="2500" w:type="dxa"/>
            <w:vAlign w:val="bottom"/>
          </w:tcPr>
          <w:p>
            <w:pPr>
              <w:jc w:val="center"/>
              <w:spacing w:after="0"/>
              <w:rPr>
                <w:sz w:val="20"/>
                <w:szCs w:val="20"/>
                <w:color w:val="auto"/>
              </w:rPr>
            </w:pPr>
            <w:r>
              <w:rPr>
                <w:rFonts w:ascii="Arial" w:cs="Arial" w:eastAsia="Arial" w:hAnsi="Arial"/>
                <w:sz w:val="16"/>
                <w:szCs w:val="16"/>
                <w:color w:val="auto"/>
              </w:rPr>
              <w:t>within the USA, US territories and</w:t>
            </w:r>
          </w:p>
        </w:tc>
        <w:tc>
          <w:tcPr>
            <w:tcW w:w="2720" w:type="dxa"/>
            <w:vAlign w:val="bottom"/>
          </w:tcPr>
          <w:p>
            <w:pPr>
              <w:jc w:val="center"/>
              <w:ind w:right="158"/>
              <w:spacing w:after="0"/>
              <w:rPr>
                <w:sz w:val="20"/>
                <w:szCs w:val="20"/>
                <w:color w:val="auto"/>
              </w:rPr>
            </w:pPr>
            <w:r>
              <w:rPr>
                <w:rFonts w:ascii="Arial" w:cs="Arial" w:eastAsia="Arial" w:hAnsi="Arial"/>
                <w:sz w:val="16"/>
                <w:szCs w:val="16"/>
                <w:color w:val="auto"/>
              </w:rPr>
              <w:t>return proxy card in the postage-</w:t>
            </w:r>
          </w:p>
        </w:tc>
        <w:tc>
          <w:tcPr>
            <w:tcW w:w="1640" w:type="dxa"/>
            <w:vAlign w:val="bottom"/>
          </w:tcPr>
          <w:p>
            <w:pPr>
              <w:jc w:val="center"/>
              <w:ind w:left="238"/>
              <w:spacing w:after="0"/>
              <w:rPr>
                <w:sz w:val="20"/>
                <w:szCs w:val="20"/>
                <w:color w:val="auto"/>
              </w:rPr>
            </w:pPr>
            <w:r>
              <w:rPr>
                <w:rFonts w:ascii="Arial" w:cs="Arial" w:eastAsia="Arial" w:hAnsi="Arial"/>
                <w:sz w:val="16"/>
                <w:szCs w:val="16"/>
                <w:color w:val="auto"/>
                <w:w w:val="99"/>
              </w:rPr>
              <w:t>24/7 to vote with</w:t>
            </w:r>
          </w:p>
        </w:tc>
      </w:tr>
      <w:tr>
        <w:trPr>
          <w:trHeight w:val="193"/>
        </w:trPr>
        <w:tc>
          <w:tcPr>
            <w:tcW w:w="2460" w:type="dxa"/>
            <w:vAlign w:val="bottom"/>
          </w:tcPr>
          <w:p>
            <w:pPr>
              <w:jc w:val="center"/>
              <w:spacing w:after="0"/>
              <w:rPr>
                <w:sz w:val="20"/>
                <w:szCs w:val="20"/>
                <w:color w:val="auto"/>
              </w:rPr>
            </w:pPr>
            <w:r>
              <w:rPr>
                <w:rFonts w:ascii="Arial" w:cs="Arial" w:eastAsia="Arial" w:hAnsi="Arial"/>
                <w:sz w:val="16"/>
                <w:szCs w:val="16"/>
                <w:color w:val="auto"/>
                <w:w w:val="99"/>
              </w:rPr>
              <w:t>www.envisionreports.com/MAN</w:t>
            </w:r>
          </w:p>
        </w:tc>
        <w:tc>
          <w:tcPr>
            <w:tcW w:w="2500" w:type="dxa"/>
            <w:vAlign w:val="bottom"/>
          </w:tcPr>
          <w:p>
            <w:pPr>
              <w:jc w:val="center"/>
              <w:spacing w:after="0"/>
              <w:rPr>
                <w:sz w:val="20"/>
                <w:szCs w:val="20"/>
                <w:color w:val="auto"/>
              </w:rPr>
            </w:pPr>
            <w:r>
              <w:rPr>
                <w:rFonts w:ascii="Arial" w:cs="Arial" w:eastAsia="Arial" w:hAnsi="Arial"/>
                <w:sz w:val="16"/>
                <w:szCs w:val="16"/>
                <w:color w:val="auto"/>
                <w:w w:val="99"/>
              </w:rPr>
              <w:t>Canada</w:t>
            </w:r>
          </w:p>
        </w:tc>
        <w:tc>
          <w:tcPr>
            <w:tcW w:w="2720" w:type="dxa"/>
            <w:vAlign w:val="bottom"/>
          </w:tcPr>
          <w:p>
            <w:pPr>
              <w:jc w:val="center"/>
              <w:ind w:right="138"/>
              <w:spacing w:after="0"/>
              <w:rPr>
                <w:sz w:val="20"/>
                <w:szCs w:val="20"/>
                <w:color w:val="auto"/>
              </w:rPr>
            </w:pPr>
            <w:r>
              <w:rPr>
                <w:rFonts w:ascii="Arial" w:cs="Arial" w:eastAsia="Arial" w:hAnsi="Arial"/>
                <w:sz w:val="16"/>
                <w:szCs w:val="16"/>
                <w:color w:val="auto"/>
              </w:rPr>
              <w:t>paid envelope provided</w:t>
            </w:r>
          </w:p>
        </w:tc>
        <w:tc>
          <w:tcPr>
            <w:tcW w:w="1640" w:type="dxa"/>
            <w:vAlign w:val="bottom"/>
          </w:tcPr>
          <w:p>
            <w:pPr>
              <w:jc w:val="center"/>
              <w:ind w:left="218"/>
              <w:spacing w:after="0"/>
              <w:rPr>
                <w:sz w:val="20"/>
                <w:szCs w:val="20"/>
                <w:color w:val="auto"/>
              </w:rPr>
            </w:pPr>
            <w:r>
              <w:rPr>
                <w:rFonts w:ascii="Arial" w:cs="Arial" w:eastAsia="Arial" w:hAnsi="Arial"/>
                <w:sz w:val="16"/>
                <w:szCs w:val="16"/>
                <w:color w:val="auto"/>
              </w:rPr>
              <w:t>your mobile device</w:t>
            </w:r>
          </w:p>
        </w:tc>
      </w:tr>
      <w:tr>
        <w:trPr>
          <w:trHeight w:val="302"/>
        </w:trPr>
        <w:tc>
          <w:tcPr>
            <w:tcW w:w="2460" w:type="dxa"/>
            <w:vAlign w:val="bottom"/>
          </w:tcPr>
          <w:p>
            <w:pPr>
              <w:jc w:val="center"/>
              <w:spacing w:after="0"/>
              <w:rPr>
                <w:sz w:val="20"/>
                <w:szCs w:val="20"/>
                <w:color w:val="auto"/>
              </w:rPr>
            </w:pPr>
            <w:r>
              <w:rPr>
                <w:rFonts w:ascii="Arial" w:cs="Arial" w:eastAsia="Arial" w:hAnsi="Arial"/>
                <w:sz w:val="16"/>
                <w:szCs w:val="16"/>
                <w:color w:val="auto"/>
              </w:rPr>
              <w:t>During the 2021 Annual Meeting,</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7"/>
        </w:trPr>
        <w:tc>
          <w:tcPr>
            <w:tcW w:w="2460" w:type="dxa"/>
            <w:vAlign w:val="bottom"/>
          </w:tcPr>
          <w:p>
            <w:pPr>
              <w:jc w:val="center"/>
              <w:spacing w:after="0"/>
              <w:rPr>
                <w:sz w:val="20"/>
                <w:szCs w:val="20"/>
                <w:color w:val="auto"/>
              </w:rPr>
            </w:pPr>
            <w:r>
              <w:rPr>
                <w:rFonts w:ascii="Arial" w:cs="Arial" w:eastAsia="Arial" w:hAnsi="Arial"/>
                <w:sz w:val="16"/>
                <w:szCs w:val="16"/>
                <w:color w:val="auto"/>
              </w:rPr>
              <w:t>vote your shares online at</w:t>
            </w:r>
          </w:p>
        </w:tc>
        <w:tc>
          <w:tcPr>
            <w:tcW w:w="2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3"/>
        </w:trPr>
        <w:tc>
          <w:tcPr>
            <w:tcW w:w="2460" w:type="dxa"/>
            <w:vAlign w:val="bottom"/>
          </w:tcPr>
          <w:p>
            <w:pPr>
              <w:jc w:val="center"/>
              <w:spacing w:after="0"/>
              <w:rPr>
                <w:sz w:val="20"/>
                <w:szCs w:val="20"/>
                <w:color w:val="auto"/>
              </w:rPr>
            </w:pPr>
            <w:r>
              <w:rPr>
                <w:rFonts w:ascii="Arial" w:cs="Arial" w:eastAsia="Arial" w:hAnsi="Arial"/>
                <w:sz w:val="16"/>
                <w:szCs w:val="16"/>
                <w:color w:val="auto"/>
              </w:rPr>
              <w:t>www.meetingcenter.io/237950674</w:t>
            </w:r>
          </w:p>
        </w:tc>
        <w:tc>
          <w:tcPr>
            <w:tcW w:w="2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-284480</wp:posOffset>
            </wp:positionV>
            <wp:extent cx="373380" cy="373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3380" cy="373380"/>
                    </a:xfrm>
                    <a:prstGeom prst="rect">
                      <a:avLst/>
                    </a:prstGeom>
                    <a:noFill/>
                  </pic:spPr>
                </pic:pic>
              </a:graphicData>
            </a:graphic>
          </wp:anchor>
        </w:drawing>
      </w:r>
    </w:p>
    <w:p>
      <w:pPr>
        <w:spacing w:after="0" w:line="343" w:lineRule="exact"/>
        <w:rPr>
          <w:sz w:val="20"/>
          <w:szCs w:val="20"/>
          <w:color w:val="auto"/>
        </w:rPr>
      </w:pPr>
    </w:p>
    <w:p>
      <w:pPr>
        <w:ind w:right="100"/>
        <w:spacing w:after="0" w:line="232" w:lineRule="auto"/>
        <w:rPr>
          <w:sz w:val="20"/>
          <w:szCs w:val="20"/>
          <w:color w:val="auto"/>
        </w:rPr>
      </w:pPr>
      <w:r>
        <w:rPr>
          <w:rFonts w:ascii="Arial" w:cs="Arial" w:eastAsia="Arial" w:hAnsi="Arial"/>
          <w:sz w:val="15"/>
          <w:szCs w:val="15"/>
          <w:color w:val="auto"/>
        </w:rPr>
        <w:t>If your shares are held in street name through a bank, broker or other holder of record (“beneficial holder”), you will receive instructions from the holder of record that you must follow in order for your shares to be voted. All shareholders will still be able to vote online during the meeting, even if they previously submitted their proxy.</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Items of Business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6929755" cy="297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297180"/>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0"/>
        <w:spacing w:after="0"/>
        <w:tabs>
          <w:tab w:leader="none" w:pos="1740" w:val="left"/>
        </w:tabs>
        <w:rPr>
          <w:sz w:val="20"/>
          <w:szCs w:val="20"/>
          <w:color w:val="auto"/>
        </w:rPr>
      </w:pPr>
      <w:r>
        <w:rPr>
          <w:rFonts w:ascii="Arial" w:cs="Arial" w:eastAsia="Arial" w:hAnsi="Arial"/>
          <w:sz w:val="14"/>
          <w:szCs w:val="14"/>
          <w:b w:val="1"/>
          <w:bCs w:val="1"/>
          <w:color w:val="5D89B4"/>
        </w:rPr>
        <w:t>PROPOSAL</w:t>
      </w:r>
      <w:r>
        <w:rPr>
          <w:sz w:val="20"/>
          <w:szCs w:val="20"/>
          <w:color w:val="auto"/>
        </w:rPr>
        <w:tab/>
      </w:r>
      <w:r>
        <w:rPr>
          <w:rFonts w:ascii="Arial" w:cs="Arial" w:eastAsia="Arial" w:hAnsi="Arial"/>
          <w:sz w:val="14"/>
          <w:szCs w:val="14"/>
          <w:b w:val="1"/>
          <w:bCs w:val="1"/>
          <w:color w:val="5D89B4"/>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-203835</wp:posOffset>
            </wp:positionV>
            <wp:extent cx="6191250" cy="254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1250" cy="254635"/>
                    </a:xfrm>
                    <a:prstGeom prst="rect">
                      <a:avLst/>
                    </a:prstGeom>
                    <a:noFill/>
                  </pic:spPr>
                </pic:pic>
              </a:graphicData>
            </a:graphic>
          </wp:anchor>
        </w:drawing>
      </w:r>
    </w:p>
    <w:p>
      <w:pPr>
        <w:spacing w:after="0" w:line="169" w:lineRule="exact"/>
        <w:rPr>
          <w:sz w:val="20"/>
          <w:szCs w:val="20"/>
          <w:color w:val="auto"/>
        </w:rPr>
      </w:pPr>
    </w:p>
    <w:p>
      <w:pPr>
        <w:ind w:left="1760" w:right="300" w:hanging="1225"/>
        <w:spacing w:after="0" w:line="180" w:lineRule="auto"/>
        <w:tabs>
          <w:tab w:leader="none" w:pos="1760" w:val="left"/>
        </w:tabs>
        <w:numPr>
          <w:ilvl w:val="0"/>
          <w:numId w:val="8"/>
        </w:numPr>
        <w:rPr>
          <w:rFonts w:ascii="Arial" w:cs="Arial" w:eastAsia="Arial" w:hAnsi="Arial"/>
          <w:sz w:val="30"/>
          <w:szCs w:val="30"/>
          <w:b w:val="1"/>
          <w:bCs w:val="1"/>
          <w:color w:val="5D89B4"/>
          <w:vertAlign w:val="subscript"/>
        </w:rPr>
      </w:pPr>
      <w:r>
        <w:rPr>
          <w:rFonts w:ascii="Arial" w:cs="Arial" w:eastAsia="Arial" w:hAnsi="Arial"/>
          <w:sz w:val="14"/>
          <w:szCs w:val="14"/>
          <w:color w:val="auto"/>
        </w:rPr>
        <w:t>To elect twelve individuals nominated by the Board of Directors of ManpowerGroup to serve until 2022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jc w:val="center"/>
              <w:ind w:right="246"/>
              <w:spacing w:after="0"/>
              <w:rPr>
                <w:sz w:val="20"/>
                <w:szCs w:val="20"/>
                <w:color w:val="auto"/>
              </w:rPr>
            </w:pPr>
            <w:r>
              <w:rPr>
                <w:rFonts w:ascii="Arial" w:cs="Arial" w:eastAsia="Arial" w:hAnsi="Arial"/>
                <w:sz w:val="14"/>
                <w:szCs w:val="14"/>
                <w:b w:val="1"/>
                <w:bCs w:val="1"/>
                <w:color w:val="5D89B4"/>
              </w:rPr>
              <w:t>BOARD VOTE</w:t>
            </w:r>
          </w:p>
        </w:tc>
        <w:tc>
          <w:tcPr>
            <w:tcW w:w="1720" w:type="dxa"/>
            <w:vAlign w:val="bottom"/>
          </w:tcPr>
          <w:p>
            <w:pPr>
              <w:jc w:val="center"/>
              <w:ind w:left="227"/>
              <w:spacing w:after="0"/>
              <w:rPr>
                <w:sz w:val="20"/>
                <w:szCs w:val="20"/>
                <w:color w:val="auto"/>
              </w:rPr>
            </w:pPr>
            <w:r>
              <w:rPr>
                <w:rFonts w:ascii="Arial" w:cs="Arial" w:eastAsia="Arial" w:hAnsi="Arial"/>
                <w:sz w:val="14"/>
                <w:szCs w:val="14"/>
                <w:b w:val="1"/>
                <w:bCs w:val="1"/>
                <w:color w:val="5D89B4"/>
              </w:rPr>
              <w:t>PAGE REFERENCE</w:t>
            </w:r>
          </w:p>
        </w:tc>
      </w:tr>
      <w:tr>
        <w:trPr>
          <w:trHeight w:val="202"/>
        </w:trPr>
        <w:tc>
          <w:tcPr>
            <w:tcW w:w="1780" w:type="dxa"/>
            <w:vAlign w:val="bottom"/>
          </w:tcPr>
          <w:p>
            <w:pPr>
              <w:jc w:val="center"/>
              <w:ind w:right="246"/>
              <w:spacing w:after="0"/>
              <w:rPr>
                <w:sz w:val="20"/>
                <w:szCs w:val="20"/>
                <w:color w:val="auto"/>
              </w:rPr>
            </w:pPr>
            <w:r>
              <w:rPr>
                <w:rFonts w:ascii="Arial" w:cs="Arial" w:eastAsia="Arial" w:hAnsi="Arial"/>
                <w:sz w:val="14"/>
                <w:szCs w:val="14"/>
                <w:b w:val="1"/>
                <w:bCs w:val="1"/>
                <w:color w:val="5D89B4"/>
              </w:rPr>
              <w:t>RECOMMENDATION</w:t>
            </w:r>
          </w:p>
        </w:tc>
        <w:tc>
          <w:tcPr>
            <w:tcW w:w="1720" w:type="dxa"/>
            <w:vAlign w:val="bottom"/>
          </w:tcPr>
          <w:p>
            <w:pPr>
              <w:jc w:val="center"/>
              <w:ind w:left="227"/>
              <w:spacing w:after="0"/>
              <w:rPr>
                <w:sz w:val="20"/>
                <w:szCs w:val="20"/>
                <w:color w:val="auto"/>
              </w:rPr>
            </w:pPr>
            <w:r>
              <w:rPr>
                <w:rFonts w:ascii="Arial" w:cs="Arial" w:eastAsia="Arial" w:hAnsi="Arial"/>
                <w:sz w:val="14"/>
                <w:szCs w:val="14"/>
                <w:b w:val="1"/>
                <w:bCs w:val="1"/>
                <w:color w:val="5D89B4"/>
              </w:rPr>
              <w:t>(FOR MORE DETAIL)</w:t>
            </w:r>
          </w:p>
        </w:tc>
      </w:tr>
      <w:tr>
        <w:trPr>
          <w:trHeight w:val="369"/>
        </w:trPr>
        <w:tc>
          <w:tcPr>
            <w:tcW w:w="1780" w:type="dxa"/>
            <w:vAlign w:val="bottom"/>
          </w:tcPr>
          <w:p>
            <w:pPr>
              <w:jc w:val="center"/>
              <w:ind w:right="246"/>
              <w:spacing w:after="0"/>
              <w:rPr>
                <w:sz w:val="20"/>
                <w:szCs w:val="20"/>
                <w:color w:val="auto"/>
              </w:rPr>
            </w:pPr>
            <w:r>
              <w:rPr>
                <w:rFonts w:ascii="Arial" w:cs="Arial" w:eastAsia="Arial" w:hAnsi="Arial"/>
                <w:sz w:val="15"/>
                <w:szCs w:val="15"/>
                <w:color w:val="auto"/>
              </w:rPr>
              <w:t>FOR each of</w:t>
            </w:r>
          </w:p>
        </w:tc>
        <w:tc>
          <w:tcPr>
            <w:tcW w:w="1720" w:type="dxa"/>
            <w:vAlign w:val="bottom"/>
          </w:tcPr>
          <w:p>
            <w:pPr>
              <w:jc w:val="center"/>
              <w:ind w:left="227"/>
              <w:spacing w:after="0"/>
              <w:rPr>
                <w:sz w:val="20"/>
                <w:szCs w:val="20"/>
                <w:color w:val="auto"/>
              </w:rPr>
            </w:pPr>
            <w:r>
              <w:rPr>
                <w:rFonts w:ascii="Arial" w:cs="Arial" w:eastAsia="Arial" w:hAnsi="Arial"/>
                <w:sz w:val="15"/>
                <w:szCs w:val="15"/>
                <w:color w:val="auto"/>
              </w:rPr>
              <w:t>73</w:t>
            </w:r>
          </w:p>
        </w:tc>
      </w:tr>
      <w:tr>
        <w:trPr>
          <w:trHeight w:val="181"/>
        </w:trPr>
        <w:tc>
          <w:tcPr>
            <w:tcW w:w="1780" w:type="dxa"/>
            <w:vAlign w:val="bottom"/>
          </w:tcPr>
          <w:p>
            <w:pPr>
              <w:jc w:val="center"/>
              <w:ind w:right="246"/>
              <w:spacing w:after="0"/>
              <w:rPr>
                <w:sz w:val="20"/>
                <w:szCs w:val="20"/>
                <w:color w:val="auto"/>
              </w:rPr>
            </w:pPr>
            <w:r>
              <w:rPr>
                <w:rFonts w:ascii="Arial" w:cs="Arial" w:eastAsia="Arial" w:hAnsi="Arial"/>
                <w:sz w:val="15"/>
                <w:szCs w:val="15"/>
                <w:color w:val="auto"/>
              </w:rPr>
              <w:t>the director nominees</w:t>
            </w:r>
          </w:p>
        </w:tc>
        <w:tc>
          <w:tcPr>
            <w:tcW w:w="1720" w:type="dxa"/>
            <w:vAlign w:val="bottom"/>
          </w:tcPr>
          <w:p>
            <w:pPr>
              <w:spacing w:after="0"/>
              <w:rPr>
                <w:sz w:val="15"/>
                <w:szCs w:val="15"/>
                <w:color w:val="auto"/>
              </w:rPr>
            </w:pPr>
          </w:p>
        </w:tc>
      </w:tr>
    </w:tbl>
    <w:p>
      <w:pPr>
        <w:spacing w:after="0" w:line="199" w:lineRule="exact"/>
        <w:rPr>
          <w:sz w:val="20"/>
          <w:szCs w:val="20"/>
          <w:color w:val="auto"/>
        </w:rPr>
      </w:pPr>
    </w:p>
    <w:p>
      <w:pPr>
        <w:sectPr>
          <w:pgSz w:w="11900" w:h="16838" w:orient="portrait"/>
          <w:cols w:equalWidth="0" w:num="2">
            <w:col w:w="6700" w:space="720"/>
            <w:col w:w="3500"/>
          </w:cols>
          <w:pgMar w:left="480" w:top="233" w:right="49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2</w:t>
            </w:r>
          </w:p>
        </w:tc>
        <w:tc>
          <w:tcPr>
            <w:tcW w:w="6220" w:type="dxa"/>
            <w:vAlign w:val="bottom"/>
          </w:tcPr>
          <w:p>
            <w:pPr>
              <w:ind w:left="560"/>
              <w:spacing w:after="0"/>
              <w:rPr>
                <w:sz w:val="20"/>
                <w:szCs w:val="20"/>
                <w:color w:val="auto"/>
              </w:rPr>
            </w:pPr>
            <w:r>
              <w:rPr>
                <w:rFonts w:ascii="Arial" w:cs="Arial" w:eastAsia="Arial" w:hAnsi="Arial"/>
                <w:sz w:val="16"/>
                <w:szCs w:val="16"/>
                <w:color w:val="auto"/>
              </w:rPr>
              <w:t>To ratify the appointment of Deloitte &amp; Touche LLP as our independent</w:t>
            </w:r>
          </w:p>
        </w:tc>
        <w:tc>
          <w:tcPr>
            <w:tcW w:w="1800" w:type="dxa"/>
            <w:vAlign w:val="bottom"/>
            <w:vMerge w:val="restart"/>
          </w:tcPr>
          <w:p>
            <w:pPr>
              <w:ind w:left="560"/>
              <w:spacing w:after="0"/>
              <w:rPr>
                <w:sz w:val="20"/>
                <w:szCs w:val="20"/>
                <w:color w:val="auto"/>
              </w:rPr>
            </w:pPr>
            <w:r>
              <w:rPr>
                <w:rFonts w:ascii="Arial" w:cs="Arial" w:eastAsia="Arial" w:hAnsi="Arial"/>
                <w:sz w:val="15"/>
                <w:szCs w:val="15"/>
                <w:color w:val="auto"/>
              </w:rPr>
              <w:t>FOR</w:t>
            </w:r>
          </w:p>
        </w:tc>
        <w:tc>
          <w:tcPr>
            <w:tcW w:w="1700" w:type="dxa"/>
            <w:vAlign w:val="bottom"/>
            <w:vMerge w:val="restart"/>
          </w:tcPr>
          <w:p>
            <w:pPr>
              <w:jc w:val="right"/>
              <w:ind w:right="544"/>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6220" w:type="dxa"/>
            <w:vAlign w:val="bottom"/>
            <w:vMerge w:val="restart"/>
          </w:tcPr>
          <w:p>
            <w:pPr>
              <w:ind w:left="560"/>
              <w:spacing w:after="0"/>
              <w:rPr>
                <w:sz w:val="20"/>
                <w:szCs w:val="20"/>
                <w:color w:val="auto"/>
              </w:rPr>
            </w:pPr>
            <w:r>
              <w:rPr>
                <w:rFonts w:ascii="Arial" w:cs="Arial" w:eastAsia="Arial" w:hAnsi="Arial"/>
                <w:sz w:val="16"/>
                <w:szCs w:val="16"/>
                <w:color w:val="auto"/>
              </w:rPr>
              <w:t>auditors for 2021;</w:t>
            </w:r>
          </w:p>
        </w:tc>
        <w:tc>
          <w:tcPr>
            <w:tcW w:w="180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5D89B4"/>
            </w:tcBorders>
          </w:tcPr>
          <w:p>
            <w:pPr>
              <w:spacing w:after="0"/>
              <w:rPr>
                <w:sz w:val="8"/>
                <w:szCs w:val="8"/>
                <w:color w:val="auto"/>
              </w:rPr>
            </w:pPr>
          </w:p>
        </w:tc>
        <w:tc>
          <w:tcPr>
            <w:tcW w:w="6220" w:type="dxa"/>
            <w:vAlign w:val="bottom"/>
            <w:tcBorders>
              <w:bottom w:val="single" w:sz="8" w:color="5D89B4"/>
            </w:tcBorders>
          </w:tcPr>
          <w:p>
            <w:pPr>
              <w:spacing w:after="0"/>
              <w:rPr>
                <w:sz w:val="8"/>
                <w:szCs w:val="8"/>
                <w:color w:val="auto"/>
              </w:rPr>
            </w:pPr>
          </w:p>
        </w:tc>
        <w:tc>
          <w:tcPr>
            <w:tcW w:w="1800" w:type="dxa"/>
            <w:vAlign w:val="bottom"/>
            <w:tcBorders>
              <w:bottom w:val="single" w:sz="8" w:color="5D89B4"/>
            </w:tcBorders>
          </w:tcPr>
          <w:p>
            <w:pPr>
              <w:spacing w:after="0"/>
              <w:rPr>
                <w:sz w:val="8"/>
                <w:szCs w:val="8"/>
                <w:color w:val="auto"/>
              </w:rPr>
            </w:pPr>
          </w:p>
        </w:tc>
        <w:tc>
          <w:tcPr>
            <w:tcW w:w="170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3</w:t>
            </w:r>
          </w:p>
        </w:tc>
        <w:tc>
          <w:tcPr>
            <w:tcW w:w="6220" w:type="dxa"/>
            <w:vAlign w:val="bottom"/>
          </w:tcPr>
          <w:p>
            <w:pPr>
              <w:ind w:left="560"/>
              <w:spacing w:after="0"/>
              <w:rPr>
                <w:sz w:val="20"/>
                <w:szCs w:val="20"/>
                <w:color w:val="auto"/>
              </w:rPr>
            </w:pPr>
            <w:r>
              <w:rPr>
                <w:rFonts w:ascii="Arial" w:cs="Arial" w:eastAsia="Arial" w:hAnsi="Arial"/>
                <w:sz w:val="16"/>
                <w:szCs w:val="16"/>
                <w:color w:val="auto"/>
              </w:rPr>
              <w:t>To hold an advisory vote on approval of the compensation of our named</w:t>
            </w:r>
          </w:p>
        </w:tc>
        <w:tc>
          <w:tcPr>
            <w:tcW w:w="1800" w:type="dxa"/>
            <w:vAlign w:val="bottom"/>
            <w:vMerge w:val="restart"/>
          </w:tcPr>
          <w:p>
            <w:pPr>
              <w:ind w:left="560"/>
              <w:spacing w:after="0"/>
              <w:rPr>
                <w:sz w:val="20"/>
                <w:szCs w:val="20"/>
                <w:color w:val="auto"/>
              </w:rPr>
            </w:pPr>
            <w:r>
              <w:rPr>
                <w:rFonts w:ascii="Arial" w:cs="Arial" w:eastAsia="Arial" w:hAnsi="Arial"/>
                <w:sz w:val="15"/>
                <w:szCs w:val="15"/>
                <w:color w:val="auto"/>
              </w:rPr>
              <w:t>FOR</w:t>
            </w:r>
          </w:p>
        </w:tc>
        <w:tc>
          <w:tcPr>
            <w:tcW w:w="1700" w:type="dxa"/>
            <w:vAlign w:val="bottom"/>
            <w:vMerge w:val="restart"/>
          </w:tcPr>
          <w:p>
            <w:pPr>
              <w:jc w:val="right"/>
              <w:ind w:right="54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6220" w:type="dxa"/>
            <w:vAlign w:val="bottom"/>
            <w:vMerge w:val="restart"/>
          </w:tcPr>
          <w:p>
            <w:pPr>
              <w:ind w:left="560"/>
              <w:spacing w:after="0"/>
              <w:rPr>
                <w:sz w:val="20"/>
                <w:szCs w:val="20"/>
                <w:color w:val="auto"/>
              </w:rPr>
            </w:pPr>
            <w:r>
              <w:rPr>
                <w:rFonts w:ascii="Arial" w:cs="Arial" w:eastAsia="Arial" w:hAnsi="Arial"/>
                <w:sz w:val="16"/>
                <w:szCs w:val="16"/>
                <w:color w:val="auto"/>
              </w:rPr>
              <w:t>executive officers; and</w:t>
            </w:r>
          </w:p>
        </w:tc>
        <w:tc>
          <w:tcPr>
            <w:tcW w:w="180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5D89B4"/>
            </w:tcBorders>
          </w:tcPr>
          <w:p>
            <w:pPr>
              <w:spacing w:after="0"/>
              <w:rPr>
                <w:sz w:val="8"/>
                <w:szCs w:val="8"/>
                <w:color w:val="auto"/>
              </w:rPr>
            </w:pPr>
          </w:p>
        </w:tc>
        <w:tc>
          <w:tcPr>
            <w:tcW w:w="6220" w:type="dxa"/>
            <w:vAlign w:val="bottom"/>
            <w:tcBorders>
              <w:bottom w:val="single" w:sz="8" w:color="5D89B4"/>
            </w:tcBorders>
          </w:tcPr>
          <w:p>
            <w:pPr>
              <w:spacing w:after="0"/>
              <w:rPr>
                <w:sz w:val="8"/>
                <w:szCs w:val="8"/>
                <w:color w:val="auto"/>
              </w:rPr>
            </w:pPr>
          </w:p>
        </w:tc>
        <w:tc>
          <w:tcPr>
            <w:tcW w:w="1800" w:type="dxa"/>
            <w:vAlign w:val="bottom"/>
            <w:tcBorders>
              <w:bottom w:val="single" w:sz="8" w:color="5D89B4"/>
            </w:tcBorders>
          </w:tcPr>
          <w:p>
            <w:pPr>
              <w:spacing w:after="0"/>
              <w:rPr>
                <w:sz w:val="8"/>
                <w:szCs w:val="8"/>
                <w:color w:val="auto"/>
              </w:rPr>
            </w:pPr>
          </w:p>
        </w:tc>
        <w:tc>
          <w:tcPr>
            <w:tcW w:w="170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760" w:hanging="1225"/>
        <w:spacing w:after="0"/>
        <w:tabs>
          <w:tab w:leader="none" w:pos="1760" w:val="left"/>
        </w:tabs>
        <w:numPr>
          <w:ilvl w:val="0"/>
          <w:numId w:val="9"/>
        </w:numPr>
        <w:rPr>
          <w:rFonts w:ascii="Arial" w:cs="Arial" w:eastAsia="Arial" w:hAnsi="Arial"/>
          <w:sz w:val="20"/>
          <w:szCs w:val="20"/>
          <w:b w:val="1"/>
          <w:bCs w:val="1"/>
          <w:color w:val="5D89B4"/>
        </w:rPr>
      </w:pPr>
      <w:r>
        <w:rPr>
          <w:rFonts w:ascii="Arial" w:cs="Arial" w:eastAsia="Arial" w:hAnsi="Arial"/>
          <w:sz w:val="16"/>
          <w:szCs w:val="16"/>
          <w:color w:val="auto"/>
        </w:rPr>
        <w:t>To transact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69297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03" w:lineRule="exact"/>
        <w:rPr>
          <w:sz w:val="20"/>
          <w:szCs w:val="20"/>
          <w:color w:val="auto"/>
        </w:rPr>
      </w:pPr>
    </w:p>
    <w:p>
      <w:pPr>
        <w:ind w:right="360"/>
        <w:spacing w:after="0" w:line="237" w:lineRule="auto"/>
        <w:rPr>
          <w:sz w:val="20"/>
          <w:szCs w:val="20"/>
          <w:color w:val="auto"/>
        </w:rPr>
      </w:pPr>
      <w:r>
        <w:rPr>
          <w:rFonts w:ascii="Arial" w:cs="Arial" w:eastAsia="Arial" w:hAnsi="Arial"/>
          <w:sz w:val="15"/>
          <w:szCs w:val="15"/>
          <w:color w:val="auto"/>
        </w:rPr>
        <w:t>Holders of a majority of the outstanding shares must be present in person or by proxy in order for the annual meeting to be held. For purposes of our meeting, people who attend virtually will be considered in-person.</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b w:val="1"/>
          <w:bCs w:val="1"/>
          <w:color w:val="5D89B4"/>
        </w:rPr>
        <w:t>Important Notice Regarding the Availability of Proxy Materials for the Annual Meeting of Shareholders to be held on May 7, 2021</w:t>
      </w:r>
      <w:r>
        <w:rPr>
          <w:rFonts w:ascii="Arial" w:cs="Arial" w:eastAsia="Arial" w:hAnsi="Arial"/>
          <w:sz w:val="16"/>
          <w:szCs w:val="16"/>
          <w:color w:val="5D89B4"/>
        </w:rPr>
        <w:t>: The annual</w:t>
      </w:r>
      <w:r>
        <w:rPr>
          <w:rFonts w:ascii="Arial" w:cs="Arial" w:eastAsia="Arial" w:hAnsi="Arial"/>
          <w:sz w:val="16"/>
          <w:szCs w:val="16"/>
          <w:b w:val="1"/>
          <w:bCs w:val="1"/>
          <w:color w:val="5D89B4"/>
        </w:rPr>
        <w:t xml:space="preserve"> </w:t>
      </w:r>
      <w:r>
        <w:rPr>
          <w:rFonts w:ascii="Arial" w:cs="Arial" w:eastAsia="Arial" w:hAnsi="Arial"/>
          <w:sz w:val="16"/>
          <w:szCs w:val="16"/>
          <w:color w:val="5D89B4"/>
        </w:rPr>
        <w:t>report on Form 10-K and proxy statement of ManpowerGroup are available for review at www.envisionreports.com/MAN.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By Order of the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Richard Buchband, Secretary</w:t>
      </w:r>
    </w:p>
    <w:p>
      <w:pPr>
        <w:spacing w:after="0"/>
        <w:rPr>
          <w:sz w:val="20"/>
          <w:szCs w:val="20"/>
          <w:color w:val="auto"/>
        </w:rPr>
      </w:pPr>
      <w:r>
        <w:rPr>
          <w:rFonts w:ascii="Arial" w:cs="Arial" w:eastAsia="Arial" w:hAnsi="Arial"/>
          <w:sz w:val="15"/>
          <w:szCs w:val="15"/>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2"/>
          <w:szCs w:val="42"/>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6929755" cy="6174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6174105"/>
                    </a:xfrm>
                    <a:prstGeom prst="rect">
                      <a:avLst/>
                    </a:prstGeom>
                    <a:noFill/>
                  </pic:spPr>
                </pic:pic>
              </a:graphicData>
            </a:graphic>
          </wp:anchor>
        </w:drawing>
      </w:r>
    </w:p>
    <w:p>
      <w:pPr>
        <w:sectPr>
          <w:pgSz w:w="11900" w:h="16838" w:orient="portrait"/>
          <w:cols w:equalWidth="0" w:num="1">
            <w:col w:w="10860"/>
          </w:cols>
          <w:pgMar w:left="480" w:top="233" w:right="55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400"/>
        <w:spacing w:after="0"/>
        <w:rPr>
          <w:sz w:val="20"/>
          <w:szCs w:val="20"/>
          <w:color w:val="auto"/>
        </w:rPr>
      </w:pPr>
      <w:r>
        <w:rPr>
          <w:rFonts w:ascii="Arial" w:cs="Arial" w:eastAsia="Arial" w:hAnsi="Arial"/>
          <w:sz w:val="29"/>
          <w:szCs w:val="29"/>
          <w:color w:val="5D89B4"/>
        </w:rPr>
        <w:t>Proxy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8"/>
          <w:szCs w:val="28"/>
          <w:color w:val="5D89B4"/>
        </w:rPr>
        <w:t>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tabs>
          <w:tab w:leader="none" w:pos="6360" w:val="left"/>
        </w:tabs>
        <w:rPr>
          <w:rFonts w:ascii="Arial" w:cs="Arial" w:eastAsia="Arial" w:hAnsi="Arial"/>
          <w:sz w:val="16"/>
          <w:szCs w:val="16"/>
          <w:color w:val="0000EE"/>
        </w:rPr>
      </w:pPr>
      <w:hyperlink w:anchor="page8">
        <w:r>
          <w:rPr>
            <w:rFonts w:ascii="Arial" w:cs="Arial" w:eastAsia="Arial" w:hAnsi="Arial"/>
            <w:sz w:val="16"/>
            <w:szCs w:val="16"/>
            <w:u w:val="single" w:color="auto"/>
            <w:color w:val="0000EE"/>
          </w:rPr>
          <w:t>2021 Proxy Statement Summary</w:t>
        </w:r>
      </w:hyperlink>
      <w:r>
        <w:rPr>
          <w:rFonts w:ascii="Arial" w:cs="Arial" w:eastAsia="Arial" w:hAnsi="Arial"/>
          <w:sz w:val="16"/>
          <w:szCs w:val="16"/>
          <w:color w:val="0000EE"/>
        </w:rPr>
        <w:tab/>
      </w:r>
      <w:r>
        <w:rPr>
          <w:rFonts w:ascii="Arial" w:cs="Arial" w:eastAsia="Arial" w:hAnsi="Arial"/>
          <w:sz w:val="14"/>
          <w:szCs w:val="14"/>
          <w:b w:val="1"/>
          <w:bCs w:val="1"/>
          <w:color w:val="0000EE"/>
        </w:rPr>
        <w:t>i</w:t>
      </w:r>
    </w:p>
    <w:p>
      <w:pPr>
        <w:spacing w:after="0" w:line="699" w:lineRule="exact"/>
        <w:rPr>
          <w:sz w:val="20"/>
          <w:szCs w:val="20"/>
          <w:color w:val="auto"/>
        </w:rPr>
      </w:pPr>
    </w:p>
    <w:p>
      <w:pPr>
        <w:sectPr>
          <w:pgSz w:w="11900" w:h="16838" w:orient="portrait"/>
          <w:cols w:equalWidth="0" w:num="2">
            <w:col w:w="3720" w:space="720"/>
            <w:col w:w="6420"/>
          </w:cols>
          <w:pgMar w:left="480" w:top="233" w:right="559" w:bottom="1440" w:gutter="0" w:footer="0" w:header="0"/>
          <w:type w:val="continuous"/>
        </w:sectPr>
      </w:pPr>
    </w:p>
    <w:p>
      <w:pPr>
        <w:spacing w:after="0" w:line="254" w:lineRule="exact"/>
        <w:rPr>
          <w:sz w:val="20"/>
          <w:szCs w:val="20"/>
          <w:color w:val="auto"/>
        </w:rPr>
      </w:pPr>
    </w:p>
    <w:p>
      <w:pPr>
        <w:jc w:val="both"/>
        <w:ind w:left="1400" w:right="1180" w:hanging="1085"/>
        <w:spacing w:after="0" w:line="181" w:lineRule="auto"/>
        <w:tabs>
          <w:tab w:leader="none" w:pos="1400" w:val="left"/>
        </w:tabs>
        <w:numPr>
          <w:ilvl w:val="0"/>
          <w:numId w:val="10"/>
        </w:numPr>
        <w:rPr>
          <w:rFonts w:ascii="Arial" w:cs="Arial" w:eastAsia="Arial" w:hAnsi="Arial"/>
          <w:sz w:val="54"/>
          <w:szCs w:val="54"/>
          <w:color w:val="5D89B4"/>
          <w:shd w:val="clear" w:color="auto" w:fill="EAEAEA"/>
        </w:rPr>
      </w:pPr>
      <w:r>
        <w:rPr>
          <w:rFonts w:ascii="Arial" w:cs="Arial" w:eastAsia="Arial" w:hAnsi="Arial"/>
          <w:sz w:val="24"/>
          <w:szCs w:val="24"/>
          <w:color w:val="5D89B4"/>
        </w:rPr>
        <w:t>Board of Directors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Director Nominee Biographies</w:t>
              </w:r>
            </w:hyperlink>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67"/>
        </w:trPr>
        <w:tc>
          <w:tcPr>
            <w:tcW w:w="5000" w:type="dxa"/>
            <w:vAlign w:val="bottom"/>
          </w:tcPr>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Composition and Qualifications of Board Members</w:t>
              </w:r>
            </w:hyperlink>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281"/>
        </w:trPr>
        <w:tc>
          <w:tcPr>
            <w:tcW w:w="5000" w:type="dxa"/>
            <w:vAlign w:val="bottom"/>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Board Diversity and Tenure</w:t>
              </w:r>
            </w:hyperlink>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281"/>
        </w:trPr>
        <w:tc>
          <w:tcPr>
            <w:tcW w:w="5000" w:type="dxa"/>
            <w:vAlign w:val="bottom"/>
          </w:tcPr>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Director Compensation for 2020</w:t>
              </w:r>
            </w:hyperlink>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81"/>
        </w:trPr>
        <w:tc>
          <w:tcPr>
            <w:tcW w:w="5000" w:type="dxa"/>
            <w:vAlign w:val="bottom"/>
          </w:tcPr>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Non-Employee Director Stock Ownership Guidelines</w:t>
              </w:r>
            </w:hyperlink>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bl>
    <w:p>
      <w:pPr>
        <w:spacing w:after="0" w:line="200" w:lineRule="exact"/>
        <w:rPr>
          <w:sz w:val="20"/>
          <w:szCs w:val="20"/>
          <w:color w:val="auto"/>
        </w:rPr>
      </w:pPr>
    </w:p>
    <w:p>
      <w:pPr>
        <w:sectPr>
          <w:pgSz w:w="11900" w:h="16838" w:orient="portrait"/>
          <w:cols w:equalWidth="0" w:num="2">
            <w:col w:w="3720" w:space="720"/>
            <w:col w:w="6420"/>
          </w:cols>
          <w:pgMar w:left="480" w:top="233" w:right="559" w:bottom="1440" w:gutter="0" w:footer="0" w:header="0"/>
          <w:type w:val="continuous"/>
        </w:sectPr>
      </w:pPr>
    </w:p>
    <w:p>
      <w:pPr>
        <w:spacing w:after="0" w:line="229" w:lineRule="exact"/>
        <w:rPr>
          <w:sz w:val="20"/>
          <w:szCs w:val="20"/>
          <w:color w:val="auto"/>
        </w:rPr>
      </w:pPr>
    </w:p>
    <w:p>
      <w:pPr>
        <w:ind w:left="1400" w:right="500" w:hanging="1085"/>
        <w:spacing w:after="0" w:line="181" w:lineRule="auto"/>
        <w:tabs>
          <w:tab w:leader="none" w:pos="1400" w:val="left"/>
        </w:tabs>
        <w:numPr>
          <w:ilvl w:val="0"/>
          <w:numId w:val="11"/>
        </w:numPr>
        <w:rPr>
          <w:rFonts w:ascii="Arial" w:cs="Arial" w:eastAsia="Arial" w:hAnsi="Arial"/>
          <w:sz w:val="54"/>
          <w:szCs w:val="54"/>
          <w:color w:val="5D89B4"/>
          <w:shd w:val="clear" w:color="auto" w:fill="EAEAEA"/>
        </w:rPr>
      </w:pPr>
      <w:r>
        <w:rPr>
          <w:rFonts w:ascii="Arial" w:cs="Arial" w:eastAsia="Arial" w:hAnsi="Arial"/>
          <w:sz w:val="24"/>
          <w:szCs w:val="24"/>
          <w:color w:val="5D89B4"/>
        </w:rPr>
        <w:t>Governance &amp; Sustainability</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Board Leadership Structure</w:t>
              </w:r>
            </w:hyperlink>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67"/>
        </w:trPr>
        <w:tc>
          <w:tcPr>
            <w:tcW w:w="502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Board Oversight</w:t>
              </w:r>
            </w:hyperlink>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281"/>
        </w:trPr>
        <w:tc>
          <w:tcPr>
            <w:tcW w:w="5020" w:type="dxa"/>
            <w:vAlign w:val="bottom"/>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Independent Compensation Consultant</w:t>
              </w:r>
            </w:hyperlink>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281"/>
        </w:trPr>
        <w:tc>
          <w:tcPr>
            <w:tcW w:w="5020" w:type="dxa"/>
            <w:vAlign w:val="bottom"/>
          </w:tcPr>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Board Independence and Related Party Transactions</w:t>
              </w:r>
            </w:hyperlink>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281"/>
        </w:trPr>
        <w:tc>
          <w:tcPr>
            <w:tcW w:w="5020" w:type="dxa"/>
            <w:vAlign w:val="bottom"/>
          </w:tcPr>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Meetings and Committees of the Board</w:t>
              </w:r>
            </w:hyperlink>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r>
        <w:trPr>
          <w:trHeight w:val="281"/>
        </w:trPr>
        <w:tc>
          <w:tcPr>
            <w:tcW w:w="5020" w:type="dxa"/>
            <w:vAlign w:val="bottom"/>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Board Effectiveness and Evaluation</w:t>
              </w:r>
            </w:hyperlink>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bl>
    <w:p>
      <w:pPr>
        <w:spacing w:after="0" w:line="200" w:lineRule="exact"/>
        <w:rPr>
          <w:sz w:val="20"/>
          <w:szCs w:val="20"/>
          <w:color w:val="auto"/>
        </w:rPr>
      </w:pPr>
    </w:p>
    <w:p>
      <w:pPr>
        <w:sectPr>
          <w:pgSz w:w="11900" w:h="16838" w:orient="portrait"/>
          <w:cols w:equalWidth="0" w:num="2">
            <w:col w:w="3720" w:space="720"/>
            <w:col w:w="6420"/>
          </w:cols>
          <w:pgMar w:left="480" w:top="233" w:right="559" w:bottom="1440" w:gutter="0" w:footer="0" w:header="0"/>
          <w:type w:val="continuous"/>
        </w:sectPr>
      </w:pPr>
    </w:p>
    <w:p>
      <w:pPr>
        <w:spacing w:after="0" w:line="229" w:lineRule="exact"/>
        <w:rPr>
          <w:sz w:val="20"/>
          <w:szCs w:val="20"/>
          <w:color w:val="auto"/>
        </w:rPr>
      </w:pPr>
    </w:p>
    <w:p>
      <w:pPr>
        <w:ind w:left="1400" w:right="480" w:hanging="1085"/>
        <w:spacing w:after="0" w:line="181" w:lineRule="auto"/>
        <w:tabs>
          <w:tab w:leader="none" w:pos="1400" w:val="left"/>
        </w:tabs>
        <w:numPr>
          <w:ilvl w:val="0"/>
          <w:numId w:val="12"/>
        </w:numPr>
        <w:rPr>
          <w:rFonts w:ascii="Arial" w:cs="Arial" w:eastAsia="Arial" w:hAnsi="Arial"/>
          <w:sz w:val="54"/>
          <w:szCs w:val="54"/>
          <w:color w:val="5D89B4"/>
        </w:rPr>
      </w:pPr>
      <w:r>
        <w:rPr>
          <w:rFonts w:ascii="Arial" w:cs="Arial" w:eastAsia="Arial" w:hAnsi="Arial"/>
          <w:sz w:val="24"/>
          <w:szCs w:val="24"/>
          <w:color w:val="5D89B4"/>
        </w:rPr>
        <w:t>Executive Compensation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5860" w:type="dxa"/>
            <w:vAlign w:val="bottom"/>
            <w:gridSpan w:val="4"/>
          </w:tcPr>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Compensation Discussion and Analysis</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33"/>
        </w:trPr>
        <w:tc>
          <w:tcPr>
            <w:tcW w:w="5860" w:type="dxa"/>
            <w:vAlign w:val="bottom"/>
            <w:gridSpan w:val="4"/>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Report of the Executive Compensation and Human Resources Committee of the</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167"/>
        </w:trPr>
        <w:tc>
          <w:tcPr>
            <w:tcW w:w="5700" w:type="dxa"/>
            <w:vAlign w:val="bottom"/>
            <w:tcBorders>
              <w:top w:val="single" w:sz="8" w:color="0000EE"/>
            </w:tcBorders>
            <w:gridSpan w:val="3"/>
          </w:tcPr>
          <w:p>
            <w:pPr>
              <w:spacing w:after="0" w:line="168" w:lineRule="exact"/>
              <w:rPr>
                <w:rFonts w:ascii="Arial" w:cs="Arial" w:eastAsia="Arial" w:hAnsi="Arial"/>
                <w:sz w:val="16"/>
                <w:szCs w:val="16"/>
                <w:color w:val="0000EE"/>
              </w:rPr>
            </w:pPr>
            <w:hyperlink w:anchor="page59">
              <w:r>
                <w:rPr>
                  <w:rFonts w:ascii="Arial" w:cs="Arial" w:eastAsia="Arial" w:hAnsi="Arial"/>
                  <w:sz w:val="16"/>
                  <w:szCs w:val="16"/>
                  <w:color w:val="0000EE"/>
                </w:rPr>
                <w:t>Board of Directors</w:t>
              </w:r>
            </w:hyperlink>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line="20" w:lineRule="exact"/>
              <w:rPr>
                <w:sz w:val="1"/>
                <w:szCs w:val="1"/>
                <w:color w:val="auto"/>
              </w:rPr>
            </w:pPr>
          </w:p>
        </w:tc>
      </w:tr>
      <w:tr>
        <w:trPr>
          <w:trHeight w:val="261"/>
        </w:trPr>
        <w:tc>
          <w:tcPr>
            <w:tcW w:w="5860" w:type="dxa"/>
            <w:vAlign w:val="bottom"/>
            <w:tcBorders>
              <w:bottom w:val="single" w:sz="8" w:color="0000EE"/>
            </w:tcBorders>
            <w:gridSpan w:val="4"/>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Executive Compensation and Human Resources Committee Interlocks and Insider</w:t>
              </w:r>
            </w:hyperlink>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900" w:type="dxa"/>
            <w:vAlign w:val="bottom"/>
            <w:tcBorders>
              <w:bottom w:val="single" w:sz="8" w:color="0000EE"/>
            </w:tcBorders>
          </w:tcPr>
          <w:p>
            <w:pPr>
              <w:spacing w:after="0" w:line="168" w:lineRule="exact"/>
              <w:rPr>
                <w:rFonts w:ascii="Arial" w:cs="Arial" w:eastAsia="Arial" w:hAnsi="Arial"/>
                <w:sz w:val="16"/>
                <w:szCs w:val="16"/>
                <w:color w:val="0000EE"/>
                <w:w w:val="99"/>
              </w:rPr>
            </w:pPr>
            <w:hyperlink w:anchor="page59">
              <w:r>
                <w:rPr>
                  <w:rFonts w:ascii="Arial" w:cs="Arial" w:eastAsia="Arial" w:hAnsi="Arial"/>
                  <w:sz w:val="16"/>
                  <w:szCs w:val="16"/>
                  <w:color w:val="0000EE"/>
                  <w:w w:val="99"/>
                </w:rPr>
                <w:t>Participation</w:t>
              </w:r>
            </w:hyperlink>
          </w:p>
        </w:tc>
        <w:tc>
          <w:tcPr>
            <w:tcW w:w="496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5860" w:type="dxa"/>
            <w:vAlign w:val="bottom"/>
            <w:gridSpan w:val="4"/>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Compensation Tables</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Summary Compensation Table</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48</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All Other Compensation in 2020</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49</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Grants of Plan-Based Awards in 2020</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50</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Compensation Agreements and Arrangements</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51</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Grants Under the 2011 Equity Incentive Plan</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51</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Outstanding Equity Awards at December 31, 2020</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52</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Option Exercises and Stock Vested in 2020</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54</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Nonqualified Deferred Compensation in 2020</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55</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Termination of Employment and Change of Control Arrangements</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57</w:t>
            </w:r>
          </w:p>
        </w:tc>
        <w:tc>
          <w:tcPr>
            <w:tcW w:w="0" w:type="dxa"/>
            <w:vAlign w:val="bottom"/>
          </w:tcPr>
          <w:p>
            <w:pPr>
              <w:spacing w:after="0"/>
              <w:rPr>
                <w:sz w:val="1"/>
                <w:szCs w:val="1"/>
                <w:color w:val="auto"/>
              </w:rPr>
            </w:pPr>
          </w:p>
        </w:tc>
      </w:tr>
      <w:tr>
        <w:trPr>
          <w:trHeight w:val="241"/>
        </w:trPr>
        <w:tc>
          <w:tcPr>
            <w:tcW w:w="5860" w:type="dxa"/>
            <w:vAlign w:val="bottom"/>
            <w:gridSpan w:val="4"/>
          </w:tcPr>
          <w:p>
            <w:pPr>
              <w:ind w:left="220"/>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Post-Termination and Change of Control Benefits</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5D89B4"/>
              </w:rPr>
              <w:t>60</w:t>
            </w:r>
          </w:p>
        </w:tc>
        <w:tc>
          <w:tcPr>
            <w:tcW w:w="0" w:type="dxa"/>
            <w:vAlign w:val="bottom"/>
          </w:tcPr>
          <w:p>
            <w:pPr>
              <w:spacing w:after="0"/>
              <w:rPr>
                <w:sz w:val="1"/>
                <w:szCs w:val="1"/>
                <w:color w:val="auto"/>
              </w:rPr>
            </w:pPr>
          </w:p>
        </w:tc>
      </w:tr>
      <w:tr>
        <w:trPr>
          <w:trHeight w:val="281"/>
        </w:trPr>
        <w:tc>
          <w:tcPr>
            <w:tcW w:w="5860" w:type="dxa"/>
            <w:vAlign w:val="bottom"/>
            <w:gridSpan w:val="4"/>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Compensation Policies and Practices as They Relate to Risk Management</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81"/>
        </w:trPr>
        <w:tc>
          <w:tcPr>
            <w:tcW w:w="5860" w:type="dxa"/>
            <w:vAlign w:val="bottom"/>
            <w:gridSpan w:val="4"/>
          </w:tcPr>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CEO Pay Ratio</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105410</wp:posOffset>
            </wp:positionV>
            <wp:extent cx="6929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2">
            <w:col w:w="3720" w:space="720"/>
            <w:col w:w="6420"/>
          </w:cols>
          <w:pgMar w:left="480" w:top="233" w:right="5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569"/>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580" w:type="dxa"/>
            <w:vAlign w:val="bottom"/>
            <w:gridSpan w:val="2"/>
          </w:tcPr>
          <w:p>
            <w:pPr>
              <w:jc w:val="right"/>
              <w:spacing w:after="0"/>
              <w:rPr>
                <w:sz w:val="20"/>
                <w:szCs w:val="20"/>
                <w:color w:val="auto"/>
              </w:rPr>
            </w:pPr>
            <w:r>
              <w:rPr>
                <w:rFonts w:ascii="Arial" w:cs="Arial" w:eastAsia="Arial" w:hAnsi="Arial"/>
                <w:sz w:val="43"/>
                <w:szCs w:val="43"/>
                <w:b w:val="1"/>
                <w:bCs w:val="1"/>
                <w:color w:val="5D89B4"/>
              </w:rPr>
              <w:t>2021</w:t>
            </w:r>
          </w:p>
        </w:tc>
        <w:tc>
          <w:tcPr>
            <w:tcW w:w="0" w:type="dxa"/>
            <w:vAlign w:val="bottom"/>
          </w:tcPr>
          <w:p>
            <w:pPr>
              <w:spacing w:after="0"/>
              <w:rPr>
                <w:sz w:val="1"/>
                <w:szCs w:val="1"/>
                <w:color w:val="auto"/>
              </w:rPr>
            </w:pPr>
          </w:p>
        </w:tc>
      </w:tr>
      <w:tr>
        <w:trPr>
          <w:trHeight w:val="66"/>
        </w:trPr>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300" w:type="dxa"/>
            <w:vAlign w:val="bottom"/>
            <w:gridSpan w:val="2"/>
            <w:shd w:val="clear" w:color="auto" w:fill="EAEAEA"/>
          </w:tcPr>
          <w:p>
            <w:pPr>
              <w:jc w:val="right"/>
              <w:spacing w:after="0" w:line="147" w:lineRule="exact"/>
              <w:rPr>
                <w:sz w:val="20"/>
                <w:szCs w:val="20"/>
                <w:color w:val="auto"/>
              </w:rPr>
            </w:pPr>
            <w:r>
              <w:rPr>
                <w:rFonts w:ascii="Arial" w:cs="Arial" w:eastAsia="Arial" w:hAnsi="Arial"/>
                <w:sz w:val="17"/>
                <w:szCs w:val="17"/>
                <w:color w:val="5D89B4"/>
              </w:rPr>
              <w:t>4</w:t>
            </w:r>
          </w:p>
        </w:tc>
        <w:tc>
          <w:tcPr>
            <w:tcW w:w="3040" w:type="dxa"/>
            <w:vAlign w:val="bottom"/>
            <w:shd w:val="clear" w:color="auto" w:fill="EAEAEA"/>
          </w:tcPr>
          <w:p>
            <w:pPr>
              <w:spacing w:after="0"/>
              <w:rPr>
                <w:sz w:val="12"/>
                <w:szCs w:val="12"/>
                <w:color w:val="auto"/>
              </w:rPr>
            </w:pPr>
          </w:p>
        </w:tc>
        <w:tc>
          <w:tcPr>
            <w:tcW w:w="6060" w:type="dxa"/>
            <w:vAlign w:val="bottom"/>
            <w:vMerge w:val="restart"/>
          </w:tcPr>
          <w:p>
            <w:pPr>
              <w:ind w:left="10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Audit Committee Report</w:t>
              </w:r>
            </w:hyperlink>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49"/>
        </w:trPr>
        <w:tc>
          <w:tcPr>
            <w:tcW w:w="200" w:type="dxa"/>
            <w:vAlign w:val="bottom"/>
            <w:shd w:val="clear" w:color="auto" w:fill="EAEAEA"/>
          </w:tcPr>
          <w:p>
            <w:pPr>
              <w:spacing w:after="0"/>
              <w:rPr>
                <w:sz w:val="4"/>
                <w:szCs w:val="4"/>
                <w:color w:val="auto"/>
              </w:rPr>
            </w:pPr>
          </w:p>
        </w:tc>
        <w:tc>
          <w:tcPr>
            <w:tcW w:w="1100" w:type="dxa"/>
            <w:vAlign w:val="bottom"/>
            <w:shd w:val="clear" w:color="auto" w:fill="EAEAEA"/>
          </w:tcPr>
          <w:p>
            <w:pPr>
              <w:spacing w:after="0"/>
              <w:rPr>
                <w:sz w:val="4"/>
                <w:szCs w:val="4"/>
                <w:color w:val="auto"/>
              </w:rPr>
            </w:pPr>
          </w:p>
        </w:tc>
        <w:tc>
          <w:tcPr>
            <w:tcW w:w="3040" w:type="dxa"/>
            <w:vAlign w:val="bottom"/>
            <w:shd w:val="clear" w:color="auto" w:fill="EAEAEA"/>
          </w:tcPr>
          <w:p>
            <w:pPr>
              <w:spacing w:after="0"/>
              <w:rPr>
                <w:sz w:val="4"/>
                <w:szCs w:val="4"/>
                <w:color w:val="auto"/>
              </w:rPr>
            </w:pPr>
          </w:p>
        </w:tc>
        <w:tc>
          <w:tcPr>
            <w:tcW w:w="60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200" w:type="dxa"/>
            <w:vAlign w:val="bottom"/>
            <w:shd w:val="clear" w:color="auto" w:fill="EAEAEA"/>
          </w:tcPr>
          <w:p>
            <w:pPr>
              <w:spacing w:after="0"/>
              <w:rPr>
                <w:sz w:val="24"/>
                <w:szCs w:val="24"/>
                <w:color w:val="auto"/>
              </w:rPr>
            </w:pPr>
          </w:p>
        </w:tc>
        <w:tc>
          <w:tcPr>
            <w:tcW w:w="110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Audit</w:t>
            </w:r>
          </w:p>
        </w:tc>
        <w:tc>
          <w:tcPr>
            <w:tcW w:w="6060" w:type="dxa"/>
            <w:vAlign w:val="bottom"/>
          </w:tcPr>
          <w:p>
            <w:pPr>
              <w:ind w:left="100"/>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Fees Billed by Deloitte &amp; Touche</w:t>
              </w:r>
            </w:hyperlink>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334"/>
        </w:trPr>
        <w:tc>
          <w:tcPr>
            <w:tcW w:w="200" w:type="dxa"/>
            <w:vAlign w:val="bottom"/>
            <w:shd w:val="clear" w:color="auto" w:fill="EAEAEA"/>
          </w:tcPr>
          <w:p>
            <w:pPr>
              <w:spacing w:after="0"/>
              <w:rPr>
                <w:sz w:val="24"/>
                <w:szCs w:val="24"/>
                <w:color w:val="auto"/>
              </w:rPr>
            </w:pPr>
          </w:p>
        </w:tc>
        <w:tc>
          <w:tcPr>
            <w:tcW w:w="110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Committee</w:t>
            </w:r>
          </w:p>
        </w:tc>
        <w:tc>
          <w:tcPr>
            <w:tcW w:w="6060" w:type="dxa"/>
            <w:vAlign w:val="bottom"/>
          </w:tcPr>
          <w:p>
            <w:pPr>
              <w:ind w:left="100"/>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Independent Auditor Services Policy</w:t>
              </w:r>
            </w:hyperlink>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92"/>
        </w:trPr>
        <w:tc>
          <w:tcPr>
            <w:tcW w:w="200" w:type="dxa"/>
            <w:vAlign w:val="bottom"/>
            <w:shd w:val="clear" w:color="auto" w:fill="EAEAEA"/>
          </w:tcPr>
          <w:p>
            <w:pPr>
              <w:spacing w:after="0"/>
              <w:rPr>
                <w:sz w:val="8"/>
                <w:szCs w:val="8"/>
                <w:color w:val="auto"/>
              </w:rPr>
            </w:pPr>
          </w:p>
        </w:tc>
        <w:tc>
          <w:tcPr>
            <w:tcW w:w="1100" w:type="dxa"/>
            <w:vAlign w:val="bottom"/>
            <w:shd w:val="clear" w:color="auto" w:fill="EAEAEA"/>
          </w:tcPr>
          <w:p>
            <w:pPr>
              <w:spacing w:after="0"/>
              <w:rPr>
                <w:sz w:val="8"/>
                <w:szCs w:val="8"/>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Matters</w:t>
            </w:r>
          </w:p>
        </w:tc>
        <w:tc>
          <w:tcPr>
            <w:tcW w:w="60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0" w:type="dxa"/>
            <w:vAlign w:val="bottom"/>
            <w:tcBorders>
              <w:bottom w:val="single" w:sz="8" w:color="EAEAEA"/>
            </w:tcBorders>
            <w:shd w:val="clear" w:color="auto" w:fill="EAEAEA"/>
          </w:tcPr>
          <w:p>
            <w:pPr>
              <w:spacing w:after="0"/>
              <w:rPr>
                <w:sz w:val="23"/>
                <w:szCs w:val="23"/>
                <w:color w:val="auto"/>
              </w:rPr>
            </w:pPr>
          </w:p>
        </w:tc>
        <w:tc>
          <w:tcPr>
            <w:tcW w:w="1100" w:type="dxa"/>
            <w:vAlign w:val="bottom"/>
            <w:tcBorders>
              <w:bottom w:val="single" w:sz="8" w:color="EAEAEA"/>
            </w:tcBorders>
            <w:shd w:val="clear" w:color="auto" w:fill="EAEAEA"/>
          </w:tcPr>
          <w:p>
            <w:pPr>
              <w:spacing w:after="0"/>
              <w:rPr>
                <w:sz w:val="23"/>
                <w:szCs w:val="23"/>
                <w:color w:val="auto"/>
              </w:rPr>
            </w:pPr>
          </w:p>
        </w:tc>
        <w:tc>
          <w:tcPr>
            <w:tcW w:w="3040" w:type="dxa"/>
            <w:vAlign w:val="bottom"/>
            <w:tcBorders>
              <w:bottom w:val="single" w:sz="8" w:color="EAEAEA"/>
            </w:tcBorders>
            <w:vMerge w:val="continue"/>
            <w:shd w:val="clear" w:color="auto" w:fill="EAEAEA"/>
          </w:tcPr>
          <w:p>
            <w:pPr>
              <w:spacing w:after="0"/>
              <w:rPr>
                <w:sz w:val="23"/>
                <w:szCs w:val="23"/>
                <w:color w:val="auto"/>
              </w:rPr>
            </w:pPr>
          </w:p>
        </w:tc>
        <w:tc>
          <w:tcPr>
            <w:tcW w:w="6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100" w:type="dxa"/>
            <w:vAlign w:val="bottom"/>
            <w:tcBorders>
              <w:bottom w:val="single" w:sz="8" w:color="5D89B4"/>
            </w:tcBorders>
            <w:shd w:val="clear" w:color="auto" w:fill="EAEAEA"/>
          </w:tcPr>
          <w:p>
            <w:pPr>
              <w:spacing w:after="0"/>
              <w:rPr>
                <w:sz w:val="16"/>
                <w:szCs w:val="16"/>
                <w:color w:val="auto"/>
              </w:rPr>
            </w:pPr>
          </w:p>
        </w:tc>
        <w:tc>
          <w:tcPr>
            <w:tcW w:w="3040" w:type="dxa"/>
            <w:vAlign w:val="bottom"/>
            <w:tcBorders>
              <w:bottom w:val="single" w:sz="8" w:color="5D89B4"/>
            </w:tcBorders>
            <w:shd w:val="clear" w:color="auto" w:fill="EAEAEA"/>
          </w:tcPr>
          <w:p>
            <w:pPr>
              <w:spacing w:after="0"/>
              <w:rPr>
                <w:sz w:val="16"/>
                <w:szCs w:val="16"/>
                <w:color w:val="auto"/>
              </w:rPr>
            </w:pPr>
          </w:p>
        </w:tc>
        <w:tc>
          <w:tcPr>
            <w:tcW w:w="606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100" w:type="dxa"/>
            <w:vAlign w:val="bottom"/>
            <w:shd w:val="clear" w:color="auto" w:fill="EAEAEA"/>
          </w:tcPr>
          <w:p>
            <w:pPr>
              <w:jc w:val="right"/>
              <w:spacing w:after="0" w:line="194" w:lineRule="exact"/>
              <w:rPr>
                <w:sz w:val="20"/>
                <w:szCs w:val="20"/>
                <w:color w:val="auto"/>
              </w:rPr>
            </w:pPr>
            <w:r>
              <w:rPr>
                <w:rFonts w:ascii="Arial" w:cs="Arial" w:eastAsia="Arial" w:hAnsi="Arial"/>
                <w:sz w:val="22"/>
                <w:szCs w:val="22"/>
                <w:color w:val="5D89B4"/>
                <w:shd w:val="clear" w:color="auto" w:fill="EAEAEA"/>
              </w:rPr>
              <w:t>5</w:t>
            </w: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Information</w:t>
            </w:r>
          </w:p>
        </w:tc>
        <w:tc>
          <w:tcPr>
            <w:tcW w:w="6060" w:type="dxa"/>
            <w:vAlign w:val="bottom"/>
            <w:vMerge w:val="restart"/>
          </w:tcPr>
          <w:p>
            <w:pPr>
              <w:ind w:left="100"/>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Security Ownership of Certain Beneficial Owners</w:t>
              </w:r>
            </w:hyperlink>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147"/>
        </w:trPr>
        <w:tc>
          <w:tcPr>
            <w:tcW w:w="200" w:type="dxa"/>
            <w:vAlign w:val="bottom"/>
          </w:tcPr>
          <w:p>
            <w:pPr>
              <w:spacing w:after="0"/>
              <w:rPr>
                <w:sz w:val="12"/>
                <w:szCs w:val="12"/>
                <w:color w:val="auto"/>
              </w:rPr>
            </w:pPr>
          </w:p>
        </w:tc>
        <w:tc>
          <w:tcPr>
            <w:tcW w:w="1100" w:type="dxa"/>
            <w:vAlign w:val="bottom"/>
            <w:shd w:val="clear" w:color="auto" w:fill="EAEAEA"/>
          </w:tcPr>
          <w:p>
            <w:pPr>
              <w:spacing w:after="0"/>
              <w:rPr>
                <w:sz w:val="12"/>
                <w:szCs w:val="12"/>
                <w:color w:val="auto"/>
              </w:rPr>
            </w:pPr>
          </w:p>
        </w:tc>
        <w:tc>
          <w:tcPr>
            <w:tcW w:w="3040" w:type="dxa"/>
            <w:vAlign w:val="bottom"/>
            <w:vMerge w:val="continue"/>
            <w:shd w:val="clear" w:color="auto" w:fill="EAEAEA"/>
          </w:tcPr>
          <w:p>
            <w:pPr>
              <w:spacing w:after="0"/>
              <w:rPr>
                <w:sz w:val="12"/>
                <w:szCs w:val="12"/>
                <w:color w:val="auto"/>
              </w:rPr>
            </w:pPr>
          </w:p>
        </w:tc>
        <w:tc>
          <w:tcPr>
            <w:tcW w:w="60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1100" w:type="dxa"/>
            <w:vAlign w:val="bottom"/>
            <w:shd w:val="clear" w:color="auto" w:fill="EAEAEA"/>
          </w:tcPr>
          <w:p>
            <w:pPr>
              <w:spacing w:after="0"/>
              <w:rPr>
                <w:sz w:val="4"/>
                <w:szCs w:val="4"/>
                <w:color w:val="auto"/>
              </w:rPr>
            </w:pPr>
          </w:p>
        </w:tc>
        <w:tc>
          <w:tcPr>
            <w:tcW w:w="3040" w:type="dxa"/>
            <w:vAlign w:val="bottom"/>
            <w:shd w:val="clear" w:color="auto" w:fill="EAEAEA"/>
          </w:tcPr>
          <w:p>
            <w:pPr>
              <w:spacing w:after="0"/>
              <w:rPr>
                <w:sz w:val="4"/>
                <w:szCs w:val="4"/>
                <w:color w:val="auto"/>
              </w:rPr>
            </w:pPr>
          </w:p>
        </w:tc>
        <w:tc>
          <w:tcPr>
            <w:tcW w:w="60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0" w:type="dxa"/>
            <w:vAlign w:val="bottom"/>
          </w:tcPr>
          <w:p>
            <w:pPr>
              <w:spacing w:after="0"/>
              <w:rPr>
                <w:sz w:val="23"/>
                <w:szCs w:val="23"/>
                <w:color w:val="auto"/>
              </w:rPr>
            </w:pPr>
          </w:p>
        </w:tc>
        <w:tc>
          <w:tcPr>
            <w:tcW w:w="1100" w:type="dxa"/>
            <w:vAlign w:val="bottom"/>
            <w:shd w:val="clear" w:color="auto" w:fill="EAEAEA"/>
          </w:tcPr>
          <w:p>
            <w:pPr>
              <w:spacing w:after="0"/>
              <w:rPr>
                <w:sz w:val="23"/>
                <w:szCs w:val="23"/>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About Stock</w:t>
            </w:r>
          </w:p>
        </w:tc>
        <w:tc>
          <w:tcPr>
            <w:tcW w:w="6060" w:type="dxa"/>
            <w:vAlign w:val="bottom"/>
          </w:tcPr>
          <w:p>
            <w:pPr>
              <w:ind w:left="10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Beneficial Ownership of Directors and Executive Officers</w:t>
              </w:r>
            </w:hyperlink>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100" w:type="dxa"/>
            <w:vAlign w:val="bottom"/>
            <w:shd w:val="clear" w:color="auto" w:fill="EAEAEA"/>
          </w:tcPr>
          <w:p>
            <w:pPr>
              <w:spacing w:after="0"/>
              <w:rPr>
                <w:sz w:val="17"/>
                <w:szCs w:val="17"/>
                <w:color w:val="auto"/>
              </w:rPr>
            </w:pPr>
          </w:p>
        </w:tc>
        <w:tc>
          <w:tcPr>
            <w:tcW w:w="3040" w:type="dxa"/>
            <w:vAlign w:val="bottom"/>
            <w:vMerge w:val="continue"/>
            <w:shd w:val="clear" w:color="auto" w:fill="EAEAEA"/>
          </w:tcPr>
          <w:p>
            <w:pPr>
              <w:spacing w:after="0"/>
              <w:rPr>
                <w:sz w:val="17"/>
                <w:szCs w:val="17"/>
                <w:color w:val="auto"/>
              </w:rPr>
            </w:pPr>
          </w:p>
        </w:tc>
        <w:tc>
          <w:tcPr>
            <w:tcW w:w="6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0" w:type="dxa"/>
            <w:vAlign w:val="bottom"/>
          </w:tcPr>
          <w:p>
            <w:pPr>
              <w:spacing w:after="0"/>
              <w:rPr>
                <w:sz w:val="24"/>
                <w:szCs w:val="24"/>
                <w:color w:val="auto"/>
              </w:rPr>
            </w:pPr>
          </w:p>
        </w:tc>
        <w:tc>
          <w:tcPr>
            <w:tcW w:w="110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Ownership</w:t>
            </w:r>
          </w:p>
        </w:tc>
        <w:tc>
          <w:tcPr>
            <w:tcW w:w="6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1100" w:type="dxa"/>
            <w:vAlign w:val="bottom"/>
            <w:tcBorders>
              <w:bottom w:val="single" w:sz="8" w:color="5D89B4"/>
            </w:tcBorders>
            <w:shd w:val="clear" w:color="auto" w:fill="EAEAEA"/>
          </w:tcPr>
          <w:p>
            <w:pPr>
              <w:spacing w:after="0"/>
              <w:rPr>
                <w:sz w:val="20"/>
                <w:szCs w:val="20"/>
                <w:color w:val="auto"/>
              </w:rPr>
            </w:pPr>
          </w:p>
        </w:tc>
        <w:tc>
          <w:tcPr>
            <w:tcW w:w="3040" w:type="dxa"/>
            <w:vAlign w:val="bottom"/>
            <w:tcBorders>
              <w:bottom w:val="single" w:sz="8" w:color="5D89B4"/>
            </w:tcBorders>
            <w:shd w:val="clear" w:color="auto" w:fill="EAEAEA"/>
          </w:tcPr>
          <w:p>
            <w:pPr>
              <w:spacing w:after="0"/>
              <w:rPr>
                <w:sz w:val="20"/>
                <w:szCs w:val="20"/>
                <w:color w:val="auto"/>
              </w:rPr>
            </w:pPr>
          </w:p>
        </w:tc>
        <w:tc>
          <w:tcPr>
            <w:tcW w:w="6060" w:type="dxa"/>
            <w:vAlign w:val="bottom"/>
            <w:tcBorders>
              <w:bottom w:val="single" w:sz="8" w:color="5D89B4"/>
            </w:tcBorders>
          </w:tcPr>
          <w:p>
            <w:pPr>
              <w:spacing w:after="0"/>
              <w:rPr>
                <w:sz w:val="20"/>
                <w:szCs w:val="20"/>
                <w:color w:val="auto"/>
              </w:rPr>
            </w:pPr>
          </w:p>
        </w:tc>
        <w:tc>
          <w:tcPr>
            <w:tcW w:w="520" w:type="dxa"/>
            <w:vAlign w:val="bottom"/>
            <w:tcBorders>
              <w:bottom w:val="single" w:sz="8" w:color="5D89B4"/>
            </w:tcBorders>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4"/>
                <w:szCs w:val="24"/>
                <w:color w:val="auto"/>
              </w:rPr>
            </w:pPr>
          </w:p>
        </w:tc>
        <w:tc>
          <w:tcPr>
            <w:tcW w:w="1100" w:type="dxa"/>
            <w:vAlign w:val="bottom"/>
            <w:vMerge w:val="restart"/>
            <w:shd w:val="clear" w:color="auto" w:fill="EAEAEA"/>
          </w:tcPr>
          <w:p>
            <w:pPr>
              <w:jc w:val="right"/>
              <w:spacing w:after="0" w:line="1530" w:lineRule="exact"/>
              <w:rPr>
                <w:sz w:val="20"/>
                <w:szCs w:val="20"/>
                <w:color w:val="auto"/>
              </w:rPr>
            </w:pPr>
            <w:r>
              <w:rPr>
                <w:rFonts w:ascii="Arial" w:cs="Arial" w:eastAsia="Arial" w:hAnsi="Arial"/>
                <w:sz w:val="137"/>
                <w:szCs w:val="137"/>
                <w:color w:val="5D89B4"/>
                <w:shd w:val="clear" w:color="auto" w:fill="EAEAEA"/>
              </w:rPr>
              <w:t>6</w:t>
            </w: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Proposals to</w:t>
            </w:r>
          </w:p>
        </w:tc>
        <w:tc>
          <w:tcPr>
            <w:tcW w:w="6060" w:type="dxa"/>
            <w:vAlign w:val="bottom"/>
            <w:vMerge w:val="restart"/>
          </w:tcPr>
          <w:p>
            <w:pPr>
              <w:ind w:left="10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1: Election of Directors</w:t>
              </w:r>
            </w:hyperlink>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1100" w:type="dxa"/>
            <w:vAlign w:val="bottom"/>
            <w:vMerge w:val="continue"/>
            <w:shd w:val="clear" w:color="auto" w:fill="EAEAEA"/>
          </w:tcPr>
          <w:p>
            <w:pPr>
              <w:spacing w:after="0"/>
              <w:rPr>
                <w:sz w:val="4"/>
                <w:szCs w:val="4"/>
                <w:color w:val="auto"/>
              </w:rPr>
            </w:pPr>
          </w:p>
        </w:tc>
        <w:tc>
          <w:tcPr>
            <w:tcW w:w="3040" w:type="dxa"/>
            <w:vAlign w:val="bottom"/>
            <w:shd w:val="clear" w:color="auto" w:fill="EAEAEA"/>
          </w:tcPr>
          <w:p>
            <w:pPr>
              <w:spacing w:after="0"/>
              <w:rPr>
                <w:sz w:val="4"/>
                <w:szCs w:val="4"/>
                <w:color w:val="auto"/>
              </w:rPr>
            </w:pPr>
          </w:p>
        </w:tc>
        <w:tc>
          <w:tcPr>
            <w:tcW w:w="60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0" w:type="dxa"/>
            <w:vAlign w:val="bottom"/>
          </w:tcPr>
          <w:p>
            <w:pPr>
              <w:spacing w:after="0"/>
              <w:rPr>
                <w:sz w:val="23"/>
                <w:szCs w:val="23"/>
                <w:color w:val="auto"/>
              </w:rPr>
            </w:pPr>
          </w:p>
        </w:tc>
        <w:tc>
          <w:tcPr>
            <w:tcW w:w="1100" w:type="dxa"/>
            <w:vAlign w:val="bottom"/>
            <w:vMerge w:val="continue"/>
            <w:shd w:val="clear" w:color="auto" w:fill="EAEAEA"/>
          </w:tcPr>
          <w:p>
            <w:pPr>
              <w:spacing w:after="0"/>
              <w:rPr>
                <w:sz w:val="23"/>
                <w:szCs w:val="23"/>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be Voted on</w:t>
            </w:r>
          </w:p>
        </w:tc>
        <w:tc>
          <w:tcPr>
            <w:tcW w:w="6060" w:type="dxa"/>
            <w:vAlign w:val="bottom"/>
          </w:tcPr>
          <w:p>
            <w:pPr>
              <w:ind w:left="100"/>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2: Ratification of Independent Auditors</w:t>
              </w:r>
            </w:hyperlink>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100" w:type="dxa"/>
            <w:vAlign w:val="bottom"/>
            <w:vMerge w:val="continue"/>
            <w:shd w:val="clear" w:color="auto" w:fill="EAEAEA"/>
          </w:tcPr>
          <w:p>
            <w:pPr>
              <w:spacing w:after="0"/>
              <w:rPr>
                <w:sz w:val="17"/>
                <w:szCs w:val="17"/>
                <w:color w:val="auto"/>
              </w:rPr>
            </w:pPr>
          </w:p>
        </w:tc>
        <w:tc>
          <w:tcPr>
            <w:tcW w:w="3040" w:type="dxa"/>
            <w:vAlign w:val="bottom"/>
            <w:vMerge w:val="continue"/>
            <w:shd w:val="clear" w:color="auto" w:fill="EAEAEA"/>
          </w:tcPr>
          <w:p>
            <w:pPr>
              <w:spacing w:after="0"/>
              <w:rPr>
                <w:sz w:val="17"/>
                <w:szCs w:val="17"/>
                <w:color w:val="auto"/>
              </w:rPr>
            </w:pPr>
          </w:p>
        </w:tc>
        <w:tc>
          <w:tcPr>
            <w:tcW w:w="6060" w:type="dxa"/>
            <w:vAlign w:val="bottom"/>
            <w:vMerge w:val="restart"/>
          </w:tcPr>
          <w:p>
            <w:pPr>
              <w:ind w:left="10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3: Advisory Vote on Approval of the Compensation of Named Executive Officers</w:t>
              </w:r>
            </w:hyperlink>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79"/>
        </w:trPr>
        <w:tc>
          <w:tcPr>
            <w:tcW w:w="200" w:type="dxa"/>
            <w:vAlign w:val="bottom"/>
          </w:tcPr>
          <w:p>
            <w:pPr>
              <w:spacing w:after="0"/>
              <w:rPr>
                <w:sz w:val="6"/>
                <w:szCs w:val="6"/>
                <w:color w:val="auto"/>
              </w:rPr>
            </w:pPr>
          </w:p>
        </w:tc>
        <w:tc>
          <w:tcPr>
            <w:tcW w:w="1100" w:type="dxa"/>
            <w:vAlign w:val="bottom"/>
            <w:vMerge w:val="continue"/>
            <w:shd w:val="clear" w:color="auto" w:fill="EAEAEA"/>
          </w:tcPr>
          <w:p>
            <w:pPr>
              <w:spacing w:after="0"/>
              <w:rPr>
                <w:sz w:val="6"/>
                <w:szCs w:val="6"/>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During the</w:t>
            </w:r>
          </w:p>
        </w:tc>
        <w:tc>
          <w:tcPr>
            <w:tcW w:w="60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0" w:type="dxa"/>
            <w:vAlign w:val="bottom"/>
          </w:tcPr>
          <w:p>
            <w:pPr>
              <w:spacing w:after="0"/>
              <w:rPr>
                <w:sz w:val="22"/>
                <w:szCs w:val="22"/>
                <w:color w:val="auto"/>
              </w:rPr>
            </w:pPr>
          </w:p>
        </w:tc>
        <w:tc>
          <w:tcPr>
            <w:tcW w:w="1100" w:type="dxa"/>
            <w:vAlign w:val="bottom"/>
            <w:vMerge w:val="continue"/>
            <w:shd w:val="clear" w:color="auto" w:fill="EAEAEA"/>
          </w:tcPr>
          <w:p>
            <w:pPr>
              <w:spacing w:after="0"/>
              <w:rPr>
                <w:sz w:val="22"/>
                <w:szCs w:val="22"/>
                <w:color w:val="auto"/>
              </w:rPr>
            </w:pPr>
          </w:p>
        </w:tc>
        <w:tc>
          <w:tcPr>
            <w:tcW w:w="3040" w:type="dxa"/>
            <w:vAlign w:val="bottom"/>
            <w:vMerge w:val="continue"/>
            <w:shd w:val="clear" w:color="auto" w:fill="EAEAEA"/>
          </w:tcPr>
          <w:p>
            <w:pPr>
              <w:spacing w:after="0"/>
              <w:rPr>
                <w:sz w:val="22"/>
                <w:szCs w:val="22"/>
                <w:color w:val="auto"/>
              </w:rPr>
            </w:pPr>
          </w:p>
        </w:tc>
        <w:tc>
          <w:tcPr>
            <w:tcW w:w="6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1100" w:type="dxa"/>
            <w:vAlign w:val="bottom"/>
            <w:vMerge w:val="continue"/>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Meeting</w:t>
            </w:r>
          </w:p>
        </w:tc>
        <w:tc>
          <w:tcPr>
            <w:tcW w:w="6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40" w:type="dxa"/>
            <w:vAlign w:val="bottom"/>
            <w:shd w:val="clear" w:color="auto" w:fill="EAEAEA"/>
          </w:tcPr>
          <w:p>
            <w:pPr>
              <w:spacing w:after="0"/>
              <w:rPr>
                <w:sz w:val="2"/>
                <w:szCs w:val="2"/>
                <w:color w:val="auto"/>
              </w:rPr>
            </w:pPr>
          </w:p>
        </w:tc>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-2835910</wp:posOffset>
            </wp:positionV>
            <wp:extent cx="6929755" cy="5630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563054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p>
      <w:pPr>
        <w:spacing w:after="0" w:line="397" w:lineRule="exact"/>
        <w:rPr>
          <w:sz w:val="20"/>
          <w:szCs w:val="20"/>
          <w:color w:val="auto"/>
        </w:rPr>
      </w:pPr>
    </w:p>
    <w:p>
      <w:pPr>
        <w:ind w:left="1400" w:right="900" w:hanging="1085"/>
        <w:spacing w:after="0" w:line="180" w:lineRule="auto"/>
        <w:tabs>
          <w:tab w:leader="none" w:pos="1400" w:val="left"/>
        </w:tabs>
        <w:numPr>
          <w:ilvl w:val="0"/>
          <w:numId w:val="13"/>
        </w:numPr>
        <w:rPr>
          <w:rFonts w:ascii="Arial" w:cs="Arial" w:eastAsia="Arial" w:hAnsi="Arial"/>
          <w:sz w:val="67"/>
          <w:szCs w:val="67"/>
          <w:color w:val="5D89B4"/>
        </w:rPr>
      </w:pPr>
      <w:r>
        <w:rPr>
          <w:rFonts w:ascii="Arial" w:cs="Arial" w:eastAsia="Arial" w:hAnsi="Arial"/>
          <w:sz w:val="25"/>
          <w:szCs w:val="25"/>
          <w:color w:val="5D89B4"/>
        </w:rPr>
        <w:t>Information About the Meeting</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Date, Time and Place of Meeting</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78</w:t>
            </w:r>
          </w:p>
        </w:tc>
      </w:tr>
      <w:tr>
        <w:trPr>
          <w:trHeight w:val="267"/>
        </w:trPr>
        <w:tc>
          <w:tcPr>
            <w:tcW w:w="4700" w:type="dxa"/>
            <w:vAlign w:val="bottom"/>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Proxy Materials are Available on the Internet</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78</w:t>
            </w:r>
          </w:p>
        </w:tc>
      </w:tr>
      <w:tr>
        <w:trPr>
          <w:trHeight w:val="281"/>
        </w:trPr>
        <w:tc>
          <w:tcPr>
            <w:tcW w:w="4700" w:type="dxa"/>
            <w:vAlign w:val="bottom"/>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Participating in the Annual Meeting</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78</w:t>
            </w:r>
          </w:p>
        </w:tc>
      </w:tr>
      <w:tr>
        <w:trPr>
          <w:trHeight w:val="281"/>
        </w:trPr>
        <w:tc>
          <w:tcPr>
            <w:tcW w:w="4700" w:type="dxa"/>
            <w:vAlign w:val="bottom"/>
          </w:tcPr>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Soliciting Proxies</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r>
        <w:trPr>
          <w:trHeight w:val="281"/>
        </w:trPr>
        <w:tc>
          <w:tcPr>
            <w:tcW w:w="4700" w:type="dxa"/>
            <w:vAlign w:val="bottom"/>
          </w:tcPr>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Vote Required and Voting Standards</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r>
        <w:trPr>
          <w:trHeight w:val="281"/>
        </w:trPr>
        <w:tc>
          <w:tcPr>
            <w:tcW w:w="4700" w:type="dxa"/>
            <w:vAlign w:val="bottom"/>
          </w:tcPr>
          <w:p>
            <w:pPr>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Corporate Governance Documents</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80</w:t>
            </w:r>
          </w:p>
        </w:tc>
      </w:tr>
      <w:tr>
        <w:trPr>
          <w:trHeight w:val="281"/>
        </w:trPr>
        <w:tc>
          <w:tcPr>
            <w:tcW w:w="4700" w:type="dxa"/>
            <w:vAlign w:val="bottom"/>
          </w:tcPr>
          <w:p>
            <w:pPr>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Submission of Shareholder Proposals</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r>
        <w:trPr>
          <w:trHeight w:val="281"/>
        </w:trPr>
        <w:tc>
          <w:tcPr>
            <w:tcW w:w="4700" w:type="dxa"/>
            <w:vAlign w:val="bottom"/>
          </w:tcPr>
          <w:p>
            <w:pPr>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Other Voting Information</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r>
        <w:trPr>
          <w:trHeight w:val="281"/>
        </w:trPr>
        <w:tc>
          <w:tcPr>
            <w:tcW w:w="4700" w:type="dxa"/>
            <w:vAlign w:val="bottom"/>
          </w:tcPr>
          <w:p>
            <w:pPr>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Other Matters</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bl>
    <w:p>
      <w:pPr>
        <w:spacing w:after="0" w:line="200" w:lineRule="exact"/>
        <w:rPr>
          <w:sz w:val="20"/>
          <w:szCs w:val="20"/>
          <w:color w:val="auto"/>
        </w:rPr>
      </w:pPr>
    </w:p>
    <w:p>
      <w:pPr>
        <w:sectPr>
          <w:pgSz w:w="11900" w:h="16838" w:orient="portrait"/>
          <w:cols w:equalWidth="0" w:num="2">
            <w:col w:w="3720" w:space="720"/>
            <w:col w:w="6480"/>
          </w:cols>
          <w:pgMar w:left="480" w:top="23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rFonts w:ascii="Arial" w:cs="Arial" w:eastAsia="Arial" w:hAnsi="Arial"/>
          <w:sz w:val="24"/>
          <w:szCs w:val="24"/>
          <w:b w:val="1"/>
          <w:bCs w:val="1"/>
          <w:color w:val="0000EE"/>
        </w:rPr>
      </w:pPr>
      <w:hyperlink w:anchor="page94">
        <w:r>
          <w:rPr>
            <w:rFonts w:ascii="Arial" w:cs="Arial" w:eastAsia="Arial" w:hAnsi="Arial"/>
            <w:sz w:val="24"/>
            <w:szCs w:val="24"/>
            <w:b w:val="1"/>
            <w:bCs w:val="1"/>
            <w:u w:val="single" w:color="auto"/>
            <w:color w:val="0000EE"/>
          </w:rPr>
          <w:t xml:space="preserve">Appendix A </w:t>
        </w:r>
      </w:hyperlink>
      <w:r>
        <w:rPr>
          <w:rFonts w:ascii="Arial" w:cs="Arial" w:eastAsia="Arial" w:hAnsi="Arial"/>
          <w:sz w:val="1"/>
          <w:szCs w:val="1"/>
          <w:b w:val="1"/>
          <w:bCs w:val="1"/>
          <w:color w:val="0000EE"/>
        </w:rPr>
        <w:drawing>
          <wp:inline distT="0" distB="0" distL="0" distR="0">
            <wp:extent cx="1027430" cy="508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7430" cy="50800"/>
                    </a:xfrm>
                    <a:prstGeom prst="rect">
                      <a:avLst/>
                    </a:prstGeom>
                    <a:noFill/>
                    <a:ln>
                      <a:noFill/>
                    </a:ln>
                  </pic:spPr>
                </pic:pic>
              </a:graphicData>
            </a:graphic>
          </wp:inline>
        </w:drawing>
      </w:r>
      <w:r>
        <w:rPr>
          <w:rFonts w:ascii="Arial" w:cs="Arial" w:eastAsia="Arial" w:hAnsi="Arial"/>
          <w:sz w:val="24"/>
          <w:szCs w:val="24"/>
          <w:b w:val="1"/>
          <w:bCs w:val="1"/>
          <w:color w:val="5D89B4"/>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1"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5D89B4"/>
        </w:rPr>
        <w:t>This summary highlights information contained in the proxy statement, which is first being made available to shareholders on or about March 11, 2021. This summary does not contain all the information you should consider. We encourage you to read the entire proxy statement before voting. For information regarding ManpowerGroup’s 2020 performance, please read ManpowerGroup’s 2020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Board of Directors Nominees</w:t>
      </w:r>
    </w:p>
    <w:p>
      <w:pPr>
        <w:spacing w:after="0" w:line="99" w:lineRule="exact"/>
        <w:rPr>
          <w:sz w:val="20"/>
          <w:szCs w:val="20"/>
          <w:color w:val="auto"/>
        </w:rPr>
      </w:pPr>
    </w:p>
    <w:p>
      <w:pPr>
        <w:ind w:right="200"/>
        <w:spacing w:after="0" w:line="230" w:lineRule="auto"/>
        <w:rPr>
          <w:sz w:val="20"/>
          <w:szCs w:val="20"/>
          <w:color w:val="auto"/>
        </w:rPr>
      </w:pPr>
      <w:r>
        <w:rPr>
          <w:rFonts w:ascii="Arial" w:cs="Arial" w:eastAsia="Arial" w:hAnsi="Arial"/>
          <w:sz w:val="15"/>
          <w:szCs w:val="15"/>
          <w:color w:val="auto"/>
        </w:rPr>
        <w:t>The following table provides summary information about each of the 12 director nominees. Each director is elected annually by a majority of votes cast. Jean-Philippe Courtois and William P. Gipson were appointed to the board of directors effective December 14, 2020. In accordance with the Company’s corporate governance guidelines regarding retirement, Cari M. Dominguez is retiring from the board of directors effective May 7, 2021 and will therefore not be seeking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219075</wp:posOffset>
            </wp:positionV>
            <wp:extent cx="526415" cy="186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415" cy="186690"/>
                    </a:xfrm>
                    <a:prstGeom prst="rect">
                      <a:avLst/>
                    </a:prstGeom>
                    <a:noFill/>
                  </pic:spPr>
                </pic:pic>
              </a:graphicData>
            </a:graphic>
          </wp:anchor>
        </w:drawing>
      </w:r>
    </w:p>
    <w:p>
      <w:pPr>
        <w:spacing w:after="0" w:line="325"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2540" w:type="dxa"/>
            <w:vAlign w:val="bottom"/>
            <w:tcBorders>
              <w:bottom w:val="single" w:sz="8" w:color="EAEAEA"/>
            </w:tcBorders>
            <w:shd w:val="clear" w:color="auto" w:fill="EAEAEA"/>
          </w:tcPr>
          <w:p>
            <w:pPr>
              <w:ind w:left="460"/>
              <w:spacing w:after="0"/>
              <w:rPr>
                <w:sz w:val="20"/>
                <w:szCs w:val="20"/>
                <w:color w:val="auto"/>
              </w:rPr>
            </w:pPr>
            <w:r>
              <w:rPr>
                <w:rFonts w:ascii="Arial" w:cs="Arial" w:eastAsia="Arial" w:hAnsi="Arial"/>
                <w:sz w:val="14"/>
                <w:szCs w:val="14"/>
                <w:b w:val="1"/>
                <w:bCs w:val="1"/>
                <w:color w:val="5D89B4"/>
              </w:rPr>
              <w:t>NAME</w:t>
            </w:r>
          </w:p>
        </w:tc>
        <w:tc>
          <w:tcPr>
            <w:tcW w:w="700" w:type="dxa"/>
            <w:vAlign w:val="bottom"/>
            <w:tcBorders>
              <w:bottom w:val="single" w:sz="8" w:color="EAEAEA"/>
            </w:tcBorders>
            <w:shd w:val="clear" w:color="auto" w:fill="EAEAEA"/>
          </w:tcPr>
          <w:p>
            <w:pPr>
              <w:jc w:val="center"/>
              <w:ind w:left="5"/>
              <w:spacing w:after="0"/>
              <w:rPr>
                <w:sz w:val="20"/>
                <w:szCs w:val="20"/>
                <w:color w:val="auto"/>
              </w:rPr>
            </w:pPr>
            <w:r>
              <w:rPr>
                <w:rFonts w:ascii="Arial" w:cs="Arial" w:eastAsia="Arial" w:hAnsi="Arial"/>
                <w:sz w:val="14"/>
                <w:szCs w:val="14"/>
                <w:b w:val="1"/>
                <w:bCs w:val="1"/>
                <w:color w:val="5D89B4"/>
                <w:w w:val="98"/>
              </w:rPr>
              <w:t>AGE</w:t>
            </w:r>
          </w:p>
        </w:tc>
        <w:tc>
          <w:tcPr>
            <w:tcW w:w="15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 SINCE</w:t>
            </w:r>
          </w:p>
        </w:tc>
        <w:tc>
          <w:tcPr>
            <w:tcW w:w="1460" w:type="dxa"/>
            <w:vAlign w:val="bottom"/>
            <w:tcBorders>
              <w:bottom w:val="single" w:sz="8" w:color="EAEAEA"/>
            </w:tcBorders>
            <w:shd w:val="clear" w:color="auto" w:fill="EAEAEA"/>
          </w:tcPr>
          <w:p>
            <w:pPr>
              <w:ind w:left="160"/>
              <w:spacing w:after="0"/>
              <w:rPr>
                <w:sz w:val="20"/>
                <w:szCs w:val="20"/>
                <w:color w:val="auto"/>
              </w:rPr>
            </w:pPr>
            <w:r>
              <w:rPr>
                <w:rFonts w:ascii="Arial" w:cs="Arial" w:eastAsia="Arial" w:hAnsi="Arial"/>
                <w:sz w:val="14"/>
                <w:szCs w:val="14"/>
                <w:b w:val="1"/>
                <w:bCs w:val="1"/>
                <w:color w:val="5D89B4"/>
              </w:rPr>
              <w:t>INDEPENDENT</w:t>
            </w:r>
          </w:p>
        </w:tc>
        <w:tc>
          <w:tcPr>
            <w:tcW w:w="3880" w:type="dxa"/>
            <w:vAlign w:val="bottom"/>
            <w:tcBorders>
              <w:bottom w:val="single" w:sz="8" w:color="EAEAEA"/>
            </w:tcBorders>
            <w:shd w:val="clear" w:color="auto" w:fill="EAEAEA"/>
          </w:tcPr>
          <w:p>
            <w:pPr>
              <w:ind w:left="300"/>
              <w:spacing w:after="0"/>
              <w:rPr>
                <w:sz w:val="20"/>
                <w:szCs w:val="20"/>
                <w:color w:val="auto"/>
              </w:rPr>
            </w:pPr>
            <w:r>
              <w:rPr>
                <w:rFonts w:ascii="Arial" w:cs="Arial" w:eastAsia="Arial" w:hAnsi="Arial"/>
                <w:sz w:val="14"/>
                <w:szCs w:val="14"/>
                <w:b w:val="1"/>
                <w:bCs w:val="1"/>
                <w:color w:val="5D89B4"/>
              </w:rPr>
              <w:t>COMMITTEES</w:t>
            </w:r>
          </w:p>
        </w:tc>
        <w:tc>
          <w:tcPr>
            <w:tcW w:w="0" w:type="dxa"/>
            <w:vAlign w:val="bottom"/>
          </w:tcPr>
          <w:p>
            <w:pPr>
              <w:spacing w:after="0"/>
              <w:rPr>
                <w:sz w:val="1"/>
                <w:szCs w:val="1"/>
                <w:color w:val="auto"/>
              </w:rPr>
            </w:pPr>
          </w:p>
        </w:tc>
      </w:tr>
      <w:tr>
        <w:trPr>
          <w:trHeight w:val="38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Gina R. Boswell</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58</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2007</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Nominating and Governance</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Jean-Philippe Courtois</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500" w:type="dxa"/>
            <w:vAlign w:val="bottom"/>
          </w:tcPr>
          <w:p>
            <w:pPr>
              <w:jc w:val="center"/>
              <w:spacing w:after="0"/>
              <w:rPr>
                <w:sz w:val="20"/>
                <w:szCs w:val="20"/>
                <w:color w:val="auto"/>
              </w:rPr>
            </w:pPr>
            <w:r>
              <w:rPr>
                <w:rFonts w:ascii="Arial" w:cs="Arial" w:eastAsia="Arial" w:hAnsi="Arial"/>
                <w:sz w:val="15"/>
                <w:szCs w:val="15"/>
                <w:color w:val="auto"/>
              </w:rPr>
              <w:t>2020</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William Downe</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68</w:t>
            </w:r>
          </w:p>
        </w:tc>
        <w:tc>
          <w:tcPr>
            <w:tcW w:w="1500" w:type="dxa"/>
            <w:vAlign w:val="bottom"/>
          </w:tcPr>
          <w:p>
            <w:pPr>
              <w:jc w:val="center"/>
              <w:spacing w:after="0"/>
              <w:rPr>
                <w:sz w:val="20"/>
                <w:szCs w:val="20"/>
                <w:color w:val="auto"/>
              </w:rPr>
            </w:pPr>
            <w:r>
              <w:rPr>
                <w:rFonts w:ascii="Arial" w:cs="Arial" w:eastAsia="Arial" w:hAnsi="Arial"/>
                <w:sz w:val="15"/>
                <w:szCs w:val="15"/>
                <w:color w:val="auto"/>
              </w:rPr>
              <w:t>2011</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Executive Compensation and Human Resources</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John F. Ferraro</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65</w:t>
            </w:r>
          </w:p>
        </w:tc>
        <w:tc>
          <w:tcPr>
            <w:tcW w:w="1500" w:type="dxa"/>
            <w:vAlign w:val="bottom"/>
          </w:tcPr>
          <w:p>
            <w:pPr>
              <w:jc w:val="center"/>
              <w:spacing w:after="0"/>
              <w:rPr>
                <w:sz w:val="20"/>
                <w:szCs w:val="20"/>
                <w:color w:val="auto"/>
              </w:rPr>
            </w:pPr>
            <w:r>
              <w:rPr>
                <w:rFonts w:ascii="Arial" w:cs="Arial" w:eastAsia="Arial" w:hAnsi="Arial"/>
                <w:sz w:val="15"/>
                <w:szCs w:val="15"/>
                <w:color w:val="auto"/>
              </w:rPr>
              <w:t>2016</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William P. Gipson</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63</w:t>
            </w:r>
          </w:p>
        </w:tc>
        <w:tc>
          <w:tcPr>
            <w:tcW w:w="1500" w:type="dxa"/>
            <w:vAlign w:val="bottom"/>
          </w:tcPr>
          <w:p>
            <w:pPr>
              <w:jc w:val="center"/>
              <w:spacing w:after="0"/>
              <w:rPr>
                <w:sz w:val="20"/>
                <w:szCs w:val="20"/>
                <w:color w:val="auto"/>
              </w:rPr>
            </w:pPr>
            <w:r>
              <w:rPr>
                <w:rFonts w:ascii="Arial" w:cs="Arial" w:eastAsia="Arial" w:hAnsi="Arial"/>
                <w:sz w:val="15"/>
                <w:szCs w:val="15"/>
                <w:color w:val="auto"/>
              </w:rPr>
              <w:t>2020</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Executive Compensation and Human Resources</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880" w:type="dxa"/>
            <w:vAlign w:val="bottom"/>
          </w:tcPr>
          <w:p>
            <w:pPr>
              <w:ind w:left="368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83"/>
        </w:trPr>
        <w:tc>
          <w:tcPr>
            <w:tcW w:w="2540" w:type="dxa"/>
            <w:vAlign w:val="bottom"/>
            <w:tcBorders>
              <w:bottom w:val="single" w:sz="8" w:color="5D89B4"/>
            </w:tcBorders>
          </w:tcPr>
          <w:p>
            <w:pPr>
              <w:spacing w:after="0"/>
              <w:rPr>
                <w:sz w:val="24"/>
                <w:szCs w:val="24"/>
                <w:color w:val="auto"/>
              </w:rPr>
            </w:pPr>
          </w:p>
        </w:tc>
        <w:tc>
          <w:tcPr>
            <w:tcW w:w="700" w:type="dxa"/>
            <w:vAlign w:val="bottom"/>
            <w:tcBorders>
              <w:bottom w:val="single" w:sz="8" w:color="5D89B4"/>
            </w:tcBorders>
          </w:tcPr>
          <w:p>
            <w:pPr>
              <w:spacing w:after="0"/>
              <w:rPr>
                <w:sz w:val="24"/>
                <w:szCs w:val="24"/>
                <w:color w:val="auto"/>
              </w:rPr>
            </w:pPr>
          </w:p>
        </w:tc>
        <w:tc>
          <w:tcPr>
            <w:tcW w:w="1500" w:type="dxa"/>
            <w:vAlign w:val="bottom"/>
            <w:tcBorders>
              <w:bottom w:val="single" w:sz="8" w:color="5D89B4"/>
            </w:tcBorders>
          </w:tcPr>
          <w:p>
            <w:pPr>
              <w:spacing w:after="0"/>
              <w:rPr>
                <w:sz w:val="24"/>
                <w:szCs w:val="24"/>
                <w:color w:val="auto"/>
              </w:rPr>
            </w:pPr>
          </w:p>
        </w:tc>
        <w:tc>
          <w:tcPr>
            <w:tcW w:w="1460" w:type="dxa"/>
            <w:vAlign w:val="bottom"/>
            <w:tcBorders>
              <w:bottom w:val="single" w:sz="8" w:color="5D89B4"/>
            </w:tcBorders>
          </w:tcPr>
          <w:p>
            <w:pPr>
              <w:spacing w:after="0"/>
              <w:rPr>
                <w:sz w:val="24"/>
                <w:szCs w:val="24"/>
                <w:color w:val="auto"/>
              </w:rPr>
            </w:pPr>
          </w:p>
        </w:tc>
        <w:tc>
          <w:tcPr>
            <w:tcW w:w="3880" w:type="dxa"/>
            <w:vAlign w:val="bottom"/>
            <w:tcBorders>
              <w:bottom w:val="single" w:sz="8" w:color="5D89B4"/>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Patricia Hemingway Hall</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68</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2011</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Nominating and Governance (CHAIR)</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Julie M. Howard</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58</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2016</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Executive Compensation and Human Resources</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Nominating and Governance</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Ulice Payne, Jr.</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65</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2007</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Nominating and Governance</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Jonas Prising</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56</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2015</w:t>
            </w:r>
          </w:p>
        </w:tc>
        <w:tc>
          <w:tcPr>
            <w:tcW w:w="1460" w:type="dxa"/>
            <w:vAlign w:val="bottom"/>
          </w:tcPr>
          <w:p>
            <w:pPr>
              <w:spacing w:after="0"/>
              <w:rPr>
                <w:sz w:val="24"/>
                <w:szCs w:val="24"/>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None</w:t>
            </w:r>
          </w:p>
        </w:tc>
        <w:tc>
          <w:tcPr>
            <w:tcW w:w="0" w:type="dxa"/>
            <w:vAlign w:val="bottom"/>
          </w:tcPr>
          <w:p>
            <w:pPr>
              <w:spacing w:after="0"/>
              <w:rPr>
                <w:sz w:val="1"/>
                <w:szCs w:val="1"/>
                <w:color w:val="auto"/>
              </w:rPr>
            </w:pPr>
          </w:p>
        </w:tc>
      </w:tr>
      <w:tr>
        <w:trPr>
          <w:trHeight w:val="96"/>
        </w:trPr>
        <w:tc>
          <w:tcPr>
            <w:tcW w:w="2540" w:type="dxa"/>
            <w:vAlign w:val="bottom"/>
            <w:vMerge w:val="restart"/>
          </w:tcPr>
          <w:p>
            <w:pPr>
              <w:ind w:left="460"/>
              <w:spacing w:after="0"/>
              <w:rPr>
                <w:sz w:val="20"/>
                <w:szCs w:val="20"/>
                <w:color w:val="auto"/>
              </w:rPr>
            </w:pPr>
            <w:r>
              <w:rPr>
                <w:rFonts w:ascii="Arial" w:cs="Arial" w:eastAsia="Arial" w:hAnsi="Arial"/>
                <w:sz w:val="16"/>
                <w:szCs w:val="16"/>
                <w:color w:val="auto"/>
              </w:rPr>
              <w:t>Chief Executive Officer</w:t>
            </w:r>
          </w:p>
        </w:tc>
        <w:tc>
          <w:tcPr>
            <w:tcW w:w="7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5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540" w:type="dxa"/>
            <w:vAlign w:val="bottom"/>
            <w:tcBorders>
              <w:bottom w:val="single" w:sz="8" w:color="5D89B4"/>
            </w:tcBorders>
          </w:tcPr>
          <w:p>
            <w:pPr>
              <w:spacing w:after="0"/>
              <w:rPr>
                <w:sz w:val="14"/>
                <w:szCs w:val="14"/>
                <w:color w:val="auto"/>
              </w:rPr>
            </w:pPr>
          </w:p>
        </w:tc>
        <w:tc>
          <w:tcPr>
            <w:tcW w:w="700" w:type="dxa"/>
            <w:vAlign w:val="bottom"/>
            <w:tcBorders>
              <w:bottom w:val="single" w:sz="8" w:color="5D89B4"/>
            </w:tcBorders>
          </w:tcPr>
          <w:p>
            <w:pPr>
              <w:spacing w:after="0"/>
              <w:rPr>
                <w:sz w:val="14"/>
                <w:szCs w:val="14"/>
                <w:color w:val="auto"/>
              </w:rPr>
            </w:pPr>
          </w:p>
        </w:tc>
        <w:tc>
          <w:tcPr>
            <w:tcW w:w="1500" w:type="dxa"/>
            <w:vAlign w:val="bottom"/>
            <w:tcBorders>
              <w:bottom w:val="single" w:sz="8" w:color="5D89B4"/>
            </w:tcBorders>
          </w:tcPr>
          <w:p>
            <w:pPr>
              <w:spacing w:after="0"/>
              <w:rPr>
                <w:sz w:val="14"/>
                <w:szCs w:val="14"/>
                <w:color w:val="auto"/>
              </w:rPr>
            </w:pPr>
          </w:p>
        </w:tc>
        <w:tc>
          <w:tcPr>
            <w:tcW w:w="1460" w:type="dxa"/>
            <w:vAlign w:val="bottom"/>
            <w:tcBorders>
              <w:bottom w:val="single" w:sz="8" w:color="5D89B4"/>
            </w:tcBorders>
          </w:tcPr>
          <w:p>
            <w:pPr>
              <w:spacing w:after="0"/>
              <w:rPr>
                <w:sz w:val="14"/>
                <w:szCs w:val="14"/>
                <w:color w:val="auto"/>
              </w:rPr>
            </w:pPr>
          </w:p>
        </w:tc>
        <w:tc>
          <w:tcPr>
            <w:tcW w:w="388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Paul Read</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54</w:t>
            </w:r>
          </w:p>
        </w:tc>
        <w:tc>
          <w:tcPr>
            <w:tcW w:w="1500" w:type="dxa"/>
            <w:vAlign w:val="bottom"/>
          </w:tcPr>
          <w:p>
            <w:pPr>
              <w:jc w:val="center"/>
              <w:spacing w:after="0"/>
              <w:rPr>
                <w:sz w:val="20"/>
                <w:szCs w:val="20"/>
                <w:color w:val="auto"/>
              </w:rPr>
            </w:pPr>
            <w:r>
              <w:rPr>
                <w:rFonts w:ascii="Arial" w:cs="Arial" w:eastAsia="Arial" w:hAnsi="Arial"/>
                <w:sz w:val="15"/>
                <w:szCs w:val="15"/>
                <w:color w:val="auto"/>
              </w:rPr>
              <w:t>2014</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 (CHAIR)</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Elizabeth P. Sartain</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66</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2010</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Executive Compensation and Human Resources</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420"/>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Michael J. Van Handel</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61</w:t>
            </w:r>
          </w:p>
        </w:tc>
        <w:tc>
          <w:tcPr>
            <w:tcW w:w="1500" w:type="dxa"/>
            <w:vAlign w:val="bottom"/>
          </w:tcPr>
          <w:p>
            <w:pPr>
              <w:jc w:val="center"/>
              <w:spacing w:after="0"/>
              <w:rPr>
                <w:sz w:val="20"/>
                <w:szCs w:val="20"/>
                <w:color w:val="auto"/>
              </w:rPr>
            </w:pPr>
            <w:r>
              <w:rPr>
                <w:rFonts w:ascii="Arial" w:cs="Arial" w:eastAsia="Arial" w:hAnsi="Arial"/>
                <w:sz w:val="15"/>
                <w:szCs w:val="15"/>
                <w:color w:val="auto"/>
              </w:rPr>
              <w:t>2017</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-5499100</wp:posOffset>
            </wp:positionV>
            <wp:extent cx="6870065" cy="5673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70065" cy="5673090"/>
                    </a:xfrm>
                    <a:prstGeom prst="rect">
                      <a:avLst/>
                    </a:prstGeom>
                    <a:noFill/>
                  </pic:spPr>
                </pic:pic>
              </a:graphicData>
            </a:graphic>
          </wp:anchor>
        </w:drawing>
      </w:r>
    </w:p>
    <w:p>
      <w:pPr>
        <w:spacing w:after="0" w:line="378" w:lineRule="exact"/>
        <w:rPr>
          <w:sz w:val="20"/>
          <w:szCs w:val="20"/>
          <w:color w:val="auto"/>
        </w:rPr>
      </w:pPr>
    </w:p>
    <w:p>
      <w:pPr>
        <w:ind w:left="440" w:hanging="433"/>
        <w:spacing w:after="0"/>
        <w:tabs>
          <w:tab w:leader="none" w:pos="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Courtois’s and Mr. Gipson’s committee appointments were effective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6929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20"/>
          <w:szCs w:val="20"/>
          <w:b w:val="1"/>
          <w:bCs w:val="1"/>
          <w:color w:val="5D89B4"/>
        </w:rPr>
        <w:t>i</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Our Board Has a Diversity of Experiences and Backgrounds</w:t>
      </w:r>
      <w:r>
        <w:rPr>
          <w:rFonts w:ascii="Arial" w:cs="Arial" w:eastAsia="Arial" w:hAnsi="Arial"/>
          <w:sz w:val="42"/>
          <w:szCs w:val="42"/>
          <w:b w:val="1"/>
          <w:bCs w:val="1"/>
          <w:color w:val="5D89B4"/>
          <w:vertAlign w:val="superscript"/>
        </w:rPr>
        <w:t>1</w:t>
      </w:r>
    </w:p>
    <w:p>
      <w:pPr>
        <w:spacing w:after="0"/>
        <w:rPr>
          <w:sz w:val="20"/>
          <w:szCs w:val="20"/>
          <w:color w:val="auto"/>
        </w:rPr>
      </w:pPr>
      <w:r>
        <w:rPr>
          <w:rFonts w:ascii="Arial" w:cs="Arial" w:eastAsia="Arial" w:hAnsi="Arial"/>
          <w:sz w:val="15"/>
          <w:szCs w:val="15"/>
          <w:color w:val="auto"/>
        </w:rPr>
        <w:t>Our Board believes that having a diverse mix of directors with a variety of skills, experience, and backgrounds is essential to meeting its oversight responsibility.</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b w:val="1"/>
          <w:bCs w:val="1"/>
          <w:color w:val="5D89B4"/>
        </w:rPr>
        <w:t>Core Skills &amp; Experience Identified by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172720</wp:posOffset>
            </wp:positionV>
            <wp:extent cx="5732145" cy="20212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3214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Director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6038215" cy="2369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8215" cy="236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 w:hanging="433"/>
        <w:spacing w:after="0"/>
        <w:tabs>
          <w:tab w:leader="none" w:pos="44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Calculations within this section are made with respect to the 12 Board nominees listed on the previous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ii</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00"/>
          </w:cols>
          <w:pgMar w:left="480" w:top="254" w:right="719" w:bottom="1440" w:gutter="0" w:footer="0" w:header="0"/>
        </w:sectPr>
      </w:pPr>
    </w:p>
    <w:bookmarkStart w:id="9" w:name="page10"/>
    <w:bookmarkEnd w:id="9"/>
    <w:p>
      <w:pPr>
        <w:jc w:val="right"/>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Making an Impact for a Sustainable World of Work</w:t>
      </w:r>
    </w:p>
    <w:p>
      <w:pPr>
        <w:spacing w:after="0" w:line="139"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For more than 70 years, our business has been operating on the principle of Doing Well by Doing Good. Fast forward to today and this dual purpose still holds true: We are committed to our duality of purpose and to delivering a financial return to our shareholders and value to all our stakeholders—employees, associates, candidates, clients, suppliers, vendors, partners, communities and society at large.</w:t>
      </w:r>
    </w:p>
    <w:p>
      <w:pPr>
        <w:spacing w:after="0" w:line="195" w:lineRule="exact"/>
        <w:rPr>
          <w:sz w:val="20"/>
          <w:szCs w:val="20"/>
          <w:color w:val="auto"/>
        </w:rPr>
      </w:pPr>
    </w:p>
    <w:p>
      <w:pPr>
        <w:ind w:right="100"/>
        <w:spacing w:after="0" w:line="232" w:lineRule="auto"/>
        <w:rPr>
          <w:sz w:val="20"/>
          <w:szCs w:val="20"/>
          <w:color w:val="auto"/>
        </w:rPr>
      </w:pPr>
      <w:r>
        <w:rPr>
          <w:rFonts w:ascii="Arial" w:cs="Arial" w:eastAsia="Arial" w:hAnsi="Arial"/>
          <w:sz w:val="15"/>
          <w:szCs w:val="15"/>
          <w:color w:val="auto"/>
        </w:rPr>
        <w:t>Helping people develop in-demand skills and adapt to an unprecedented pace of change continues to be a defining workforce challenge of our time. By closing skills gaps, enabling more people to participate in the workforce and connect to meaningful work, we can contribute to a sustainable future for workers and for the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29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left="500" w:right="200"/>
        <w:spacing w:after="0" w:line="283" w:lineRule="auto"/>
        <w:rPr>
          <w:sz w:val="20"/>
          <w:szCs w:val="20"/>
          <w:color w:val="auto"/>
        </w:rPr>
      </w:pPr>
      <w:r>
        <w:rPr>
          <w:rFonts w:ascii="Arial" w:cs="Arial" w:eastAsia="Arial" w:hAnsi="Arial"/>
          <w:sz w:val="39"/>
          <w:szCs w:val="39"/>
          <w:b w:val="1"/>
          <w:bCs w:val="1"/>
          <w:color w:val="5D89B4"/>
        </w:rPr>
        <w:t>We believe meaningful, sustainable employment has the power to change the world.</w:t>
      </w:r>
    </w:p>
    <w:p>
      <w:pPr>
        <w:spacing w:after="0" w:line="23" w:lineRule="exact"/>
        <w:rPr>
          <w:sz w:val="20"/>
          <w:szCs w:val="20"/>
          <w:color w:val="auto"/>
        </w:rPr>
      </w:pPr>
    </w:p>
    <w:p>
      <w:pPr>
        <w:jc w:val="center"/>
        <w:ind w:left="500" w:right="180"/>
        <w:spacing w:after="0" w:line="255" w:lineRule="auto"/>
        <w:rPr>
          <w:sz w:val="20"/>
          <w:szCs w:val="20"/>
          <w:color w:val="auto"/>
        </w:rPr>
      </w:pPr>
      <w:r>
        <w:rPr>
          <w:rFonts w:ascii="Arial" w:cs="Arial" w:eastAsia="Arial" w:hAnsi="Arial"/>
          <w:sz w:val="21"/>
          <w:szCs w:val="21"/>
          <w:color w:val="auto"/>
        </w:rPr>
        <w:t>Our Sustainability Plan is built around four pillars and underpinned by a commitment to the highest standards of governance and ethics.</w:t>
      </w:r>
    </w:p>
    <w:p>
      <w:pPr>
        <w:spacing w:after="0" w:line="187" w:lineRule="exact"/>
        <w:rPr>
          <w:sz w:val="20"/>
          <w:szCs w:val="20"/>
          <w:color w:val="auto"/>
        </w:rPr>
      </w:pPr>
    </w:p>
    <w:p>
      <w:pPr>
        <w:ind w:left="1040"/>
        <w:spacing w:after="0"/>
        <w:tabs>
          <w:tab w:leader="none" w:pos="3260" w:val="left"/>
          <w:tab w:leader="none" w:pos="6540" w:val="left"/>
          <w:tab w:leader="none" w:pos="8900" w:val="left"/>
        </w:tabs>
        <w:rPr>
          <w:sz w:val="20"/>
          <w:szCs w:val="20"/>
          <w:color w:val="auto"/>
        </w:rPr>
      </w:pPr>
      <w:r>
        <w:rPr>
          <w:rFonts w:ascii="Arial" w:cs="Arial" w:eastAsia="Arial" w:hAnsi="Arial"/>
          <w:sz w:val="25"/>
          <w:szCs w:val="25"/>
          <w:b w:val="1"/>
          <w:bCs w:val="1"/>
          <w:color w:val="5D89B4"/>
        </w:rPr>
        <w:t>READY</w:t>
      </w:r>
      <w:r>
        <w:rPr>
          <w:sz w:val="20"/>
          <w:szCs w:val="20"/>
          <w:color w:val="auto"/>
        </w:rPr>
        <w:tab/>
      </w:r>
      <w:r>
        <w:rPr>
          <w:rFonts w:ascii="Arial" w:cs="Arial" w:eastAsia="Arial" w:hAnsi="Arial"/>
          <w:sz w:val="25"/>
          <w:szCs w:val="25"/>
          <w:b w:val="1"/>
          <w:bCs w:val="1"/>
          <w:color w:val="5D89B4"/>
        </w:rPr>
        <w:t>RESKILLING AND</w:t>
      </w:r>
      <w:r>
        <w:rPr>
          <w:sz w:val="20"/>
          <w:szCs w:val="20"/>
          <w:color w:val="auto"/>
        </w:rPr>
        <w:tab/>
      </w:r>
      <w:r>
        <w:rPr>
          <w:rFonts w:ascii="Arial" w:cs="Arial" w:eastAsia="Arial" w:hAnsi="Arial"/>
          <w:sz w:val="25"/>
          <w:szCs w:val="25"/>
          <w:b w:val="1"/>
          <w:bCs w:val="1"/>
          <w:color w:val="5D89B4"/>
        </w:rPr>
        <w:t>CLIMATE</w:t>
      </w:r>
      <w:r>
        <w:rPr>
          <w:sz w:val="20"/>
          <w:szCs w:val="20"/>
          <w:color w:val="auto"/>
        </w:rPr>
        <w:tab/>
      </w:r>
      <w:r>
        <w:rPr>
          <w:rFonts w:ascii="Arial" w:cs="Arial" w:eastAsia="Arial" w:hAnsi="Arial"/>
          <w:sz w:val="24"/>
          <w:szCs w:val="24"/>
          <w:b w:val="1"/>
          <w:bCs w:val="1"/>
          <w:color w:val="5D89B4"/>
        </w:rPr>
        <w:t>INTEGRATING</w:t>
      </w:r>
    </w:p>
    <w:p>
      <w:pPr>
        <w:spacing w:after="0" w:line="37" w:lineRule="exact"/>
        <w:rPr>
          <w:sz w:val="20"/>
          <w:szCs w:val="20"/>
          <w:color w:val="auto"/>
        </w:rPr>
      </w:pPr>
    </w:p>
    <w:p>
      <w:pPr>
        <w:ind w:left="780"/>
        <w:spacing w:after="0"/>
        <w:tabs>
          <w:tab w:leader="none" w:pos="3560" w:val="left"/>
          <w:tab w:leader="none" w:pos="6620" w:val="left"/>
          <w:tab w:leader="none" w:pos="8760" w:val="left"/>
        </w:tabs>
        <w:rPr>
          <w:sz w:val="20"/>
          <w:szCs w:val="20"/>
          <w:color w:val="auto"/>
        </w:rPr>
      </w:pPr>
      <w:r>
        <w:rPr>
          <w:rFonts w:ascii="Arial" w:cs="Arial" w:eastAsia="Arial" w:hAnsi="Arial"/>
          <w:sz w:val="25"/>
          <w:szCs w:val="25"/>
          <w:b w:val="1"/>
          <w:bCs w:val="1"/>
          <w:color w:val="5D89B4"/>
        </w:rPr>
        <w:t>FOR WORK</w:t>
      </w:r>
      <w:r>
        <w:rPr>
          <w:sz w:val="20"/>
          <w:szCs w:val="20"/>
          <w:color w:val="auto"/>
        </w:rPr>
        <w:tab/>
      </w:r>
      <w:r>
        <w:rPr>
          <w:rFonts w:ascii="Arial" w:cs="Arial" w:eastAsia="Arial" w:hAnsi="Arial"/>
          <w:sz w:val="25"/>
          <w:szCs w:val="25"/>
          <w:b w:val="1"/>
          <w:bCs w:val="1"/>
          <w:color w:val="5D89B4"/>
        </w:rPr>
        <w:t>UPSKILLING</w:t>
      </w:r>
      <w:r>
        <w:rPr>
          <w:sz w:val="20"/>
          <w:szCs w:val="20"/>
          <w:color w:val="auto"/>
        </w:rPr>
        <w:tab/>
      </w:r>
      <w:r>
        <w:rPr>
          <w:rFonts w:ascii="Arial" w:cs="Arial" w:eastAsia="Arial" w:hAnsi="Arial"/>
          <w:sz w:val="25"/>
          <w:szCs w:val="25"/>
          <w:b w:val="1"/>
          <w:bCs w:val="1"/>
          <w:color w:val="5D89B4"/>
        </w:rPr>
        <w:t>ACTION</w:t>
      </w:r>
      <w:r>
        <w:rPr>
          <w:sz w:val="20"/>
          <w:szCs w:val="20"/>
          <w:color w:val="auto"/>
        </w:rPr>
        <w:tab/>
      </w:r>
      <w:r>
        <w:rPr>
          <w:rFonts w:ascii="Arial" w:cs="Arial" w:eastAsia="Arial" w:hAnsi="Arial"/>
          <w:sz w:val="24"/>
          <w:szCs w:val="24"/>
          <w:b w:val="1"/>
          <w:bCs w:val="1"/>
          <w:color w:val="5D89B4"/>
        </w:rPr>
        <w:t>AND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241300</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Ready for Work</w:t>
      </w:r>
    </w:p>
    <w:p>
      <w:pPr>
        <w:spacing w:after="0" w:line="77"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By 2030, Generation Z and Millennials are expected to make up two-thirds of the workforce</w:t>
      </w:r>
      <w:r>
        <w:rPr>
          <w:rFonts w:ascii="Arial" w:cs="Arial" w:eastAsia="Arial" w:hAnsi="Arial"/>
          <w:sz w:val="12"/>
          <w:szCs w:val="12"/>
          <w:color w:val="auto"/>
        </w:rPr>
        <w:t>1</w:t>
      </w:r>
      <w:r>
        <w:rPr>
          <w:rFonts w:ascii="Arial" w:cs="Arial" w:eastAsia="Arial" w:hAnsi="Arial"/>
          <w:sz w:val="15"/>
          <w:szCs w:val="15"/>
          <w:color w:val="auto"/>
        </w:rPr>
        <w:t>, and 65% of Generation Z will do jobs that do not exist yet.</w:t>
      </w:r>
      <w:r>
        <w:rPr>
          <w:rFonts w:ascii="Arial" w:cs="Arial" w:eastAsia="Arial" w:hAnsi="Arial"/>
          <w:sz w:val="12"/>
          <w:szCs w:val="12"/>
          <w:color w:val="auto"/>
        </w:rPr>
        <w:t>2</w:t>
      </w:r>
      <w:r>
        <w:rPr>
          <w:rFonts w:ascii="Arial" w:cs="Arial" w:eastAsia="Arial" w:hAnsi="Arial"/>
          <w:sz w:val="15"/>
          <w:szCs w:val="15"/>
          <w:color w:val="auto"/>
        </w:rPr>
        <w:t xml:space="preserve"> We are committed to creating opportunities that help tomorrow’s talent develop the skills they need before they enter the labor market.</w:t>
      </w:r>
    </w:p>
    <w:p>
      <w:pPr>
        <w:spacing w:after="0" w:line="195"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We partner with Junior Achievement in 40 countries to empower young talent with employability skills in business, finance and entrepreneurship. During 2020, we transitioned our coaching and mentoring online, reaching even more young people around the world. We are also working with universities around the world to provide students with on-demand virtual seminars on work readiness and employability and preparing graduates with professional guidance for entering the workplace.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Reskilling and Upskilling</w:t>
      </w:r>
    </w:p>
    <w:p>
      <w:pPr>
        <w:spacing w:after="0" w:line="77" w:lineRule="exact"/>
        <w:rPr>
          <w:sz w:val="20"/>
          <w:szCs w:val="20"/>
          <w:color w:val="auto"/>
        </w:rPr>
      </w:pPr>
    </w:p>
    <w:p>
      <w:pPr>
        <w:ind w:right="60"/>
        <w:spacing w:after="0" w:line="227" w:lineRule="auto"/>
        <w:rPr>
          <w:sz w:val="20"/>
          <w:szCs w:val="20"/>
          <w:color w:val="auto"/>
        </w:rPr>
      </w:pPr>
      <w:r>
        <w:rPr>
          <w:rFonts w:ascii="Arial" w:cs="Arial" w:eastAsia="Arial" w:hAnsi="Arial"/>
          <w:sz w:val="15"/>
          <w:szCs w:val="15"/>
          <w:color w:val="auto"/>
        </w:rPr>
        <w:t>The huge workforce transformation that took place at speed in 2020 also drove a reallocation of skills as organizations transformed faster than ever, and shifts to remote working and digitization happened at scale. Despite soaring levels of unemployment, acute skills shortages continue unabated, reinforcing the need for a Skills Revolution, now more than ever. We are committed to creating innovative ways of reskilling and upskilling at speed and scale to close skills gaps and help people nurture learnability throughout their career journeys.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Career Advancement and Reskilling for Growth Roles</w:t>
      </w:r>
    </w:p>
    <w:p>
      <w:pPr>
        <w:spacing w:after="0" w:line="14"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We continue to invest in technologies and initiatives that enable upskilling of our associates and employees. Our MyPath program provides personalized guidance, career development through educational opportunities, training and access to jobs. Primarily focused in growth sectors including information technology, sales and finance, MyPath helped approximately 60,000 associates per month as of the end of 2020, representing our Manpower and Experis brands in 12 countries.</w:t>
      </w:r>
    </w:p>
    <w:p>
      <w:pPr>
        <w:spacing w:after="0" w:line="195" w:lineRule="exact"/>
        <w:rPr>
          <w:sz w:val="20"/>
          <w:szCs w:val="20"/>
          <w:color w:val="auto"/>
        </w:rPr>
      </w:pPr>
    </w:p>
    <w:p>
      <w:pPr>
        <w:ind w:right="200"/>
        <w:spacing w:after="0" w:line="229" w:lineRule="auto"/>
        <w:rPr>
          <w:sz w:val="20"/>
          <w:szCs w:val="20"/>
          <w:color w:val="auto"/>
        </w:rPr>
      </w:pPr>
      <w:r>
        <w:rPr>
          <w:rFonts w:ascii="Arial" w:cs="Arial" w:eastAsia="Arial" w:hAnsi="Arial"/>
          <w:sz w:val="15"/>
          <w:szCs w:val="15"/>
          <w:color w:val="auto"/>
        </w:rPr>
        <w:t>Our ManpowerGroup Academies in 10 countries have provided opportunities for thousands to develop skills and certifications for in-demand roles in IT, engineering, logistics and digital manufacturing. And we rapidly upskilled individuals from industries heavily impacted by COVID-19 shut-downs and redeployed them in essential roles.</w:t>
      </w:r>
    </w:p>
    <w:p>
      <w:pPr>
        <w:spacing w:after="0" w:line="200" w:lineRule="exact"/>
        <w:rPr>
          <w:sz w:val="20"/>
          <w:szCs w:val="20"/>
          <w:color w:val="auto"/>
        </w:rPr>
      </w:pPr>
    </w:p>
    <w:p>
      <w:pPr>
        <w:sectPr>
          <w:pgSz w:w="11900" w:h="16838" w:orient="portrait"/>
          <w:cols w:equalWidth="0" w:num="2">
            <w:col w:w="5240" w:space="340"/>
            <w:col w:w="5340"/>
          </w:cols>
          <w:pgMar w:left="480" w:top="2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hanging="153"/>
        <w:spacing w:after="0"/>
        <w:tabs>
          <w:tab w:leader="none" w:pos="1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United States Census Bureau</w:t>
      </w:r>
    </w:p>
    <w:p>
      <w:pPr>
        <w:ind w:left="160" w:hanging="153"/>
        <w:spacing w:after="0"/>
        <w:tabs>
          <w:tab w:leader="none" w:pos="1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“How To Attract Talent for Jobs that Don’t Exist Yet,” Forbes,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6929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5380"/>
        <w:spacing w:after="0"/>
        <w:tabs>
          <w:tab w:leader="none" w:pos="6000" w:val="left"/>
        </w:tabs>
        <w:rPr>
          <w:sz w:val="20"/>
          <w:szCs w:val="20"/>
          <w:color w:val="auto"/>
        </w:rPr>
      </w:pPr>
      <w:r>
        <w:rPr>
          <w:rFonts w:ascii="Arial" w:cs="Arial" w:eastAsia="Arial" w:hAnsi="Arial"/>
          <w:sz w:val="20"/>
          <w:szCs w:val="20"/>
          <w:b w:val="1"/>
          <w:bCs w:val="1"/>
          <w:color w:val="5D89B4"/>
        </w:rPr>
        <w:t>iii</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254" w:right="4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ectPr>
          <w:pgSz w:w="11900" w:h="16838" w:orient="portrait"/>
          <w:cols w:equalWidth="0" w:num="1">
            <w:col w:w="10900"/>
          </w:cols>
          <w:pgMar w:left="480" w:top="254" w:right="51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Upskilling our Own People to Create Even More Value</w:t>
      </w:r>
    </w:p>
    <w:p>
      <w:pPr>
        <w:spacing w:after="0" w:line="14" w:lineRule="exact"/>
        <w:rPr>
          <w:sz w:val="20"/>
          <w:szCs w:val="20"/>
          <w:color w:val="auto"/>
        </w:rPr>
      </w:pPr>
    </w:p>
    <w:p>
      <w:pPr>
        <w:ind w:right="40"/>
        <w:spacing w:after="0" w:line="227" w:lineRule="auto"/>
        <w:rPr>
          <w:sz w:val="20"/>
          <w:szCs w:val="20"/>
          <w:color w:val="auto"/>
        </w:rPr>
      </w:pPr>
      <w:r>
        <w:rPr>
          <w:rFonts w:ascii="Arial" w:cs="Arial" w:eastAsia="Arial" w:hAnsi="Arial"/>
          <w:sz w:val="15"/>
          <w:szCs w:val="15"/>
          <w:color w:val="auto"/>
        </w:rPr>
        <w:t>We have invested in upskilling our own recruiters—over 2,700 have transformed their roles to become Talent Agents, with expertise in assessment, data and coaching, so they can provide personalized guidance to candidates, helping them develop for future roles and creating a pipeline of skilled talent to our clients. And we continue to invest in PowerYOU, our global skills portal, providing on-demand access to thousands of learning opportunities for our 25,000 employees and millions of associates.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Integrating and Including</w:t>
      </w:r>
    </w:p>
    <w:p>
      <w:pPr>
        <w:spacing w:after="0" w:line="77"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We believe that when society is broken for some it is broken for all. We commit to being part of the solution to address polarization, unrest and racism by making workplaces and workforces more diverse, equitable and inclusive and ensuring that opportunities to develop in-demand skills and connect to meaningful work are available to people of all backgrounds.</w:t>
      </w:r>
    </w:p>
    <w:p>
      <w:pPr>
        <w:spacing w:after="0" w:line="194"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We focus on creating a culture of conscious inclusion in our own organization, and with our client and community partners we develop and support programs that upskill underrepresented and underserved populations for meaningful and sustainable work. Examples of programs addressing local diversity and inclusion challenges can be found in our ESG Report.</w:t>
      </w:r>
    </w:p>
    <w:p>
      <w:pPr>
        <w:spacing w:after="0" w:line="194"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Globally we’re committed to gender parity as a first, shared diversity and inclusion priority across all our operations. Our key markets also prioritize a second diversity dimension relevant to each local labor market, including ethnic and racial minorities, people with disabilities, refugees and immigrants, generational diversity and socio-economically disadvantaged populations.</w:t>
      </w:r>
    </w:p>
    <w:p>
      <w:pPr>
        <w:spacing w:after="0" w:line="194" w:lineRule="exact"/>
        <w:rPr>
          <w:sz w:val="20"/>
          <w:szCs w:val="20"/>
          <w:color w:val="auto"/>
        </w:rPr>
      </w:pPr>
    </w:p>
    <w:p>
      <w:pPr>
        <w:ind w:right="80"/>
        <w:spacing w:after="0" w:line="227" w:lineRule="auto"/>
        <w:rPr>
          <w:sz w:val="20"/>
          <w:szCs w:val="20"/>
          <w:color w:val="auto"/>
        </w:rPr>
      </w:pPr>
      <w:r>
        <w:rPr>
          <w:rFonts w:ascii="Arial" w:cs="Arial" w:eastAsia="Arial" w:hAnsi="Arial"/>
          <w:sz w:val="15"/>
          <w:szCs w:val="15"/>
          <w:color w:val="auto"/>
        </w:rPr>
        <w:t>In 2020, as the United States faced racial unrest, our North American team launched our Courageous Conversations series, established a Diversity, Equity and Inclusion Council led by the Regional President; leveraged business resource groups as advisors, and with their input developed new training for our employees and our clients; and partnered with local business leaders to facilitate community discussions and to develop a community plan of action.</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Climate Action</w:t>
      </w:r>
    </w:p>
    <w:p>
      <w:pPr>
        <w:spacing w:after="0" w:line="77"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We know action on climate change is important to our clients and shareholders, but most importantly to our people. Through our participation in the World Economic Forum Alliance of CEO Climate Leaders, the CEO Action Group for a European Green Deal and the We Are Still In Campaign, we have been vocal supporters of the Paris Accord and the need to combat the impacts of climate change on the planet and on people. The shift to remote working and radical reduction in business travel during COVID-19 have highlighted opportunities for organizations like ours to embrace new work models and play an even more active role in decarbonizing the world’s economy.</w:t>
      </w:r>
    </w:p>
    <w:p>
      <w:pPr>
        <w:spacing w:after="0" w:line="197" w:lineRule="exact"/>
        <w:rPr>
          <w:sz w:val="20"/>
          <w:szCs w:val="20"/>
          <w:color w:val="auto"/>
        </w:rPr>
      </w:pPr>
    </w:p>
    <w:p>
      <w:pPr>
        <w:ind w:right="80"/>
        <w:spacing w:after="0" w:line="227" w:lineRule="auto"/>
        <w:rPr>
          <w:sz w:val="20"/>
          <w:szCs w:val="20"/>
          <w:color w:val="auto"/>
        </w:rPr>
      </w:pPr>
      <w:r>
        <w:rPr>
          <w:rFonts w:ascii="Arial" w:cs="Arial" w:eastAsia="Arial" w:hAnsi="Arial"/>
          <w:sz w:val="15"/>
          <w:szCs w:val="15"/>
          <w:color w:val="auto"/>
        </w:rPr>
        <w:t>We are committing now to setting science-based targets and being part of the solution to achieve Net Zero. Since 2018 we have significantly reduced Scope 1 &amp; 2 and Scope 3 business travel emissions. We have identified levers to enable 50% reduction in Scope 1 &amp; 2 emissions by 2030 and are developing our 2030 Climate Action Plan. We are also committed to reducing our Scope 3 emissions, and know we can only make the progress we need by leveraging our scale to influence our supply chain network.</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Governance and Ethics</w:t>
      </w:r>
    </w:p>
    <w:p>
      <w:pPr>
        <w:spacing w:after="0" w:line="77"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Trust and transparency are foundational to delivering on our purpose and our promise to create value for all stakeholders. We will continue to lead in ethical, responsible business and employment practices, holding ourselves and our global network of partners accountable to the highest standards.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 2020, we were recognized by Ethisphere as a World’s Most Ethical Company for the 11th time—the only company in our industry to earn this distinction. We continue to expand and enhance cybersecurity and data privacy capabilities, while educating and empowering our employees to take responsibility for keeping information and digital assets safe and secure. We partner with EcoVadis, provider of the world’s most trusted business sustainability ratings, to assess our policies, practices and reporting on ethics, human rights, labor practices, environment, and procurement in more than 20 countries and recently achieved a new Platinum distinction at the Corporate level. We also assess our performance annually on ESG ratings, and are proud to be included in the DJSI North America Index and the FTSE4Good Global Index for the past 12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215900</wp:posOffset>
            </wp:positionV>
            <wp:extent cx="6929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360"/>
            <w:col w:w="5320"/>
          </w:cols>
          <w:pgMar w:left="480" w:top="254" w:right="519" w:bottom="1440" w:gutter="0" w:footer="0" w:header="0"/>
          <w:type w:val="continuous"/>
        </w:sectPr>
      </w:pPr>
    </w:p>
    <w:p>
      <w:pPr>
        <w:spacing w:after="0" w:line="290" w:lineRule="exact"/>
        <w:rPr>
          <w:sz w:val="20"/>
          <w:szCs w:val="20"/>
          <w:color w:val="auto"/>
        </w:rPr>
      </w:pPr>
    </w:p>
    <w:p>
      <w:pPr>
        <w:ind w:left="6020" w:hanging="631"/>
        <w:spacing w:after="0"/>
        <w:tabs>
          <w:tab w:leader="none" w:pos="6020" w:val="left"/>
        </w:tabs>
        <w:numPr>
          <w:ilvl w:val="0"/>
          <w:numId w:val="17"/>
        </w:numPr>
        <w:rPr>
          <w:rFonts w:ascii="Arial" w:cs="Arial" w:eastAsia="Arial" w:hAnsi="Arial"/>
          <w:sz w:val="19"/>
          <w:szCs w:val="19"/>
          <w:b w:val="1"/>
          <w:bCs w:val="1"/>
          <w:color w:val="5D89B4"/>
        </w:rPr>
      </w:pP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254" w:right="51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Key Compensation and Governance Policies</w:t>
      </w:r>
    </w:p>
    <w:p>
      <w:pPr>
        <w:spacing w:after="0" w:line="99" w:lineRule="exact"/>
        <w:rPr>
          <w:sz w:val="20"/>
          <w:szCs w:val="20"/>
          <w:color w:val="auto"/>
        </w:rPr>
      </w:pPr>
    </w:p>
    <w:p>
      <w:pPr>
        <w:ind w:right="320"/>
        <w:spacing w:after="0" w:line="237" w:lineRule="auto"/>
        <w:rPr>
          <w:sz w:val="20"/>
          <w:szCs w:val="20"/>
          <w:color w:val="auto"/>
        </w:rPr>
      </w:pPr>
      <w:r>
        <w:rPr>
          <w:rFonts w:ascii="Arial" w:cs="Arial" w:eastAsia="Arial" w:hAnsi="Arial"/>
          <w:sz w:val="15"/>
          <w:szCs w:val="15"/>
          <w:color w:val="auto"/>
        </w:rPr>
        <w:t>The executive compensation and human resources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6938010" cy="4424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8010" cy="4424680"/>
                    </a:xfrm>
                    <a:prstGeom prst="rect">
                      <a:avLst/>
                    </a:prstGeom>
                    <a:noFill/>
                  </pic:spPr>
                </pic:pic>
              </a:graphicData>
            </a:graphic>
          </wp:anchor>
        </w:drawing>
      </w:r>
    </w:p>
    <w:p>
      <w:pPr>
        <w:spacing w:after="0" w:line="342" w:lineRule="exact"/>
        <w:rPr>
          <w:sz w:val="20"/>
          <w:szCs w:val="20"/>
          <w:color w:val="auto"/>
        </w:rPr>
      </w:pPr>
    </w:p>
    <w:p>
      <w:pPr>
        <w:ind w:left="600"/>
        <w:spacing w:after="0"/>
        <w:rPr>
          <w:sz w:val="20"/>
          <w:szCs w:val="20"/>
          <w:color w:val="auto"/>
        </w:rPr>
      </w:pPr>
      <w:r>
        <w:rPr>
          <w:rFonts w:ascii="Arial" w:cs="Arial" w:eastAsia="Arial" w:hAnsi="Arial"/>
          <w:sz w:val="32"/>
          <w:szCs w:val="32"/>
          <w:b w:val="1"/>
          <w:bCs w:val="1"/>
          <w:color w:val="5D89B4"/>
        </w:rPr>
        <w:t>What We Do</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tie pay to performance.</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set challenging performance objectives that align with company performance.</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appropriately balance short-term and long-term incentives.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have caps on the potential payouts under the PSU grants and our annual incentive program.</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use double triggers in our severance agreements and our equity awards.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maintain significant stock ownership guidelines for our NEOs.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have a clawback policy for our cash incentive and equity awards.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committee engages an independent compensation consultant.</w:t>
      </w:r>
    </w:p>
    <w:p>
      <w:pPr>
        <w:spacing w:after="0" w:line="122" w:lineRule="exact"/>
        <w:rPr>
          <w:sz w:val="20"/>
          <w:szCs w:val="20"/>
          <w:color w:val="auto"/>
        </w:rPr>
      </w:pPr>
    </w:p>
    <w:p>
      <w:pPr>
        <w:ind w:left="920" w:right="820"/>
        <w:spacing w:after="0" w:line="237" w:lineRule="auto"/>
        <w:rPr>
          <w:sz w:val="20"/>
          <w:szCs w:val="20"/>
          <w:color w:val="auto"/>
        </w:rPr>
      </w:pPr>
      <w:r>
        <w:rPr>
          <w:rFonts w:ascii="Arial" w:cs="Arial" w:eastAsia="Arial" w:hAnsi="Arial"/>
          <w:sz w:val="15"/>
          <w:szCs w:val="15"/>
          <w:color w:val="auto"/>
        </w:rPr>
        <w:t>We use appropriate peer groups when establishing compensation which the committee devotes considerable effort in re-evaluating on an annual basis.</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regularly reach out to leading shareholders and their advisory firms to discuss our governance and executive compensation.</w:t>
      </w:r>
    </w:p>
    <w:p>
      <w:pPr>
        <w:spacing w:after="0" w:line="236" w:lineRule="exact"/>
        <w:rPr>
          <w:sz w:val="20"/>
          <w:szCs w:val="20"/>
          <w:color w:val="auto"/>
        </w:rPr>
      </w:pPr>
    </w:p>
    <w:p>
      <w:pPr>
        <w:ind w:left="600"/>
        <w:spacing w:after="0"/>
        <w:rPr>
          <w:sz w:val="20"/>
          <w:szCs w:val="20"/>
          <w:color w:val="auto"/>
        </w:rPr>
      </w:pPr>
      <w:r>
        <w:rPr>
          <w:rFonts w:ascii="Arial" w:cs="Arial" w:eastAsia="Arial" w:hAnsi="Arial"/>
          <w:sz w:val="32"/>
          <w:szCs w:val="32"/>
          <w:b w:val="1"/>
          <w:bCs w:val="1"/>
          <w:color w:val="5D89B4"/>
        </w:rPr>
        <w:t>What We Don’t Do</w:t>
      </w:r>
    </w:p>
    <w:p>
      <w:pPr>
        <w:spacing w:after="0" w:line="173" w:lineRule="exact"/>
        <w:rPr>
          <w:sz w:val="20"/>
          <w:szCs w:val="20"/>
          <w:color w:val="auto"/>
        </w:rPr>
      </w:pPr>
    </w:p>
    <w:p>
      <w:pPr>
        <w:ind w:left="920" w:right="520"/>
        <w:spacing w:after="0" w:line="230" w:lineRule="auto"/>
        <w:rPr>
          <w:sz w:val="20"/>
          <w:szCs w:val="20"/>
          <w:color w:val="auto"/>
        </w:rPr>
      </w:pPr>
      <w:r>
        <w:rPr>
          <w:rFonts w:ascii="Arial" w:cs="Arial" w:eastAsia="Arial" w:hAnsi="Arial"/>
          <w:sz w:val="15"/>
          <w:szCs w:val="15"/>
          <w:color w:val="auto"/>
        </w:rPr>
        <w:t>We do not use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business climate, and we often experience fluctuations in stock price that are de-coupled from the fundamentals of our business.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provide tax gross up payments for any amounts considered excess parachute payments.</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pay dividends on PSUs and only pay dividend equivalents on RSUs if and when they vest.</w:t>
      </w:r>
    </w:p>
    <w:p>
      <w:pPr>
        <w:spacing w:after="0" w:line="95" w:lineRule="exact"/>
        <w:rPr>
          <w:sz w:val="20"/>
          <w:szCs w:val="20"/>
          <w:color w:val="auto"/>
        </w:rPr>
      </w:pPr>
    </w:p>
    <w:p>
      <w:pPr>
        <w:ind w:left="920" w:right="520"/>
        <w:spacing w:after="0" w:line="237" w:lineRule="auto"/>
        <w:rPr>
          <w:sz w:val="20"/>
          <w:szCs w:val="20"/>
          <w:color w:val="auto"/>
        </w:rPr>
      </w:pPr>
      <w:r>
        <w:rPr>
          <w:rFonts w:ascii="Arial" w:cs="Arial" w:eastAsia="Arial" w:hAnsi="Arial"/>
          <w:sz w:val="15"/>
          <w:szCs w:val="15"/>
          <w:color w:val="auto"/>
        </w:rPr>
        <w:t>We do not encourage undue risk taking in our compensation plans. By using varied financial metrics and setting caps on potential payouts the company mitigates undue risk taking.</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permit the repricing of stock options without prior shareholder approval, except in connection with a transaction.</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allow hedging or pledging of ManpowerGroup stock.</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provide excessive perquisites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v</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254" w:right="499" w:bottom="1440" w:gutter="0" w:footer="0" w:header="0"/>
        </w:sectPr>
      </w:pPr>
    </w:p>
    <w:bookmarkStart w:id="12" w:name="page13"/>
    <w:bookmarkEnd w:id="12"/>
    <w:p>
      <w:pPr>
        <w:spacing w:after="0"/>
        <w:rPr>
          <w:sz w:val="20"/>
          <w:szCs w:val="20"/>
          <w:color w:val="auto"/>
        </w:rPr>
      </w:pPr>
      <w:r>
        <w:rPr>
          <w:rFonts w:ascii="Arial" w:cs="Arial" w:eastAsia="Arial" w:hAnsi="Arial"/>
          <w:sz w:val="42"/>
          <w:szCs w:val="42"/>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Nominee Biographies</w:t>
      </w:r>
    </w:p>
    <w:p>
      <w:pPr>
        <w:sectPr>
          <w:pgSz w:w="11900" w:h="16838" w:orient="portrait"/>
          <w:cols w:equalWidth="0" w:num="1">
            <w:col w:w="10900"/>
          </w:cols>
          <w:pgMar w:left="480" w:top="125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32"/>
          <w:szCs w:val="32"/>
          <w:b w:val="1"/>
          <w:bCs w:val="1"/>
          <w:color w:val="5D89B4"/>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-1772285</wp:posOffset>
            </wp:positionV>
            <wp:extent cx="1485900" cy="1485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47"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Joined the board 2007</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Age 58</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auto"/>
        </w:rPr>
        <w:t>Committees: Audit,</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auto"/>
        </w:rPr>
        <w:t>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372745</wp:posOffset>
            </wp:positionV>
            <wp:extent cx="1511935" cy="1511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00"/>
        <w:spacing w:after="0"/>
        <w:rPr>
          <w:sz w:val="20"/>
          <w:szCs w:val="20"/>
          <w:color w:val="auto"/>
        </w:rPr>
      </w:pPr>
      <w:r>
        <w:rPr>
          <w:rFonts w:ascii="Arial" w:cs="Arial" w:eastAsia="Arial" w:hAnsi="Arial"/>
          <w:sz w:val="31"/>
          <w:szCs w:val="31"/>
          <w:b w:val="1"/>
          <w:bCs w:val="1"/>
          <w:color w:val="5D89B4"/>
        </w:rPr>
        <w:t>Jean-Philippe Courtois</w:t>
      </w:r>
    </w:p>
    <w:p>
      <w:pPr>
        <w:spacing w:after="0" w:line="179"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Joined the board 2020</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Age 60</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auto"/>
        </w:rPr>
        <w:t>Committees: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President, US Customer Development at Unilever, a global food, personal care and household products company, from May 2017 to 2019. General Manager, U.K. and Ireland, at Unilever from September 2015 to May 2017. Executive Vice President, Personal Care, at Unilever from 2011 to September 2015. Prior thereto, Ms. Boswell was President, Global Brands, of Alberto-Culver Company, a consumer goods company, from 2008 to July 2011. Prior thereto, Ms. Boswell held several leadership positions, including Senior Vice President and Chief Operating Officer-North America of Avon Products, Inc. from 2005 to 2007 and as an executive with Ford Motor Company from 1999 to 2003. A director of Wolverine Worldwide, Inc. since 2013.</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Ms. Boswell has significant international, managerial, strategic, operational, global and financial management expertise as a result of the various senior leadership positions she has held at several companies with global operations. Ms. Boswell also brings an important perspective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518160</wp:posOffset>
            </wp:positionV>
            <wp:extent cx="4220845"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ind w:right="220"/>
        <w:spacing w:after="0" w:line="247" w:lineRule="auto"/>
        <w:rPr>
          <w:sz w:val="20"/>
          <w:szCs w:val="20"/>
          <w:color w:val="auto"/>
        </w:rPr>
      </w:pPr>
      <w:r>
        <w:rPr>
          <w:rFonts w:ascii="Arial" w:cs="Arial" w:eastAsia="Arial" w:hAnsi="Arial"/>
          <w:sz w:val="16"/>
          <w:szCs w:val="16"/>
          <w:color w:val="auto"/>
        </w:rPr>
        <w:t>Executive Vice President, President Global Sales, Marketing and Operations at Microsoft Corporation, a global technology provider, since 2016. President, Microsoft International from 2005 to 2016. Prior thereto, Mr. Courtois held several leadership positions with Microsoft Corporation, including CEO, Microsoft EMEA from 2003 to 2005. A director of AstraZeneca plc from 2008 to 2016.</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Mr. Courtois has significant international, managerial, strategic, operational, global, technology and government relations expertise as a result of the various senior leadership positions he has held at Microsoft Corporation. Mr. Courtois also brings an important perspective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1002030</wp:posOffset>
            </wp:positionV>
            <wp:extent cx="69297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25" w:lineRule="exact"/>
        <w:rPr>
          <w:sz w:val="20"/>
          <w:szCs w:val="20"/>
          <w:color w:val="auto"/>
        </w:rPr>
      </w:pPr>
    </w:p>
    <w:p>
      <w:pPr>
        <w:sectPr>
          <w:pgSz w:w="11900" w:h="16838" w:orient="portrait"/>
          <w:cols w:equalWidth="0" w:num="2">
            <w:col w:w="3880" w:space="500"/>
            <w:col w:w="6520"/>
          </w:cols>
          <w:pgMar w:left="480" w:top="1250" w:right="519" w:bottom="1440" w:gutter="0" w:footer="0" w:header="0"/>
          <w:type w:val="continuous"/>
        </w:sectPr>
      </w:pPr>
    </w:p>
    <w:p>
      <w:pPr>
        <w:spacing w:after="0" w:line="203" w:lineRule="exact"/>
        <w:rPr>
          <w:sz w:val="20"/>
          <w:szCs w:val="20"/>
          <w:color w:val="auto"/>
        </w:rPr>
      </w:pPr>
    </w:p>
    <w:p>
      <w:pPr>
        <w:ind w:left="6020" w:hanging="604"/>
        <w:spacing w:after="0"/>
        <w:tabs>
          <w:tab w:leader="none" w:pos="6020" w:val="left"/>
        </w:tabs>
        <w:numPr>
          <w:ilvl w:val="0"/>
          <w:numId w:val="18"/>
        </w:numPr>
        <w:rPr>
          <w:rFonts w:ascii="Arial" w:cs="Arial" w:eastAsia="Arial" w:hAnsi="Arial"/>
          <w:sz w:val="19"/>
          <w:szCs w:val="19"/>
          <w:b w:val="1"/>
          <w:bCs w:val="1"/>
          <w:color w:val="5D89B4"/>
        </w:rPr>
      </w:pP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50" w:right="5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106680</wp:posOffset>
            </wp:positionV>
            <wp:extent cx="1485900" cy="1485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180"/>
        <w:spacing w:after="0"/>
        <w:rPr>
          <w:sz w:val="20"/>
          <w:szCs w:val="20"/>
          <w:color w:val="auto"/>
        </w:rPr>
      </w:pPr>
      <w:r>
        <w:rPr>
          <w:rFonts w:ascii="Arial" w:cs="Arial" w:eastAsia="Arial" w:hAnsi="Arial"/>
          <w:sz w:val="32"/>
          <w:szCs w:val="32"/>
          <w:b w:val="1"/>
          <w:bCs w:val="1"/>
          <w:color w:val="5D89B4"/>
        </w:rPr>
        <w:t>William Downe</w:t>
      </w:r>
    </w:p>
    <w:p>
      <w:pPr>
        <w:spacing w:after="0" w:line="167" w:lineRule="exact"/>
        <w:rPr>
          <w:sz w:val="20"/>
          <w:szCs w:val="20"/>
          <w:color w:val="auto"/>
        </w:rPr>
      </w:pPr>
    </w:p>
    <w:p>
      <w:pPr>
        <w:jc w:val="center"/>
        <w:ind w:left="180" w:right="800"/>
        <w:spacing w:after="0" w:line="254" w:lineRule="auto"/>
        <w:rPr>
          <w:sz w:val="20"/>
          <w:szCs w:val="20"/>
          <w:color w:val="auto"/>
        </w:rPr>
      </w:pPr>
      <w:r>
        <w:rPr>
          <w:rFonts w:ascii="Arial" w:cs="Arial" w:eastAsia="Arial" w:hAnsi="Arial"/>
          <w:sz w:val="23"/>
          <w:szCs w:val="23"/>
          <w:color w:val="5D89B4"/>
        </w:rPr>
        <w:t>Lead Director Joined the board 2011 Age 68</w:t>
      </w:r>
    </w:p>
    <w:p>
      <w:pPr>
        <w:spacing w:after="0" w:line="3" w:lineRule="exact"/>
        <w:rPr>
          <w:sz w:val="20"/>
          <w:szCs w:val="20"/>
          <w:color w:val="auto"/>
        </w:rPr>
      </w:pPr>
    </w:p>
    <w:p>
      <w:pPr>
        <w:jc w:val="center"/>
        <w:ind w:left="180"/>
        <w:spacing w:after="0" w:line="266" w:lineRule="auto"/>
        <w:rPr>
          <w:sz w:val="20"/>
          <w:szCs w:val="20"/>
          <w:color w:val="auto"/>
        </w:rPr>
      </w:pPr>
      <w:r>
        <w:rPr>
          <w:rFonts w:ascii="Arial" w:cs="Arial" w:eastAsia="Arial" w:hAnsi="Arial"/>
          <w:sz w:val="23"/>
          <w:szCs w:val="23"/>
          <w:color w:val="auto"/>
        </w:rPr>
        <w:t>Committees: Executive Compensation and Human Resources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-1002665</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-416560</wp:posOffset>
            </wp:positionV>
            <wp:extent cx="6929755"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-909320</wp:posOffset>
            </wp:positionV>
            <wp:extent cx="6929755" cy="407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45" w:lineRule="auto"/>
        <w:rPr>
          <w:sz w:val="20"/>
          <w:szCs w:val="20"/>
          <w:color w:val="auto"/>
        </w:rPr>
      </w:pPr>
      <w:r>
        <w:rPr>
          <w:rFonts w:ascii="Arial" w:cs="Arial" w:eastAsia="Arial" w:hAnsi="Arial"/>
          <w:sz w:val="16"/>
          <w:szCs w:val="16"/>
          <w:color w:val="auto"/>
        </w:rPr>
        <w:t>Non-Executive Chairman of Trans Mountain Corporation, an oil pipeline operator, since November 2018. Chief Executive Officer of BMO Financial Group, a highly diversified financial services provider based in North America, from 2007 to October 2017. Prior thereto, Mr. Downe held several leadership positions with BMO Financial Group and its subsidiaries, including Chief Operating Officer of BMO Financial Group from 2006 to 2007, and Deputy Chair of BMO Financial Group and Chief Executive Officer, BMO Nesbitt Burns and Head of Investment Banking Group from 2001 to 2006. A director of Loblaw Companies Limited since 2018 and a director of BMO Financial Group from 2007 to 2017.</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Mr. Downe brings to the board significant managerial, operational and global experience he gained during his tenure as Chief Executive Officer of BMO Financial Group and serving on its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932815</wp:posOffset>
            </wp:positionV>
            <wp:extent cx="4220845"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1711" w:lineRule="exact"/>
        <w:rPr>
          <w:sz w:val="20"/>
          <w:szCs w:val="20"/>
          <w:color w:val="auto"/>
        </w:rPr>
      </w:pPr>
    </w:p>
    <w:p>
      <w:pPr>
        <w:sectPr>
          <w:pgSz w:w="11900" w:h="16838" w:orient="portrait"/>
          <w:cols w:equalWidth="0" w:num="2">
            <w:col w:w="4100" w:space="280"/>
            <w:col w:w="6540"/>
          </w:cols>
          <w:pgMar w:left="480" w:top="116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620"/>
        <w:spacing w:after="0"/>
        <w:rPr>
          <w:sz w:val="20"/>
          <w:szCs w:val="20"/>
          <w:color w:val="auto"/>
        </w:rPr>
      </w:pPr>
      <w:r>
        <w:rPr>
          <w:rFonts w:ascii="Arial" w:cs="Arial" w:eastAsia="Arial" w:hAnsi="Arial"/>
          <w:sz w:val="31"/>
          <w:szCs w:val="31"/>
          <w:b w:val="1"/>
          <w:bCs w:val="1"/>
          <w:color w:val="5D89B4"/>
        </w:rPr>
        <w:t>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-1765300</wp:posOffset>
            </wp:positionV>
            <wp:extent cx="1485900" cy="1485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59" w:lineRule="exact"/>
        <w:rPr>
          <w:sz w:val="20"/>
          <w:szCs w:val="20"/>
          <w:color w:val="auto"/>
        </w:rPr>
      </w:pPr>
    </w:p>
    <w:p>
      <w:pPr>
        <w:jc w:val="center"/>
        <w:ind w:left="620"/>
        <w:spacing w:after="0"/>
        <w:rPr>
          <w:sz w:val="20"/>
          <w:szCs w:val="20"/>
          <w:color w:val="auto"/>
        </w:rPr>
      </w:pPr>
      <w:r>
        <w:rPr>
          <w:rFonts w:ascii="Arial" w:cs="Arial" w:eastAsia="Arial" w:hAnsi="Arial"/>
          <w:sz w:val="23"/>
          <w:szCs w:val="23"/>
          <w:color w:val="5D89B4"/>
        </w:rPr>
        <w:t>Joined the board 2016</w:t>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23"/>
          <w:szCs w:val="23"/>
          <w:color w:val="5D89B4"/>
        </w:rPr>
        <w:t>Age 65</w:t>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23"/>
          <w:szCs w:val="23"/>
          <w:color w:val="auto"/>
        </w:rPr>
        <w:t>Committees: Audit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Global Chief Operating Officer of Ernst &amp; Young (“EY”), a global professional services organization, from 2007 to January 2015. Prior thereto, Mr. Ferraro held several senior leadership positions at EY, including Global Vice Chair Audit. In addition, Mr. Ferraro served as a member of EY’s Global Executive board for more than 10 years. Mr. Ferraro also served as Executive Vice President, Strategy and Sales of Aquilon Energy Services, a software and services company for the energy industry, from February 2019 to July 2019. A director of Advance Auto Parts since 2015 and International Flavor and Fragrances, Inc. since 2015.</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jc w:val="both"/>
        <w:ind w:right="340"/>
        <w:spacing w:after="0" w:line="248" w:lineRule="auto"/>
        <w:rPr>
          <w:sz w:val="20"/>
          <w:szCs w:val="20"/>
          <w:color w:val="auto"/>
        </w:rPr>
      </w:pPr>
      <w:r>
        <w:rPr>
          <w:rFonts w:ascii="Arial" w:cs="Arial" w:eastAsia="Arial" w:hAnsi="Arial"/>
          <w:sz w:val="16"/>
          <w:szCs w:val="16"/>
          <w:color w:val="auto"/>
        </w:rPr>
        <w:t>Mr. Ferraro brings to the board significant managerial, operational, financial and global experience he gained during his tenure as Global Chief Operating Officer of EY and the other various positions he held at EY as well as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586105</wp:posOffset>
            </wp:positionV>
            <wp:extent cx="69297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23" w:lineRule="exact"/>
        <w:rPr>
          <w:sz w:val="20"/>
          <w:szCs w:val="20"/>
          <w:color w:val="auto"/>
        </w:rPr>
      </w:pPr>
    </w:p>
    <w:p>
      <w:pPr>
        <w:sectPr>
          <w:pgSz w:w="11900" w:h="16838" w:orient="portrait"/>
          <w:cols w:equalWidth="0" w:num="2">
            <w:col w:w="3660" w:space="720"/>
            <w:col w:w="6540"/>
          </w:cols>
          <w:pgMar w:left="480" w:top="1165" w:right="499" w:bottom="1440" w:gutter="0" w:footer="0" w:header="0"/>
          <w:type w:val="continuous"/>
        </w:sectPr>
      </w:pPr>
    </w:p>
    <w:p>
      <w:pPr>
        <w:spacing w:after="0" w:line="136" w:lineRule="exact"/>
        <w:rPr>
          <w:sz w:val="20"/>
          <w:szCs w:val="20"/>
          <w:color w:val="auto"/>
        </w:rPr>
      </w:pPr>
    </w:p>
    <w:p>
      <w:pPr>
        <w:ind w:left="6020" w:hanging="604"/>
        <w:spacing w:after="0"/>
        <w:tabs>
          <w:tab w:leader="none" w:pos="6020" w:val="left"/>
        </w:tabs>
        <w:numPr>
          <w:ilvl w:val="0"/>
          <w:numId w:val="19"/>
        </w:numPr>
        <w:rPr>
          <w:rFonts w:ascii="Arial" w:cs="Arial" w:eastAsia="Arial" w:hAnsi="Arial"/>
          <w:sz w:val="19"/>
          <w:szCs w:val="19"/>
          <w:b w:val="1"/>
          <w:bCs w:val="1"/>
          <w:color w:val="5D89B4"/>
        </w:rPr>
      </w:pP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963930</wp:posOffset>
            </wp:positionV>
            <wp:extent cx="1511935" cy="15119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D89B4"/>
        </w:rPr>
        <w:t>William P. Gipson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3"/>
          <w:szCs w:val="23"/>
          <w:color w:val="5D89B4"/>
        </w:rPr>
        <w:t>Joined the board 2020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3"/>
          <w:szCs w:val="23"/>
          <w:color w:val="5D89B4"/>
        </w:rPr>
        <w:t>Age 63</w:t>
      </w:r>
    </w:p>
    <w:p>
      <w:pPr>
        <w:spacing w:after="0" w:line="16" w:lineRule="exact"/>
        <w:rPr>
          <w:sz w:val="20"/>
          <w:szCs w:val="20"/>
          <w:color w:val="auto"/>
        </w:rPr>
      </w:pPr>
    </w:p>
    <w:p>
      <w:pPr>
        <w:jc w:val="center"/>
        <w:spacing w:after="0" w:line="266" w:lineRule="auto"/>
        <w:rPr>
          <w:sz w:val="20"/>
          <w:szCs w:val="20"/>
          <w:color w:val="auto"/>
        </w:rPr>
      </w:pPr>
      <w:r>
        <w:rPr>
          <w:rFonts w:ascii="Arial" w:cs="Arial" w:eastAsia="Arial" w:hAnsi="Arial"/>
          <w:sz w:val="23"/>
          <w:szCs w:val="23"/>
          <w:color w:val="auto"/>
        </w:rPr>
        <w:t>Committees: Executive Compensation and Human Resources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-767080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-180975</wp:posOffset>
            </wp:positionV>
            <wp:extent cx="6929755" cy="3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-673735</wp:posOffset>
            </wp:positionV>
            <wp:extent cx="6929755" cy="407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President, Enterprise Packaging Transformation of Procter &amp; Gamble, a leading global provider of branded consumer packaged goods, from 2017 to 2019. Prior thereto, Mr. Gipson held several leadership positions at Procter &amp; Gamble, including Senior Vice President, Research &amp; Development for Asia from 2015-2017 and Senior Vice President, Research &amp; Development for the Global Hair Care/Color &amp; Overall Beauty Sector from 2011 to 2015. Mr. Gipson also served simultaneously as the Senior Vice President, Corporate Chief Diversity Officer for Procter &amp; Gamble from 2011-2019. A director of Rockwell Automation, Inc. since November 2020.</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Mr. Gipson brings to the board significant international, managerial, operational and government relations experience from his tenure as President, Enterprise Packaging and Transformation of Procter &amp; Gamble and the other various positions he held at Procter &amp;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662305</wp:posOffset>
            </wp:positionV>
            <wp:extent cx="4220845"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1285" w:lineRule="exact"/>
        <w:rPr>
          <w:sz w:val="20"/>
          <w:szCs w:val="20"/>
          <w:color w:val="auto"/>
        </w:rPr>
      </w:pPr>
    </w:p>
    <w:p>
      <w:pPr>
        <w:sectPr>
          <w:pgSz w:w="11900" w:h="16838" w:orient="portrait"/>
          <w:cols w:equalWidth="0" w:num="2">
            <w:col w:w="3920" w:space="280"/>
            <w:col w:w="6540"/>
          </w:cols>
          <w:pgMar w:left="660" w:top="116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100"/>
        <w:spacing w:after="0"/>
        <w:rPr>
          <w:sz w:val="20"/>
          <w:szCs w:val="20"/>
          <w:color w:val="auto"/>
        </w:rPr>
      </w:pPr>
      <w:r>
        <w:rPr>
          <w:rFonts w:ascii="Arial" w:cs="Arial" w:eastAsia="Arial" w:hAnsi="Arial"/>
          <w:sz w:val="32"/>
          <w:szCs w:val="32"/>
          <w:b w:val="1"/>
          <w:bCs w:val="1"/>
          <w:color w:val="5D89B4"/>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-1772285</wp:posOffset>
            </wp:positionV>
            <wp:extent cx="1485900" cy="1485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47" w:lineRule="exact"/>
        <w:rPr>
          <w:sz w:val="20"/>
          <w:szCs w:val="20"/>
          <w:color w:val="auto"/>
        </w:rPr>
      </w:pPr>
    </w:p>
    <w:p>
      <w:pPr>
        <w:jc w:val="center"/>
        <w:ind w:left="100"/>
        <w:spacing w:after="0"/>
        <w:rPr>
          <w:sz w:val="20"/>
          <w:szCs w:val="20"/>
          <w:color w:val="auto"/>
        </w:rPr>
      </w:pPr>
      <w:r>
        <w:rPr>
          <w:rFonts w:ascii="Arial" w:cs="Arial" w:eastAsia="Arial" w:hAnsi="Arial"/>
          <w:sz w:val="23"/>
          <w:szCs w:val="23"/>
          <w:color w:val="5D89B4"/>
        </w:rPr>
        <w:t>Joined the board 2011</w:t>
      </w:r>
    </w:p>
    <w:p>
      <w:pPr>
        <w:spacing w:after="0" w:line="16" w:lineRule="exact"/>
        <w:rPr>
          <w:sz w:val="20"/>
          <w:szCs w:val="20"/>
          <w:color w:val="auto"/>
        </w:rPr>
      </w:pPr>
    </w:p>
    <w:p>
      <w:pPr>
        <w:jc w:val="center"/>
        <w:ind w:left="100"/>
        <w:spacing w:after="0"/>
        <w:rPr>
          <w:sz w:val="20"/>
          <w:szCs w:val="20"/>
          <w:color w:val="auto"/>
        </w:rPr>
      </w:pPr>
      <w:r>
        <w:rPr>
          <w:rFonts w:ascii="Arial" w:cs="Arial" w:eastAsia="Arial" w:hAnsi="Arial"/>
          <w:sz w:val="23"/>
          <w:szCs w:val="23"/>
          <w:color w:val="5D89B4"/>
        </w:rPr>
        <w:t>Age 68</w:t>
      </w:r>
    </w:p>
    <w:p>
      <w:pPr>
        <w:spacing w:after="0" w:line="16" w:lineRule="exact"/>
        <w:rPr>
          <w:sz w:val="20"/>
          <w:szCs w:val="20"/>
          <w:color w:val="auto"/>
        </w:rPr>
      </w:pPr>
    </w:p>
    <w:p>
      <w:pPr>
        <w:jc w:val="center"/>
        <w:ind w:left="100"/>
        <w:spacing w:after="0" w:line="266" w:lineRule="auto"/>
        <w:rPr>
          <w:sz w:val="20"/>
          <w:szCs w:val="20"/>
          <w:color w:val="auto"/>
        </w:rPr>
      </w:pPr>
      <w:r>
        <w:rPr>
          <w:rFonts w:ascii="Arial" w:cs="Arial" w:eastAsia="Arial" w:hAnsi="Arial"/>
          <w:sz w:val="23"/>
          <w:szCs w:val="23"/>
          <w:color w:val="auto"/>
        </w:rPr>
        <w:t>Committees: Audit, Nominating and Governance (Chair)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President and Chief Executive Officer of Health Care Service Corporation (“HCSC”), a mutual health insurer, from 2008 to December 2015. Prior thereto, Ms. Hemingway Hall held several leadership positions at HCSC, including President and Chief Operating Officer from 2007 to 2008 and Executive Vice President of Internal Operations from 2006 to 2007. A director of Cardinal Health since 2013 and Halliburton since February 2019. A director of Celgene Corporation from 2018 to 2019.</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Ms. Hemingway Hall brings to the board significant managerial, operational, sales, marketing and government relations, experience from her tenure as President and Chief Executive Officer of HCSC and the other various positions she held at HCSC. Ms. Hemingway Hall also brings an important perspective gained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883920</wp:posOffset>
            </wp:positionV>
            <wp:extent cx="69297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33" w:lineRule="exact"/>
        <w:rPr>
          <w:sz w:val="20"/>
          <w:szCs w:val="20"/>
          <w:color w:val="auto"/>
        </w:rPr>
      </w:pPr>
    </w:p>
    <w:p>
      <w:pPr>
        <w:sectPr>
          <w:pgSz w:w="11900" w:h="16838" w:orient="portrait"/>
          <w:cols w:equalWidth="0" w:num="2">
            <w:col w:w="3820" w:space="380"/>
            <w:col w:w="6540"/>
          </w:cols>
          <w:pgMar w:left="660" w:top="1165" w:right="499" w:bottom="1440" w:gutter="0" w:footer="0" w:header="0"/>
          <w:type w:val="continuous"/>
        </w:sectPr>
      </w:pPr>
    </w:p>
    <w:p>
      <w:pPr>
        <w:spacing w:after="0" w:line="96" w:lineRule="exact"/>
        <w:rPr>
          <w:sz w:val="20"/>
          <w:szCs w:val="20"/>
          <w:color w:val="auto"/>
        </w:rPr>
      </w:pPr>
    </w:p>
    <w:p>
      <w:pPr>
        <w:ind w:left="5840" w:hanging="604"/>
        <w:spacing w:after="0"/>
        <w:tabs>
          <w:tab w:leader="none" w:pos="5840" w:val="left"/>
        </w:tabs>
        <w:numPr>
          <w:ilvl w:val="0"/>
          <w:numId w:val="20"/>
        </w:numPr>
        <w:rPr>
          <w:rFonts w:ascii="Arial" w:cs="Arial" w:eastAsia="Arial" w:hAnsi="Arial"/>
          <w:sz w:val="19"/>
          <w:szCs w:val="19"/>
          <w:b w:val="1"/>
          <w:bCs w:val="1"/>
          <w:color w:val="5D89B4"/>
        </w:rPr>
      </w:pP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-123190</wp:posOffset>
            </wp:positionV>
            <wp:extent cx="934085" cy="169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40"/>
          </w:cols>
          <w:pgMar w:left="660" w:top="1165" w:right="4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106680</wp:posOffset>
            </wp:positionV>
            <wp:extent cx="1485900" cy="1485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20"/>
        <w:spacing w:after="0"/>
        <w:rPr>
          <w:sz w:val="20"/>
          <w:szCs w:val="20"/>
          <w:color w:val="auto"/>
        </w:rPr>
      </w:pPr>
      <w:r>
        <w:rPr>
          <w:rFonts w:ascii="Arial" w:cs="Arial" w:eastAsia="Arial" w:hAnsi="Arial"/>
          <w:sz w:val="32"/>
          <w:szCs w:val="32"/>
          <w:b w:val="1"/>
          <w:bCs w:val="1"/>
          <w:color w:val="5D89B4"/>
        </w:rPr>
        <w:t>Julie M. Howard</w:t>
      </w:r>
    </w:p>
    <w:p>
      <w:pPr>
        <w:spacing w:after="0" w:line="167" w:lineRule="exact"/>
        <w:rPr>
          <w:sz w:val="20"/>
          <w:szCs w:val="20"/>
          <w:color w:val="auto"/>
        </w:rPr>
      </w:pPr>
    </w:p>
    <w:p>
      <w:pPr>
        <w:jc w:val="center"/>
        <w:ind w:left="180"/>
        <w:spacing w:after="0"/>
        <w:rPr>
          <w:sz w:val="20"/>
          <w:szCs w:val="20"/>
          <w:color w:val="auto"/>
        </w:rPr>
      </w:pPr>
      <w:r>
        <w:rPr>
          <w:rFonts w:ascii="Arial" w:cs="Arial" w:eastAsia="Arial" w:hAnsi="Arial"/>
          <w:sz w:val="23"/>
          <w:szCs w:val="23"/>
          <w:color w:val="5D89B4"/>
        </w:rPr>
        <w:t>Joined the board 2016</w:t>
      </w:r>
    </w:p>
    <w:p>
      <w:pPr>
        <w:spacing w:after="0" w:line="16" w:lineRule="exact"/>
        <w:rPr>
          <w:sz w:val="20"/>
          <w:szCs w:val="20"/>
          <w:color w:val="auto"/>
        </w:rPr>
      </w:pPr>
    </w:p>
    <w:p>
      <w:pPr>
        <w:jc w:val="center"/>
        <w:ind w:left="180"/>
        <w:spacing w:after="0"/>
        <w:rPr>
          <w:sz w:val="20"/>
          <w:szCs w:val="20"/>
          <w:color w:val="auto"/>
        </w:rPr>
      </w:pPr>
      <w:r>
        <w:rPr>
          <w:rFonts w:ascii="Arial" w:cs="Arial" w:eastAsia="Arial" w:hAnsi="Arial"/>
          <w:sz w:val="23"/>
          <w:szCs w:val="23"/>
          <w:color w:val="5D89B4"/>
        </w:rPr>
        <w:t>Age 58</w:t>
      </w:r>
    </w:p>
    <w:p>
      <w:pPr>
        <w:spacing w:after="0" w:line="16" w:lineRule="exact"/>
        <w:rPr>
          <w:sz w:val="20"/>
          <w:szCs w:val="20"/>
          <w:color w:val="auto"/>
        </w:rPr>
      </w:pPr>
    </w:p>
    <w:p>
      <w:pPr>
        <w:jc w:val="center"/>
        <w:ind w:left="180"/>
        <w:spacing w:after="0" w:line="260" w:lineRule="auto"/>
        <w:rPr>
          <w:sz w:val="20"/>
          <w:szCs w:val="20"/>
          <w:color w:val="auto"/>
        </w:rPr>
      </w:pPr>
      <w:r>
        <w:rPr>
          <w:rFonts w:ascii="Arial" w:cs="Arial" w:eastAsia="Arial" w:hAnsi="Arial"/>
          <w:sz w:val="23"/>
          <w:szCs w:val="23"/>
          <w:color w:val="auto"/>
        </w:rPr>
        <w:t>Committees: Executive Compensation and Human Resources, Nominating and Governance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-1002665</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-416560</wp:posOffset>
            </wp:positionV>
            <wp:extent cx="6929755"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-909320</wp:posOffset>
            </wp:positionV>
            <wp:extent cx="6929755" cy="407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46" w:lineRule="auto"/>
        <w:rPr>
          <w:sz w:val="20"/>
          <w:szCs w:val="20"/>
          <w:color w:val="auto"/>
        </w:rPr>
      </w:pPr>
      <w:r>
        <w:rPr>
          <w:rFonts w:ascii="Arial" w:cs="Arial" w:eastAsia="Arial" w:hAnsi="Arial"/>
          <w:sz w:val="16"/>
          <w:szCs w:val="16"/>
          <w:color w:val="auto"/>
        </w:rPr>
        <w:t>Chief Executive Officer of Riveron Consulting, LLC, a business advisory firm specializing in accounting, finance, technology, and operations, since March 2021. Chief Executive Officer of Navigant Consulting, Inc. (“Navigant”), a specialized global professional services firm, from 2012 to 2019. Chairman of the Board of Navigant from 2014 to 2019. Prior thereto, Ms. Howard held several leadership positions at Navigant including Chief Operating Officer. A director of Sleep Number Corporation since May 2020. A director of InnerWorkings, Inc. from 2012 to 2019.</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Ms. Howard brings to the board significant managerial and operational experience from her tenure as Chief Executive Officer of Navigant and the other various positions she held at Navigant. Ms. Howard also brings an important perspective from serving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934085</wp:posOffset>
            </wp:positionV>
            <wp:extent cx="4220845"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1705" w:lineRule="exact"/>
        <w:rPr>
          <w:sz w:val="20"/>
          <w:szCs w:val="20"/>
          <w:color w:val="auto"/>
        </w:rPr>
      </w:pPr>
    </w:p>
    <w:p>
      <w:pPr>
        <w:sectPr>
          <w:pgSz w:w="11900" w:h="16838" w:orient="portrait"/>
          <w:cols w:equalWidth="0" w:num="2">
            <w:col w:w="4100" w:space="280"/>
            <w:col w:w="6540"/>
          </w:cols>
          <w:pgMar w:left="480" w:top="116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60"/>
        <w:spacing w:after="0"/>
        <w:rPr>
          <w:sz w:val="20"/>
          <w:szCs w:val="20"/>
          <w:color w:val="auto"/>
        </w:rPr>
      </w:pPr>
      <w:r>
        <w:rPr>
          <w:rFonts w:ascii="Arial" w:cs="Arial" w:eastAsia="Arial" w:hAnsi="Arial"/>
          <w:sz w:val="32"/>
          <w:szCs w:val="32"/>
          <w:b w:val="1"/>
          <w:bCs w:val="1"/>
          <w:color w:val="5D89B4"/>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-1772920</wp:posOffset>
            </wp:positionV>
            <wp:extent cx="1485900" cy="1485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47" w:lineRule="exact"/>
        <w:rPr>
          <w:sz w:val="20"/>
          <w:szCs w:val="20"/>
          <w:color w:val="auto"/>
        </w:rPr>
      </w:pPr>
    </w:p>
    <w:p>
      <w:pPr>
        <w:jc w:val="center"/>
        <w:ind w:left="620"/>
        <w:spacing w:after="0"/>
        <w:rPr>
          <w:sz w:val="20"/>
          <w:szCs w:val="20"/>
          <w:color w:val="auto"/>
        </w:rPr>
      </w:pPr>
      <w:r>
        <w:rPr>
          <w:rFonts w:ascii="Arial" w:cs="Arial" w:eastAsia="Arial" w:hAnsi="Arial"/>
          <w:sz w:val="23"/>
          <w:szCs w:val="23"/>
          <w:color w:val="5D89B4"/>
        </w:rPr>
        <w:t>Joined the board 2007</w:t>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23"/>
          <w:szCs w:val="23"/>
          <w:color w:val="5D89B4"/>
        </w:rPr>
        <w:t>Age 65</w:t>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23"/>
          <w:szCs w:val="23"/>
          <w:color w:val="auto"/>
        </w:rPr>
        <w:t>Committees: Audit,</w:t>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23"/>
          <w:szCs w:val="23"/>
          <w:color w:val="auto"/>
        </w:rPr>
        <w:t>Nominating and Governance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President and Managing Member of Addison-Clifton, LLC, a provider of global trade compliance advisory services, since May 2004. Prior thereto, Mr. Payne held several leadership positions, including President and Chief Executive Officer of the Milwaukee Brewers Baseball Club from 2002 to 2003 and Partner with the law firm Foley &amp; Lardner LLP from 1998 to 2002. A director of WEC Energy Group, Inc. (formerly Wisconsin Energy Corporation) since 2003 and Foot Locker, Inc. since 2016. A trustee of The Northwestern Mutual Life Insurance Company from 2005 to 2018.</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Mr. Payne brings to the board significant managerial, operational, financial and global experience as a result of many senior positions he has held including as President of Addison-Clifton, LLC. The board of directors also benefits from his broad experience in and knowledge of 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925830</wp:posOffset>
            </wp:positionV>
            <wp:extent cx="692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91" w:lineRule="exact"/>
        <w:rPr>
          <w:sz w:val="20"/>
          <w:szCs w:val="20"/>
          <w:color w:val="auto"/>
        </w:rPr>
      </w:pPr>
    </w:p>
    <w:p>
      <w:pPr>
        <w:sectPr>
          <w:pgSz w:w="11900" w:h="16838" w:orient="portrait"/>
          <w:cols w:equalWidth="0" w:num="2">
            <w:col w:w="3660" w:space="720"/>
            <w:col w:w="6540"/>
          </w:cols>
          <w:pgMar w:left="480" w:top="1165" w:right="499" w:bottom="1440" w:gutter="0" w:footer="0" w:header="0"/>
          <w:type w:val="continuous"/>
        </w:sectPr>
      </w:pPr>
    </w:p>
    <w:p>
      <w:pPr>
        <w:spacing w:after="0" w:line="203" w:lineRule="exact"/>
        <w:rPr>
          <w:sz w:val="20"/>
          <w:szCs w:val="20"/>
          <w:color w:val="auto"/>
        </w:rPr>
      </w:pPr>
    </w:p>
    <w:p>
      <w:pPr>
        <w:ind w:left="6020" w:hanging="604"/>
        <w:spacing w:after="0"/>
        <w:tabs>
          <w:tab w:leader="none" w:pos="6020" w:val="left"/>
        </w:tabs>
        <w:numPr>
          <w:ilvl w:val="0"/>
          <w:numId w:val="21"/>
        </w:numPr>
        <w:rPr>
          <w:rFonts w:ascii="Arial" w:cs="Arial" w:eastAsia="Arial" w:hAnsi="Arial"/>
          <w:sz w:val="19"/>
          <w:szCs w:val="19"/>
          <w:b w:val="1"/>
          <w:bCs w:val="1"/>
          <w:color w:val="5D89B4"/>
        </w:rPr>
      </w:pP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920750</wp:posOffset>
            </wp:positionH>
            <wp:positionV relativeFrom="page">
              <wp:posOffset>963930</wp:posOffset>
            </wp:positionV>
            <wp:extent cx="1485900" cy="1485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5D89B4"/>
        </w:rPr>
        <w:t>Jonas Prising</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Joined the board 2014</w:t>
      </w:r>
    </w:p>
    <w:p>
      <w:pPr>
        <w:spacing w:after="0" w:line="16"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Age 56</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3"/>
          <w:szCs w:val="23"/>
          <w:color w:val="auto"/>
        </w:rPr>
        <w:t>Committees: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372745</wp:posOffset>
            </wp:positionV>
            <wp:extent cx="1485900" cy="1485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5D89B4"/>
        </w:rPr>
        <w:t>Paul Read</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Joined the board 2014</w:t>
      </w:r>
    </w:p>
    <w:p>
      <w:pPr>
        <w:spacing w:after="0" w:line="16"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Age 54</w:t>
      </w:r>
    </w:p>
    <w:p>
      <w:pPr>
        <w:spacing w:after="0" w:line="16" w:lineRule="exact"/>
        <w:rPr>
          <w:sz w:val="20"/>
          <w:szCs w:val="20"/>
          <w:color w:val="auto"/>
        </w:rPr>
      </w:pPr>
    </w:p>
    <w:p>
      <w:pPr>
        <w:spacing w:after="0"/>
        <w:rPr>
          <w:sz w:val="20"/>
          <w:szCs w:val="20"/>
          <w:color w:val="auto"/>
        </w:rPr>
      </w:pPr>
      <w:r>
        <w:rPr>
          <w:rFonts w:ascii="Arial" w:cs="Arial" w:eastAsia="Arial" w:hAnsi="Arial"/>
          <w:sz w:val="23"/>
          <w:szCs w:val="23"/>
          <w:color w:val="auto"/>
        </w:rPr>
        <w:t>Committees: Audit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-767080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-180975</wp:posOffset>
            </wp:positionV>
            <wp:extent cx="6929755" cy="33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-673735</wp:posOffset>
            </wp:positionV>
            <wp:extent cx="6929755" cy="407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Chief Executive Officer of ManpowerGroup since May 2014. Chairman of ManpowerGroup since December 2015. ManpowerGroup President from 2012 to April 2014. Executive Vice President, President of ManpowerGroup - The Americas from 2009 to 2012. Prior thereto, Mr. Prising was the Executive Vice President, President of ManpowerGroup - United States and Canadian Operations from 2006 to 2008 and held other positions at ManpowerGroup since 1999. A director of Kohl’s Corporation since 2015.</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Mr. Prising brings to the board a deep knowledge of ManpowerGroup and its operations from his many years of experience with the Company, including as President with responsibility for the Americas and Southern Europe and currently as Chairman and Chief Executive Officer. He also brings a deep understanding of the industry, a global perspective, having lived and worked in multiple countries around the world, and a strong knowledge of the relevant marketplaces in Europe and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461010</wp:posOffset>
            </wp:positionV>
            <wp:extent cx="4220845"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President and Chief Operating Officer of Ingram Micro, Inc., a technology distributor and supply-chain services provider, from 2013 to February 2016. Prior thereto, Mr. Read was Chief Financial Officer of Flextronics International, Ltd., an electronics manufacturing services provider, from 2008 to 2013.</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Mr. Read brings to the board significant managerial, operational, financial and global experience as a result of many senior positions he has held, including his tenure as President and Chief Operating Officer of Ingram Micro, Inc. and Chief Financial Officer of Flextronics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1104265</wp:posOffset>
            </wp:positionV>
            <wp:extent cx="69297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72" w:lineRule="exact"/>
        <w:rPr>
          <w:sz w:val="20"/>
          <w:szCs w:val="20"/>
          <w:color w:val="auto"/>
        </w:rPr>
      </w:pPr>
    </w:p>
    <w:p>
      <w:pPr>
        <w:sectPr>
          <w:pgSz w:w="11900" w:h="16838" w:orient="portrait"/>
          <w:cols w:equalWidth="0" w:num="2">
            <w:col w:w="2860" w:space="720"/>
            <w:col w:w="6540"/>
          </w:cols>
          <w:pgMar w:left="1280" w:top="1165" w:right="499" w:bottom="1440" w:gutter="0" w:footer="0" w:header="0"/>
        </w:sectPr>
      </w:pPr>
    </w:p>
    <w:p>
      <w:pPr>
        <w:spacing w:after="0" w:line="203" w:lineRule="exact"/>
        <w:rPr>
          <w:sz w:val="20"/>
          <w:szCs w:val="20"/>
          <w:color w:val="auto"/>
        </w:rPr>
      </w:pPr>
    </w:p>
    <w:p>
      <w:pPr>
        <w:ind w:left="5220" w:hanging="604"/>
        <w:spacing w:after="0"/>
        <w:tabs>
          <w:tab w:leader="none" w:pos="5220" w:val="left"/>
        </w:tabs>
        <w:numPr>
          <w:ilvl w:val="0"/>
          <w:numId w:val="22"/>
        </w:numPr>
        <w:rPr>
          <w:rFonts w:ascii="Arial" w:cs="Arial" w:eastAsia="Arial" w:hAnsi="Arial"/>
          <w:sz w:val="19"/>
          <w:szCs w:val="19"/>
          <w:b w:val="1"/>
          <w:bCs w:val="1"/>
          <w:color w:val="5D89B4"/>
        </w:rPr>
      </w:pP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-123190</wp:posOffset>
            </wp:positionV>
            <wp:extent cx="934085" cy="169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120"/>
          </w:cols>
          <w:pgMar w:left="1280" w:top="1165" w:right="4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106680</wp:posOffset>
            </wp:positionV>
            <wp:extent cx="1485900" cy="1485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180"/>
        <w:spacing w:after="0"/>
        <w:rPr>
          <w:sz w:val="20"/>
          <w:szCs w:val="20"/>
          <w:color w:val="auto"/>
        </w:rPr>
      </w:pPr>
      <w:r>
        <w:rPr>
          <w:rFonts w:ascii="Arial" w:cs="Arial" w:eastAsia="Arial" w:hAnsi="Arial"/>
          <w:sz w:val="32"/>
          <w:szCs w:val="32"/>
          <w:b w:val="1"/>
          <w:bCs w:val="1"/>
          <w:color w:val="5D89B4"/>
        </w:rPr>
        <w:t>Elizabeth P. Sartain</w:t>
      </w:r>
    </w:p>
    <w:p>
      <w:pPr>
        <w:spacing w:after="0" w:line="167" w:lineRule="exact"/>
        <w:rPr>
          <w:sz w:val="20"/>
          <w:szCs w:val="20"/>
          <w:color w:val="auto"/>
        </w:rPr>
      </w:pPr>
    </w:p>
    <w:p>
      <w:pPr>
        <w:jc w:val="center"/>
        <w:ind w:left="180"/>
        <w:spacing w:after="0"/>
        <w:rPr>
          <w:sz w:val="20"/>
          <w:szCs w:val="20"/>
          <w:color w:val="auto"/>
        </w:rPr>
      </w:pPr>
      <w:r>
        <w:rPr>
          <w:rFonts w:ascii="Arial" w:cs="Arial" w:eastAsia="Arial" w:hAnsi="Arial"/>
          <w:sz w:val="23"/>
          <w:szCs w:val="23"/>
          <w:color w:val="5D89B4"/>
        </w:rPr>
        <w:t>Joined the board 2010</w:t>
      </w:r>
    </w:p>
    <w:p>
      <w:pPr>
        <w:spacing w:after="0" w:line="16" w:lineRule="exact"/>
        <w:rPr>
          <w:sz w:val="20"/>
          <w:szCs w:val="20"/>
          <w:color w:val="auto"/>
        </w:rPr>
      </w:pPr>
    </w:p>
    <w:p>
      <w:pPr>
        <w:jc w:val="center"/>
        <w:ind w:left="180"/>
        <w:spacing w:after="0"/>
        <w:rPr>
          <w:sz w:val="20"/>
          <w:szCs w:val="20"/>
          <w:color w:val="auto"/>
        </w:rPr>
      </w:pPr>
      <w:r>
        <w:rPr>
          <w:rFonts w:ascii="Arial" w:cs="Arial" w:eastAsia="Arial" w:hAnsi="Arial"/>
          <w:sz w:val="23"/>
          <w:szCs w:val="23"/>
          <w:color w:val="5D89B4"/>
        </w:rPr>
        <w:t>Age 66</w:t>
      </w:r>
    </w:p>
    <w:p>
      <w:pPr>
        <w:spacing w:after="0" w:line="16" w:lineRule="exact"/>
        <w:rPr>
          <w:sz w:val="20"/>
          <w:szCs w:val="20"/>
          <w:color w:val="auto"/>
        </w:rPr>
      </w:pPr>
    </w:p>
    <w:p>
      <w:pPr>
        <w:jc w:val="center"/>
        <w:ind w:left="180"/>
        <w:spacing w:after="0" w:line="266" w:lineRule="auto"/>
        <w:rPr>
          <w:sz w:val="20"/>
          <w:szCs w:val="20"/>
          <w:color w:val="auto"/>
        </w:rPr>
      </w:pPr>
      <w:r>
        <w:rPr>
          <w:rFonts w:ascii="Arial" w:cs="Arial" w:eastAsia="Arial" w:hAnsi="Arial"/>
          <w:sz w:val="23"/>
          <w:szCs w:val="23"/>
          <w:color w:val="auto"/>
        </w:rPr>
        <w:t>Committees: Executive Compensation and Human Resources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194310</wp:posOffset>
            </wp:positionV>
            <wp:extent cx="1485900" cy="1485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180"/>
        <w:spacing w:after="0"/>
        <w:rPr>
          <w:sz w:val="20"/>
          <w:szCs w:val="20"/>
          <w:color w:val="auto"/>
        </w:rPr>
      </w:pPr>
      <w:r>
        <w:rPr>
          <w:rFonts w:ascii="Arial" w:cs="Arial" w:eastAsia="Arial" w:hAnsi="Arial"/>
          <w:sz w:val="32"/>
          <w:szCs w:val="32"/>
          <w:b w:val="1"/>
          <w:bCs w:val="1"/>
          <w:color w:val="5D89B4"/>
        </w:rPr>
        <w:t>Michael J. Van Handel</w:t>
      </w:r>
    </w:p>
    <w:p>
      <w:pPr>
        <w:spacing w:after="0" w:line="167" w:lineRule="exact"/>
        <w:rPr>
          <w:sz w:val="20"/>
          <w:szCs w:val="20"/>
          <w:color w:val="auto"/>
        </w:rPr>
      </w:pPr>
    </w:p>
    <w:p>
      <w:pPr>
        <w:jc w:val="center"/>
        <w:ind w:left="180"/>
        <w:spacing w:after="0"/>
        <w:rPr>
          <w:sz w:val="20"/>
          <w:szCs w:val="20"/>
          <w:color w:val="auto"/>
        </w:rPr>
      </w:pPr>
      <w:r>
        <w:rPr>
          <w:rFonts w:ascii="Arial" w:cs="Arial" w:eastAsia="Arial" w:hAnsi="Arial"/>
          <w:sz w:val="23"/>
          <w:szCs w:val="23"/>
          <w:color w:val="5D89B4"/>
        </w:rPr>
        <w:t>Joined the board 2017</w:t>
      </w:r>
    </w:p>
    <w:p>
      <w:pPr>
        <w:spacing w:after="0" w:line="16" w:lineRule="exact"/>
        <w:rPr>
          <w:sz w:val="20"/>
          <w:szCs w:val="20"/>
          <w:color w:val="auto"/>
        </w:rPr>
      </w:pPr>
    </w:p>
    <w:p>
      <w:pPr>
        <w:jc w:val="center"/>
        <w:ind w:left="180"/>
        <w:spacing w:after="0"/>
        <w:rPr>
          <w:sz w:val="20"/>
          <w:szCs w:val="20"/>
          <w:color w:val="auto"/>
        </w:rPr>
      </w:pPr>
      <w:r>
        <w:rPr>
          <w:rFonts w:ascii="Arial" w:cs="Arial" w:eastAsia="Arial" w:hAnsi="Arial"/>
          <w:sz w:val="23"/>
          <w:szCs w:val="23"/>
          <w:color w:val="5D89B4"/>
        </w:rPr>
        <w:t>Age 61</w:t>
      </w:r>
    </w:p>
    <w:p>
      <w:pPr>
        <w:spacing w:after="0" w:line="16" w:lineRule="exact"/>
        <w:rPr>
          <w:sz w:val="20"/>
          <w:szCs w:val="20"/>
          <w:color w:val="auto"/>
        </w:rPr>
      </w:pPr>
    </w:p>
    <w:p>
      <w:pPr>
        <w:jc w:val="center"/>
        <w:ind w:left="180"/>
        <w:spacing w:after="0"/>
        <w:rPr>
          <w:sz w:val="20"/>
          <w:szCs w:val="20"/>
          <w:color w:val="auto"/>
        </w:rPr>
      </w:pPr>
      <w:r>
        <w:rPr>
          <w:rFonts w:ascii="Arial" w:cs="Arial" w:eastAsia="Arial" w:hAnsi="Arial"/>
          <w:sz w:val="23"/>
          <w:szCs w:val="23"/>
          <w:color w:val="auto"/>
        </w:rPr>
        <w:t>Committees: None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-1002665</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-416560</wp:posOffset>
            </wp:positionV>
            <wp:extent cx="6929755" cy="33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-909320</wp:posOffset>
            </wp:positionV>
            <wp:extent cx="6929755" cy="4076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ind w:right="80"/>
        <w:spacing w:after="0" w:line="247" w:lineRule="auto"/>
        <w:rPr>
          <w:sz w:val="20"/>
          <w:szCs w:val="20"/>
          <w:color w:val="auto"/>
        </w:rPr>
      </w:pPr>
      <w:r>
        <w:rPr>
          <w:rFonts w:ascii="Arial" w:cs="Arial" w:eastAsia="Arial" w:hAnsi="Arial"/>
          <w:sz w:val="16"/>
          <w:szCs w:val="16"/>
          <w:color w:val="auto"/>
        </w:rPr>
        <w:t>Independent Human Resource Advisor and Consultant since April 2008. Prior thereto, Ms. Sartain held several leadership positions, including Executive Vice President and Chief People Officer at Yahoo! Inc. from 2001 to 2008 and an executive with Southwest Airlines serving in various positions from 1988 to 2001. A director of Shutterfly Inc. from 2016 to 2019.</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Ms. Sartain brings to the board significant human resources experience as a result of the various senior management positions she held at various multi-national companies as well as being an independent human resource advisor for many years. Ms. Sartain also brings an important perspective gained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875030</wp:posOffset>
            </wp:positionV>
            <wp:extent cx="4220845"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Biography</w:t>
      </w:r>
    </w:p>
    <w:p>
      <w:pPr>
        <w:spacing w:after="0" w:line="1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Senior Executive Vice President of ManpowerGroup from February 2016 to February 2017. Chief Financial Officer of ManpowerGroup from July 1998 to February 2016. Prior thereto, Mr. Van Handel held several other senior finance and accounting positions within ManpowerGroup since 1989. A director of BMO Financial Corporation, a subsidiary of BMO Financial Group, since 2006 and a Director of ICF International since 2017.</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1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Mr. Van Handel brings to the board significant managerial, operational, financial and global experience including his time as Chief Financial Officer and the other senior financial positions he held while employed at ManpowerGroup. He also brings deep knowledge of ManpowerGroup and its operations as well as a deep understanding of the industry with his over 20 years of experience at ManpowerGroup. Mr. Van Handel also brings an important perspective gained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706755</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14" w:lineRule="exact"/>
        <w:rPr>
          <w:sz w:val="20"/>
          <w:szCs w:val="20"/>
          <w:color w:val="auto"/>
        </w:rPr>
      </w:pPr>
    </w:p>
    <w:p>
      <w:pPr>
        <w:sectPr>
          <w:pgSz w:w="11900" w:h="16838" w:orient="portrait"/>
          <w:cols w:equalWidth="0" w:num="2">
            <w:col w:w="4100" w:space="280"/>
            <w:col w:w="6480"/>
          </w:cols>
          <w:pgMar w:left="480" w:top="1165" w:right="559" w:bottom="1440" w:gutter="0" w:footer="0" w:header="0"/>
        </w:sectPr>
      </w:pPr>
    </w:p>
    <w:p>
      <w:pPr>
        <w:spacing w:after="0" w:line="136" w:lineRule="exact"/>
        <w:rPr>
          <w:sz w:val="20"/>
          <w:szCs w:val="20"/>
          <w:color w:val="auto"/>
        </w:rPr>
      </w:pPr>
    </w:p>
    <w:p>
      <w:pPr>
        <w:ind w:left="6020" w:hanging="604"/>
        <w:spacing w:after="0"/>
        <w:tabs>
          <w:tab w:leader="none" w:pos="6020" w:val="left"/>
        </w:tabs>
        <w:numPr>
          <w:ilvl w:val="0"/>
          <w:numId w:val="23"/>
        </w:numPr>
        <w:rPr>
          <w:rFonts w:ascii="Arial" w:cs="Arial" w:eastAsia="Arial" w:hAnsi="Arial"/>
          <w:sz w:val="19"/>
          <w:szCs w:val="19"/>
          <w:b w:val="1"/>
          <w:bCs w:val="1"/>
          <w:color w:val="5D89B4"/>
        </w:rPr>
      </w:pP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480" w:top="1165" w:right="559" w:bottom="1440" w:gutter="0" w:footer="0" w:header="0"/>
          <w:type w:val="continuous"/>
        </w:sectPr>
      </w:pPr>
    </w:p>
    <w:bookmarkStart w:id="18" w:name="page19"/>
    <w:bookmarkEnd w:id="18"/>
    <w:p>
      <w:pPr>
        <w:ind w:left="812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NOMINEE BIOGRAPHIES</w:t>
      </w:r>
    </w:p>
    <w:p>
      <w:pPr>
        <w:spacing w:after="0" w:line="165" w:lineRule="exact"/>
        <w:rPr>
          <w:sz w:val="20"/>
          <w:szCs w:val="20"/>
          <w:color w:val="auto"/>
        </w:rPr>
      </w:pPr>
    </w:p>
    <w:p>
      <w:pPr>
        <w:jc w:val="both"/>
        <w:ind w:right="580"/>
        <w:spacing w:after="0" w:line="232" w:lineRule="auto"/>
        <w:rPr>
          <w:sz w:val="20"/>
          <w:szCs w:val="20"/>
          <w:color w:val="auto"/>
        </w:rPr>
      </w:pPr>
      <w:r>
        <w:rPr>
          <w:rFonts w:ascii="Arial" w:cs="Arial" w:eastAsia="Arial" w:hAnsi="Arial"/>
          <w:sz w:val="15"/>
          <w:szCs w:val="15"/>
          <w:color w:val="auto"/>
        </w:rPr>
        <w:t>Each director attended at least 75% of the board meetings and meetings of committees on which he or she served in 2020. The board of directors held ten meetings during 2020. The board of directors did not take any action by written consent during 2020. In addition to the meetings of the board, the directors participated in regular discussions with management during 2020 to receive updates on the COVID-19 pandemic and its impacts to our business.</w:t>
      </w:r>
    </w:p>
    <w:p>
      <w:pPr>
        <w:spacing w:after="0" w:line="128"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Under the Company’s corporate governance guidelines, an individual cannot be nominated for election to the board of directors after his or her 72nd birthday. Any director who turns 72 during his or her normal term will continue in office until the expiration of that term. In accordance with these guidelines, Cari M. Dominguez is retiring from the board of directors effective May 7, 2021 and will therefore not be seeking re-election.</w:t>
      </w:r>
    </w:p>
    <w:p>
      <w:pPr>
        <w:spacing w:after="0" w:line="128" w:lineRule="exact"/>
        <w:rPr>
          <w:sz w:val="20"/>
          <w:szCs w:val="20"/>
          <w:color w:val="auto"/>
        </w:rPr>
      </w:pPr>
    </w:p>
    <w:p>
      <w:pPr>
        <w:ind w:right="60"/>
        <w:spacing w:after="0" w:line="228" w:lineRule="auto"/>
        <w:rPr>
          <w:sz w:val="20"/>
          <w:szCs w:val="20"/>
          <w:color w:val="auto"/>
        </w:rPr>
      </w:pPr>
      <w:r>
        <w:rPr>
          <w:rFonts w:ascii="Arial" w:cs="Arial" w:eastAsia="Arial" w:hAnsi="Arial"/>
          <w:sz w:val="15"/>
          <w:szCs w:val="15"/>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19" w:name="page20"/>
    <w:bookmarkEnd w:id="19"/>
    <w:p>
      <w:pPr>
        <w:spacing w:after="0"/>
        <w:rPr>
          <w:sz w:val="20"/>
          <w:szCs w:val="20"/>
          <w:color w:val="auto"/>
        </w:rPr>
      </w:pPr>
      <w:r>
        <w:rPr>
          <w:rFonts w:ascii="Arial" w:cs="Arial" w:eastAsia="Arial" w:hAnsi="Arial"/>
          <w:sz w:val="39"/>
          <w:szCs w:val="39"/>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Composition and Qualifications of Board Members</w:t>
      </w:r>
    </w:p>
    <w:p>
      <w:pPr>
        <w:spacing w:after="0" w:line="368"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In connection with its consideration of possible candidates for board membership, the nominating and governance committee also has identified areas of experience that members of the board should as a goal collectively possess. The below graphic lists these skills and attributes for each of the 12 nominees, and shows which ones each nominee has identified as being part of his or her own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6929755" cy="747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74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5D89B4"/>
        </w:rPr>
        <w:t>SKILLS, ATTRIBUTES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-93345</wp:posOffset>
            </wp:positionV>
            <wp:extent cx="4933950" cy="144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33950" cy="14414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Previous Board</w:t>
      </w:r>
    </w:p>
    <w:p>
      <w:pPr>
        <w:spacing w:after="0" w:line="17" w:lineRule="exact"/>
        <w:rPr>
          <w:sz w:val="20"/>
          <w:szCs w:val="20"/>
          <w:color w:val="auto"/>
        </w:rPr>
      </w:pPr>
    </w:p>
    <w:p>
      <w:pPr>
        <w:ind w:left="80" w:right="7920"/>
        <w:spacing w:after="0" w:line="254" w:lineRule="auto"/>
        <w:rPr>
          <w:sz w:val="20"/>
          <w:szCs w:val="20"/>
          <w:color w:val="auto"/>
        </w:rPr>
      </w:pPr>
      <w:r>
        <w:rPr>
          <w:rFonts w:ascii="Arial" w:cs="Arial" w:eastAsia="Arial" w:hAnsi="Arial"/>
          <w:sz w:val="14"/>
          <w:szCs w:val="14"/>
          <w:color w:val="333333"/>
        </w:rPr>
        <w:t>Experience serving as a director of another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-193040</wp:posOffset>
            </wp:positionV>
            <wp:extent cx="5080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-193040</wp:posOffset>
            </wp:positionV>
            <wp:extent cx="5080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-193040</wp:posOffset>
            </wp:positionV>
            <wp:extent cx="5080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-193040</wp:posOffset>
            </wp:positionV>
            <wp:extent cx="5080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-193040</wp:posOffset>
            </wp:positionV>
            <wp:extent cx="5080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International Business</w:t>
      </w:r>
    </w:p>
    <w:p>
      <w:pPr>
        <w:spacing w:after="0" w:line="17" w:lineRule="exact"/>
        <w:rPr>
          <w:sz w:val="20"/>
          <w:szCs w:val="20"/>
          <w:color w:val="auto"/>
        </w:rPr>
      </w:pPr>
    </w:p>
    <w:p>
      <w:pPr>
        <w:ind w:left="80" w:right="7700"/>
        <w:spacing w:after="0" w:line="254" w:lineRule="auto"/>
        <w:rPr>
          <w:sz w:val="20"/>
          <w:szCs w:val="20"/>
          <w:color w:val="auto"/>
        </w:rPr>
      </w:pPr>
      <w:r>
        <w:rPr>
          <w:rFonts w:ascii="Arial" w:cs="Arial" w:eastAsia="Arial" w:hAnsi="Arial"/>
          <w:sz w:val="14"/>
          <w:szCs w:val="14"/>
          <w:color w:val="333333"/>
        </w:rPr>
        <w:t>Experience in diverse geographic, political and regulatory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-193040</wp:posOffset>
            </wp:positionV>
            <wp:extent cx="5080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-193040</wp:posOffset>
            </wp:positionV>
            <wp:extent cx="5080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-193040</wp:posOffset>
            </wp:positionV>
            <wp:extent cx="5080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-193040</wp:posOffset>
            </wp:positionV>
            <wp:extent cx="5080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Corporate Governance</w:t>
      </w:r>
    </w:p>
    <w:p>
      <w:pPr>
        <w:spacing w:after="0" w:line="17" w:lineRule="exact"/>
        <w:rPr>
          <w:sz w:val="20"/>
          <w:szCs w:val="20"/>
          <w:color w:val="auto"/>
        </w:rPr>
      </w:pPr>
    </w:p>
    <w:p>
      <w:pPr>
        <w:ind w:left="80" w:right="8160"/>
        <w:spacing w:after="0" w:line="254" w:lineRule="auto"/>
        <w:rPr>
          <w:sz w:val="20"/>
          <w:szCs w:val="20"/>
          <w:color w:val="auto"/>
        </w:rPr>
      </w:pPr>
      <w:r>
        <w:rPr>
          <w:rFonts w:ascii="Arial" w:cs="Arial" w:eastAsia="Arial" w:hAnsi="Arial"/>
          <w:sz w:val="14"/>
          <w:szCs w:val="14"/>
          <w:color w:val="333333"/>
        </w:rPr>
        <w:t>Supports our goals of strong Board and management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-193040</wp:posOffset>
            </wp:positionV>
            <wp:extent cx="5080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-193040</wp:posOffset>
            </wp:positionV>
            <wp:extent cx="5080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-193040</wp:posOffset>
            </wp:positionV>
            <wp:extent cx="5080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-193040</wp:posOffset>
            </wp:positionV>
            <wp:extent cx="50800"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-193040</wp:posOffset>
            </wp:positionV>
            <wp:extent cx="50800"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9" w:lineRule="exact"/>
        <w:rPr>
          <w:sz w:val="20"/>
          <w:szCs w:val="20"/>
          <w:color w:val="auto"/>
        </w:rPr>
      </w:pPr>
    </w:p>
    <w:p>
      <w:pPr>
        <w:ind w:left="80" w:right="7700"/>
        <w:spacing w:after="0" w:line="252" w:lineRule="auto"/>
        <w:rPr>
          <w:sz w:val="20"/>
          <w:szCs w:val="20"/>
          <w:color w:val="auto"/>
        </w:rPr>
      </w:pPr>
      <w:r>
        <w:rPr>
          <w:rFonts w:ascii="Arial" w:cs="Arial" w:eastAsia="Arial" w:hAnsi="Arial"/>
          <w:sz w:val="14"/>
          <w:szCs w:val="14"/>
          <w:b w:val="1"/>
          <w:bCs w:val="1"/>
          <w:color w:val="auto"/>
        </w:rPr>
        <w:t>Active or Former CEO/Chairperson or other C-Suite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-27305</wp:posOffset>
            </wp:positionV>
            <wp:extent cx="5080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-27305</wp:posOffset>
            </wp:positionV>
            <wp:extent cx="5080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-27305</wp:posOffset>
            </wp:positionV>
            <wp:extent cx="5080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-27305</wp:posOffset>
            </wp:positionV>
            <wp:extent cx="50800"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-27305</wp:posOffset>
            </wp:positionV>
            <wp:extent cx="50800"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-27305</wp:posOffset>
            </wp:positionV>
            <wp:extent cx="50800"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-27305</wp:posOffset>
            </wp:positionV>
            <wp:extent cx="50800"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-27305</wp:posOffset>
            </wp:positionV>
            <wp:extent cx="50800"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-27305</wp:posOffset>
            </wp:positionV>
            <wp:extent cx="50800"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-27305</wp:posOffset>
            </wp:positionV>
            <wp:extent cx="50800"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-27305</wp:posOffset>
            </wp:positionV>
            <wp:extent cx="5080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-27305</wp:posOffset>
            </wp:positionV>
            <wp:extent cx="5080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ind w:left="80" w:right="7880"/>
        <w:spacing w:after="0" w:line="254" w:lineRule="auto"/>
        <w:rPr>
          <w:sz w:val="20"/>
          <w:szCs w:val="20"/>
          <w:color w:val="auto"/>
        </w:rPr>
      </w:pPr>
      <w:r>
        <w:rPr>
          <w:rFonts w:ascii="Arial" w:cs="Arial" w:eastAsia="Arial" w:hAnsi="Arial"/>
          <w:sz w:val="14"/>
          <w:szCs w:val="14"/>
          <w:color w:val="333333"/>
        </w:rPr>
        <w:t>Served in a senior leadership role at a large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Sales</w:t>
      </w:r>
    </w:p>
    <w:p>
      <w:pPr>
        <w:spacing w:after="0" w:line="17" w:lineRule="exact"/>
        <w:rPr>
          <w:sz w:val="20"/>
          <w:szCs w:val="20"/>
          <w:color w:val="auto"/>
        </w:rPr>
      </w:pPr>
    </w:p>
    <w:p>
      <w:pPr>
        <w:ind w:left="80" w:right="7660"/>
        <w:spacing w:after="0" w:line="254" w:lineRule="auto"/>
        <w:rPr>
          <w:sz w:val="20"/>
          <w:szCs w:val="20"/>
          <w:color w:val="auto"/>
        </w:rPr>
      </w:pPr>
      <w:r>
        <w:rPr>
          <w:rFonts w:ascii="Arial" w:cs="Arial" w:eastAsia="Arial" w:hAnsi="Arial"/>
          <w:sz w:val="14"/>
          <w:szCs w:val="14"/>
          <w:color w:val="333333"/>
        </w:rPr>
        <w:t>Experience developing strategies to grow sales and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-193040</wp:posOffset>
            </wp:positionV>
            <wp:extent cx="5080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-193040</wp:posOffset>
            </wp:positionV>
            <wp:extent cx="50800"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-193040</wp:posOffset>
            </wp:positionV>
            <wp:extent cx="5080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-193040</wp:posOffset>
            </wp:positionV>
            <wp:extent cx="50800"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Government Relations</w:t>
      </w:r>
    </w:p>
    <w:p>
      <w:pPr>
        <w:spacing w:after="0" w:line="17" w:lineRule="exact"/>
        <w:rPr>
          <w:sz w:val="20"/>
          <w:szCs w:val="20"/>
          <w:color w:val="auto"/>
        </w:rPr>
      </w:pPr>
    </w:p>
    <w:p>
      <w:pPr>
        <w:ind w:left="80" w:right="8020"/>
        <w:spacing w:after="0" w:line="254" w:lineRule="auto"/>
        <w:rPr>
          <w:sz w:val="20"/>
          <w:szCs w:val="20"/>
          <w:color w:val="auto"/>
        </w:rPr>
      </w:pPr>
      <w:r>
        <w:rPr>
          <w:rFonts w:ascii="Arial" w:cs="Arial" w:eastAsia="Arial" w:hAnsi="Arial"/>
          <w:sz w:val="14"/>
          <w:szCs w:val="14"/>
          <w:color w:val="333333"/>
        </w:rPr>
        <w:t>Understanding of government regulations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-193040</wp:posOffset>
            </wp:positionV>
            <wp:extent cx="50800"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-193040</wp:posOffset>
            </wp:positionV>
            <wp:extent cx="5080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Human Resources</w:t>
      </w:r>
    </w:p>
    <w:p>
      <w:pPr>
        <w:spacing w:after="0" w:line="17" w:lineRule="exact"/>
        <w:rPr>
          <w:sz w:val="20"/>
          <w:szCs w:val="20"/>
          <w:color w:val="auto"/>
        </w:rPr>
      </w:pPr>
    </w:p>
    <w:p>
      <w:pPr>
        <w:ind w:left="80" w:right="8020"/>
        <w:spacing w:after="0" w:line="254" w:lineRule="auto"/>
        <w:rPr>
          <w:sz w:val="20"/>
          <w:szCs w:val="20"/>
          <w:color w:val="auto"/>
        </w:rPr>
      </w:pPr>
      <w:r>
        <w:rPr>
          <w:rFonts w:ascii="Arial" w:cs="Arial" w:eastAsia="Arial" w:hAnsi="Arial"/>
          <w:sz w:val="14"/>
          <w:szCs w:val="14"/>
          <w:color w:val="333333"/>
        </w:rPr>
        <w:t>Experience building knowledge, skills and abilities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-193040</wp:posOffset>
            </wp:positionV>
            <wp:extent cx="50800"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-193040</wp:posOffset>
            </wp:positionV>
            <wp:extent cx="50800"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-193040</wp:posOffset>
            </wp:positionV>
            <wp:extent cx="50800"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-193040</wp:posOffset>
            </wp:positionV>
            <wp:extent cx="50800"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-193040</wp:posOffset>
            </wp:positionV>
            <wp:extent cx="50800"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Marketing and Branding</w:t>
      </w:r>
    </w:p>
    <w:p>
      <w:pPr>
        <w:spacing w:after="0" w:line="17" w:lineRule="exact"/>
        <w:rPr>
          <w:sz w:val="20"/>
          <w:szCs w:val="20"/>
          <w:color w:val="auto"/>
        </w:rPr>
      </w:pPr>
    </w:p>
    <w:p>
      <w:pPr>
        <w:ind w:left="80" w:right="7820"/>
        <w:spacing w:after="0" w:line="254" w:lineRule="auto"/>
        <w:rPr>
          <w:sz w:val="20"/>
          <w:szCs w:val="20"/>
          <w:color w:val="auto"/>
        </w:rPr>
      </w:pPr>
      <w:r>
        <w:rPr>
          <w:rFonts w:ascii="Arial" w:cs="Arial" w:eastAsia="Arial" w:hAnsi="Arial"/>
          <w:sz w:val="14"/>
          <w:szCs w:val="14"/>
          <w:color w:val="333333"/>
        </w:rPr>
        <w:t>Experience in a senior management position managing marketing/ branding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-193040</wp:posOffset>
            </wp:positionV>
            <wp:extent cx="50800"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-193040</wp:posOffset>
            </wp:positionV>
            <wp:extent cx="50800"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Technology</w:t>
      </w:r>
    </w:p>
    <w:p>
      <w:pPr>
        <w:spacing w:after="0" w:line="17" w:lineRule="exact"/>
        <w:rPr>
          <w:sz w:val="20"/>
          <w:szCs w:val="20"/>
          <w:color w:val="auto"/>
        </w:rPr>
      </w:pPr>
    </w:p>
    <w:p>
      <w:pPr>
        <w:jc w:val="both"/>
        <w:ind w:left="80" w:right="7960"/>
        <w:spacing w:after="0" w:line="246" w:lineRule="auto"/>
        <w:rPr>
          <w:sz w:val="20"/>
          <w:szCs w:val="20"/>
          <w:color w:val="auto"/>
        </w:rPr>
      </w:pPr>
      <w:r>
        <w:rPr>
          <w:rFonts w:ascii="Arial" w:cs="Arial" w:eastAsia="Arial" w:hAnsi="Arial"/>
          <w:sz w:val="14"/>
          <w:szCs w:val="14"/>
          <w:color w:val="333333"/>
        </w:rPr>
        <w:t>Experience with technology, cybersecurity, information systems/data management or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-240030</wp:posOffset>
            </wp:positionV>
            <wp:extent cx="50800"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-240030</wp:posOffset>
            </wp:positionV>
            <wp:extent cx="50800"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-240030</wp:posOffset>
            </wp:positionV>
            <wp:extent cx="5080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-240030</wp:posOffset>
            </wp:positionV>
            <wp:extent cx="5080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-240030</wp:posOffset>
            </wp:positionV>
            <wp:extent cx="50800"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-240030</wp:posOffset>
            </wp:positionV>
            <wp:extent cx="50800"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-240030</wp:posOffset>
            </wp:positionV>
            <wp:extent cx="50800"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-240030</wp:posOffset>
            </wp:positionV>
            <wp:extent cx="50800"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-240030</wp:posOffset>
            </wp:positionV>
            <wp:extent cx="5080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-240030</wp:posOffset>
            </wp:positionV>
            <wp:extent cx="5080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96" w:lineRule="exact"/>
        <w:rPr>
          <w:sz w:val="20"/>
          <w:szCs w:val="20"/>
          <w:color w:val="auto"/>
        </w:rPr>
      </w:pPr>
    </w:p>
    <w:p>
      <w:pPr>
        <w:ind w:left="80" w:right="8100"/>
        <w:spacing w:after="0" w:line="260" w:lineRule="auto"/>
        <w:rPr>
          <w:sz w:val="20"/>
          <w:szCs w:val="20"/>
          <w:color w:val="auto"/>
        </w:rPr>
      </w:pPr>
      <w:r>
        <w:rPr>
          <w:rFonts w:ascii="Arial" w:cs="Arial" w:eastAsia="Arial" w:hAnsi="Arial"/>
          <w:sz w:val="14"/>
          <w:szCs w:val="14"/>
          <w:b w:val="1"/>
          <w:bCs w:val="1"/>
          <w:color w:val="auto"/>
        </w:rPr>
        <w:t xml:space="preserve">Accounting or Financial Oversight </w:t>
      </w:r>
      <w:r>
        <w:rPr>
          <w:rFonts w:ascii="Arial" w:cs="Arial" w:eastAsia="Arial" w:hAnsi="Arial"/>
          <w:sz w:val="14"/>
          <w:szCs w:val="14"/>
          <w:color w:val="333333"/>
        </w:rPr>
        <w:t>Experience to provide valuable insight in overseeing finances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-195580</wp:posOffset>
            </wp:positionV>
            <wp:extent cx="50800"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-195580</wp:posOffset>
            </wp:positionV>
            <wp:extent cx="50800"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-195580</wp:posOffset>
            </wp:positionV>
            <wp:extent cx="50800"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-195580</wp:posOffset>
            </wp:positionV>
            <wp:extent cx="50800"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-195580</wp:posOffset>
            </wp:positionV>
            <wp:extent cx="50800"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-195580</wp:posOffset>
            </wp:positionV>
            <wp:extent cx="50800"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-195580</wp:posOffset>
            </wp:positionV>
            <wp:extent cx="50800"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-195580</wp:posOffset>
            </wp:positionV>
            <wp:extent cx="50800"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-195580</wp:posOffset>
            </wp:positionV>
            <wp:extent cx="50800"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-195580</wp:posOffset>
            </wp:positionV>
            <wp:extent cx="50800"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-195580</wp:posOffset>
            </wp:positionV>
            <wp:extent cx="50800"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Operations</w:t>
      </w:r>
    </w:p>
    <w:p>
      <w:pPr>
        <w:spacing w:after="0" w:line="17" w:lineRule="exact"/>
        <w:rPr>
          <w:sz w:val="20"/>
          <w:szCs w:val="20"/>
          <w:color w:val="auto"/>
        </w:rPr>
      </w:pPr>
    </w:p>
    <w:p>
      <w:pPr>
        <w:ind w:left="80" w:right="7920"/>
        <w:spacing w:after="0" w:line="254" w:lineRule="auto"/>
        <w:rPr>
          <w:sz w:val="20"/>
          <w:szCs w:val="20"/>
          <w:color w:val="auto"/>
        </w:rPr>
      </w:pPr>
      <w:r>
        <w:rPr>
          <w:rFonts w:ascii="Arial" w:cs="Arial" w:eastAsia="Arial" w:hAnsi="Arial"/>
          <w:sz w:val="14"/>
          <w:szCs w:val="14"/>
          <w:color w:val="333333"/>
        </w:rPr>
        <w:t>Experience with our business, strategy and marketplace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6929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146050</wp:posOffset>
            </wp:positionV>
            <wp:extent cx="69297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-193040</wp:posOffset>
            </wp:positionV>
            <wp:extent cx="5080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-193040</wp:posOffset>
            </wp:positionV>
            <wp:extent cx="50800"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-193040</wp:posOffset>
            </wp:positionV>
            <wp:extent cx="50800"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-193040</wp:posOffset>
            </wp:positionV>
            <wp:extent cx="50800"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-193040</wp:posOffset>
            </wp:positionV>
            <wp:extent cx="50800"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-193040</wp:posOffset>
            </wp:positionV>
            <wp:extent cx="50800"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-193040</wp:posOffset>
            </wp:positionV>
            <wp:extent cx="50800"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-193040</wp:posOffset>
            </wp:positionV>
            <wp:extent cx="50800"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-193040</wp:posOffset>
            </wp:positionV>
            <wp:extent cx="50800"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-193040</wp:posOffset>
            </wp:positionV>
            <wp:extent cx="50800"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-193040</wp:posOffset>
            </wp:positionV>
            <wp:extent cx="50800"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339"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8</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20"/>
          </w:cols>
          <w:pgMar w:left="480" w:top="1259" w:right="699" w:bottom="1440" w:gutter="0" w:footer="0" w:header="0"/>
        </w:sectPr>
      </w:pPr>
    </w:p>
    <w:bookmarkStart w:id="20" w:name="page21"/>
    <w:bookmarkEnd w:id="20"/>
    <w:p>
      <w:pPr>
        <w:ind w:left="834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BOARD DIVERSITY AND TENURE</w:t>
      </w:r>
    </w:p>
    <w:p>
      <w:pPr>
        <w:spacing w:after="0" w:line="165" w:lineRule="exact"/>
        <w:rPr>
          <w:sz w:val="20"/>
          <w:szCs w:val="20"/>
          <w:color w:val="auto"/>
        </w:rPr>
      </w:pPr>
    </w:p>
    <w:p>
      <w:pPr>
        <w:jc w:val="both"/>
        <w:ind w:right="220"/>
        <w:spacing w:after="0" w:line="232" w:lineRule="auto"/>
        <w:rPr>
          <w:sz w:val="20"/>
          <w:szCs w:val="20"/>
          <w:color w:val="auto"/>
        </w:rPr>
      </w:pPr>
      <w:r>
        <w:rPr>
          <w:rFonts w:ascii="Arial" w:cs="Arial" w:eastAsia="Arial" w:hAnsi="Arial"/>
          <w:sz w:val="15"/>
          <w:szCs w:val="15"/>
          <w:color w:val="auto"/>
        </w:rPr>
        <w:t>The nominating and governance committee has adopted, and the board of directors has approved, guidelines for selecting board candidates that the committee considers when evaluating candidates for nomination as directors including candidates recommended by shareholders. The guidelines call for the following with respect to the composition of the board:</w:t>
      </w:r>
    </w:p>
    <w:p>
      <w:pPr>
        <w:sectPr>
          <w:pgSz w:w="11900" w:h="16838" w:orient="portrait"/>
          <w:cols w:equalWidth="0" w:num="1">
            <w:col w:w="10920"/>
          </w:cols>
          <w:pgMar w:left="480" w:top="1165" w:right="499" w:bottom="1440" w:gutter="0" w:footer="0" w:header="0"/>
        </w:sectPr>
      </w:pPr>
    </w:p>
    <w:p>
      <w:pPr>
        <w:spacing w:after="0" w:line="115" w:lineRule="exact"/>
        <w:rPr>
          <w:sz w:val="20"/>
          <w:szCs w:val="20"/>
          <w:color w:val="auto"/>
        </w:rPr>
      </w:pPr>
    </w:p>
    <w:p>
      <w:pPr>
        <w:ind w:left="220" w:hanging="213"/>
        <w:spacing w:after="0"/>
        <w:tabs>
          <w:tab w:leader="none" w:pos="2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variety of experience and backgrounds;</w:t>
      </w:r>
    </w:p>
    <w:p>
      <w:pPr>
        <w:spacing w:after="0" w:line="68" w:lineRule="exact"/>
        <w:rPr>
          <w:rFonts w:ascii="Arial" w:cs="Arial" w:eastAsia="Arial" w:hAnsi="Arial"/>
          <w:sz w:val="15"/>
          <w:szCs w:val="15"/>
          <w:color w:val="auto"/>
        </w:rPr>
      </w:pPr>
    </w:p>
    <w:p>
      <w:pPr>
        <w:ind w:left="220" w:hanging="213"/>
        <w:spacing w:after="0" w:line="237" w:lineRule="auto"/>
        <w:tabs>
          <w:tab w:leader="none" w:pos="2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core of business executives having substantial senior management and financial experience;</w:t>
      </w:r>
    </w:p>
    <w:p>
      <w:pPr>
        <w:spacing w:after="0" w:line="60" w:lineRule="exact"/>
        <w:rPr>
          <w:rFonts w:ascii="Arial" w:cs="Arial" w:eastAsia="Arial" w:hAnsi="Arial"/>
          <w:sz w:val="15"/>
          <w:szCs w:val="15"/>
          <w:color w:val="auto"/>
        </w:rPr>
      </w:pPr>
    </w:p>
    <w:p>
      <w:pPr>
        <w:ind w:left="220" w:right="100" w:hanging="213"/>
        <w:spacing w:after="0" w:line="237" w:lineRule="auto"/>
        <w:tabs>
          <w:tab w:leader="none" w:pos="2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individuals who will represent the best interests of the shareholders as a whole rather than special interest constituencies;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07" w:hanging="207"/>
        <w:spacing w:after="0"/>
        <w:tabs>
          <w:tab w:leader="none" w:pos="20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independence of at least a majority of the directors; and</w:t>
      </w:r>
    </w:p>
    <w:p>
      <w:pPr>
        <w:spacing w:after="0" w:line="68" w:lineRule="exact"/>
        <w:rPr>
          <w:rFonts w:ascii="Arial" w:cs="Arial" w:eastAsia="Arial" w:hAnsi="Arial"/>
          <w:sz w:val="15"/>
          <w:szCs w:val="15"/>
          <w:color w:val="auto"/>
        </w:rPr>
      </w:pPr>
    </w:p>
    <w:p>
      <w:pPr>
        <w:ind w:left="207" w:hanging="207"/>
        <w:spacing w:after="0"/>
        <w:tabs>
          <w:tab w:leader="none" w:pos="207"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individuals who represent a diversity of gender, race, ethnicity and age.</w:t>
      </w:r>
    </w:p>
    <w:p>
      <w:pPr>
        <w:spacing w:after="0" w:line="769" w:lineRule="exact"/>
        <w:rPr>
          <w:sz w:val="20"/>
          <w:szCs w:val="20"/>
          <w:color w:val="auto"/>
        </w:rPr>
      </w:pPr>
    </w:p>
    <w:p>
      <w:pPr>
        <w:sectPr>
          <w:pgSz w:w="11900" w:h="16838" w:orient="portrait"/>
          <w:cols w:equalWidth="0" w:num="2">
            <w:col w:w="5140" w:space="433"/>
            <w:col w:w="5347"/>
          </w:cols>
          <w:pgMar w:left="480" w:top="1165" w:right="499" w:bottom="1440" w:gutter="0" w:footer="0" w:header="0"/>
          <w:type w:val="continuous"/>
        </w:sectPr>
      </w:pPr>
    </w:p>
    <w:p>
      <w:pPr>
        <w:spacing w:after="0" w:line="48" w:lineRule="exact"/>
        <w:rPr>
          <w:sz w:val="20"/>
          <w:szCs w:val="20"/>
          <w:color w:val="auto"/>
        </w:rPr>
      </w:pPr>
    </w:p>
    <w:p>
      <w:pPr>
        <w:ind w:right="300"/>
        <w:spacing w:after="0" w:line="230" w:lineRule="auto"/>
        <w:rPr>
          <w:sz w:val="20"/>
          <w:szCs w:val="20"/>
          <w:color w:val="auto"/>
        </w:rPr>
      </w:pPr>
      <w:r>
        <w:rPr>
          <w:rFonts w:ascii="Arial" w:cs="Arial" w:eastAsia="Arial" w:hAnsi="Arial"/>
          <w:sz w:val="15"/>
          <w:szCs w:val="15"/>
          <w:color w:val="auto"/>
        </w:rPr>
        <w:t>The nominating and governance committee and the board of directors believe that the qualifications, skills, experience and attributes set forth in this proxy statement for all individuals nominated for election satisfy the guidelines for selecting board candidates set out above and support the conclusion that these individuals are qualified to serve as directors of the Company and collectively possess a variety of skills, professional experience, and diversity of backgrounds allowing them to effectively oversee the Company’s business.</w:t>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Board Diversity and Tenure</w:t>
      </w:r>
    </w:p>
    <w:p>
      <w:pPr>
        <w:spacing w:after="0" w:line="371" w:lineRule="exact"/>
        <w:rPr>
          <w:sz w:val="20"/>
          <w:szCs w:val="20"/>
          <w:color w:val="auto"/>
        </w:rPr>
      </w:pPr>
    </w:p>
    <w:p>
      <w:pPr>
        <w:ind w:right="700"/>
        <w:spacing w:after="0" w:line="237" w:lineRule="auto"/>
        <w:rPr>
          <w:sz w:val="20"/>
          <w:szCs w:val="20"/>
          <w:color w:val="auto"/>
        </w:rPr>
      </w:pPr>
      <w:r>
        <w:rPr>
          <w:rFonts w:ascii="Arial" w:cs="Arial" w:eastAsia="Arial" w:hAnsi="Arial"/>
          <w:sz w:val="15"/>
          <w:szCs w:val="15"/>
          <w:color w:val="auto"/>
        </w:rPr>
        <w:t>The composition of the nominees for the board also reflects diversity of gender, race, ethnicity and age, an objective that the nominating and governance committee continually strives to enhance when searching for and considering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1662430</wp:posOffset>
            </wp:positionV>
            <wp:extent cx="69297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Compensation for 2020</w:t>
      </w:r>
    </w:p>
    <w:p>
      <w:pPr>
        <w:spacing w:after="0" w:line="371"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The nominating and governance committee reviews and makes recommendations to the full board with respect to the compensation of our non-employee directors annually. The full board of directors reviews these recommendations and makes a final determination on the compensation of our directors. For its review of the non-employee directors’ compensation for 2020, the nominating and governance committee engaged Mercer to benchmark the Company’s non-employee director compensation against that of relevant peer companies and the general market.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Based on recommendations by Mercer, the board of directors approved the compensation structure for non-employee directors for 2020 as described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1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2020 NON-EMPLOYEE DIRECTOR COMPENSATION STRUCTURE</w:t>
            </w:r>
          </w:p>
        </w:tc>
        <w:tc>
          <w:tcPr>
            <w:tcW w:w="220" w:type="dxa"/>
            <w:vAlign w:val="bottom"/>
            <w:tcBorders>
              <w:bottom w:val="single" w:sz="8" w:color="EAEAEA"/>
            </w:tcBorders>
            <w:shd w:val="clear" w:color="auto" w:fill="EAEAEA"/>
          </w:tcPr>
          <w:p>
            <w:pPr>
              <w:spacing w:after="0"/>
              <w:rPr>
                <w:sz w:val="23"/>
                <w:szCs w:val="23"/>
                <w:color w:val="auto"/>
              </w:rPr>
            </w:pPr>
          </w:p>
        </w:tc>
        <w:tc>
          <w:tcPr>
            <w:tcW w:w="560" w:type="dxa"/>
            <w:vAlign w:val="bottom"/>
            <w:tcBorders>
              <w:bottom w:val="single" w:sz="8" w:color="EAEAEA"/>
            </w:tcBorders>
            <w:shd w:val="clear" w:color="auto" w:fill="EAEAEA"/>
          </w:tcPr>
          <w:p>
            <w:pPr>
              <w:spacing w:after="0"/>
              <w:rPr>
                <w:sz w:val="23"/>
                <w:szCs w:val="23"/>
                <w:color w:val="auto"/>
              </w:rPr>
            </w:pPr>
          </w:p>
        </w:tc>
      </w:tr>
      <w:tr>
        <w:trPr>
          <w:trHeight w:val="245"/>
        </w:trPr>
        <w:tc>
          <w:tcPr>
            <w:tcW w:w="10140" w:type="dxa"/>
            <w:vAlign w:val="bottom"/>
          </w:tcPr>
          <w:p>
            <w:pPr>
              <w:ind w:left="80"/>
              <w:spacing w:after="0"/>
              <w:rPr>
                <w:sz w:val="20"/>
                <w:szCs w:val="20"/>
                <w:color w:val="auto"/>
              </w:rPr>
            </w:pPr>
            <w:r>
              <w:rPr>
                <w:rFonts w:ascii="Arial" w:cs="Arial" w:eastAsia="Arial" w:hAnsi="Arial"/>
                <w:sz w:val="14"/>
                <w:szCs w:val="14"/>
                <w:color w:val="auto"/>
              </w:rPr>
              <w:t>Annual Base Retainer (TOTAL)</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290,000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300"/>
              <w:spacing w:after="0"/>
              <w:rPr>
                <w:sz w:val="20"/>
                <w:szCs w:val="20"/>
                <w:color w:val="auto"/>
              </w:rPr>
            </w:pPr>
            <w:r>
              <w:rPr>
                <w:rFonts w:ascii="Arial" w:cs="Arial" w:eastAsia="Arial" w:hAnsi="Arial"/>
                <w:sz w:val="14"/>
                <w:szCs w:val="14"/>
                <w:color w:val="auto"/>
              </w:rPr>
              <w:t>Cash</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115,000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300"/>
              <w:spacing w:after="0"/>
              <w:rPr>
                <w:sz w:val="20"/>
                <w:szCs w:val="20"/>
                <w:color w:val="auto"/>
              </w:rPr>
            </w:pPr>
            <w:r>
              <w:rPr>
                <w:rFonts w:ascii="Arial" w:cs="Arial" w:eastAsia="Arial" w:hAnsi="Arial"/>
                <w:sz w:val="14"/>
                <w:szCs w:val="14"/>
                <w:color w:val="auto"/>
              </w:rPr>
              <w:t>Equity</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175,000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Nominating and Governance Committee Chair Retainer</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Executive Compensation and Human Resources Committee Chair Retainer</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Audit Committee Chair Retainer</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27,500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Retainer for lead director</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25,000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Retainer for lead director in the case where he or she also serves as a committee chair</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30,000</w:t>
            </w:r>
          </w:p>
        </w:tc>
      </w:tr>
      <w:tr>
        <w:trPr>
          <w:trHeight w:val="50"/>
        </w:trPr>
        <w:tc>
          <w:tcPr>
            <w:tcW w:w="101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Annual Cash Retainer</w:t>
      </w:r>
    </w:p>
    <w:p>
      <w:pPr>
        <w:spacing w:after="0" w:line="88"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Each year, directors receive an annual cash retainer but can elect to receive deferred stock in lieu of 50%, 75% or 100% of their annual cash retainer. This deferred stock will be granted at the end of the year for which the election was made. The number of shares granted will equal the annual cash retainer divided by the average of the closing prices of ManpowerGroup common stock on the last trading day of each full or partial calendar quarter covered by the election period. For 2020, Ms. Howard elected to accept deferred stock in lieu of 100% of her annual cash retainer.</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Annual Equity Grant</w:t>
      </w:r>
    </w:p>
    <w:p>
      <w:pPr>
        <w:spacing w:after="0" w:line="75"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Each year directors also receive an annual grant of deferred stock. The annual grant is effective on January 1 of each year and the number of shares granted will equal the annual equity retainer divided by the closing sale price of a share of ManpowerGroup’s common stock on the last business day of the preceding year. Alternatively, the directors can elect to receive restricted stock instead of deferred stock if they make the election on or before December 31 of the preceding year. For 2020, the total shares of deferred stock or restricted stock granted to each director was 1,802 shares. The shares vest in equal quarterly installments on the last day of each calendar quarter during the year.</w:t>
      </w:r>
    </w:p>
    <w:p>
      <w:pPr>
        <w:spacing w:after="0" w:line="127" w:lineRule="exact"/>
        <w:rPr>
          <w:sz w:val="20"/>
          <w:szCs w:val="20"/>
          <w:color w:val="auto"/>
        </w:rPr>
      </w:pPr>
    </w:p>
    <w:p>
      <w:pPr>
        <w:ind w:right="380"/>
        <w:spacing w:after="0" w:line="237" w:lineRule="auto"/>
        <w:rPr>
          <w:sz w:val="20"/>
          <w:szCs w:val="20"/>
          <w:color w:val="auto"/>
        </w:rPr>
      </w:pPr>
      <w:r>
        <w:rPr>
          <w:rFonts w:ascii="Arial" w:cs="Arial" w:eastAsia="Arial" w:hAnsi="Arial"/>
          <w:sz w:val="15"/>
          <w:szCs w:val="15"/>
          <w:color w:val="auto"/>
        </w:rPr>
        <w:t>A new director will receive a grant of deferred stock effective the date the director is appointed to the board and will be prorated for the year. They can elect to receive restricted stock instead if they make the election within 10 days of appointment to the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Distribution of Deferred Stock</w:t>
      </w:r>
    </w:p>
    <w:p>
      <w:pPr>
        <w:spacing w:after="0" w:line="75"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Deferred stock will be distributed in ManpowerGroup shares on the earlier of 3 years from the date of grant or within 30 days of the director leaving the board. However, the director can extend the deferral period for these grants by at least five years, and thereafter extend further by at least five more years, as long as the election to extend is made at least twelve months before the end of the current deferral period. If a director extends the deferral period but leaves the board prior to the extended date, the deferred stock will be distributed within 30 days of the director leaving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10</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COMPEN</w:t>
      </w:r>
      <w:r>
        <w:rPr>
          <w:rFonts w:ascii="Arial" w:cs="Arial" w:eastAsia="Arial" w:hAnsi="Arial"/>
          <w:sz w:val="16"/>
          <w:szCs w:val="16"/>
          <w:color w:val="5D89B4"/>
        </w:rPr>
        <w:t>SATION FOR 2020</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Compensation Actions in Response to COVID-19</w:t>
      </w:r>
    </w:p>
    <w:p>
      <w:pPr>
        <w:spacing w:after="0" w:line="88" w:lineRule="exact"/>
        <w:rPr>
          <w:sz w:val="20"/>
          <w:szCs w:val="20"/>
          <w:color w:val="auto"/>
        </w:rPr>
      </w:pPr>
    </w:p>
    <w:p>
      <w:pPr>
        <w:ind w:right="320"/>
        <w:spacing w:after="0" w:line="232" w:lineRule="auto"/>
        <w:rPr>
          <w:sz w:val="20"/>
          <w:szCs w:val="20"/>
          <w:color w:val="auto"/>
        </w:rPr>
      </w:pPr>
      <w:r>
        <w:rPr>
          <w:rFonts w:ascii="Arial" w:cs="Arial" w:eastAsia="Arial" w:hAnsi="Arial"/>
          <w:sz w:val="15"/>
          <w:szCs w:val="15"/>
          <w:color w:val="auto"/>
        </w:rPr>
        <w:t>Due to the uncertainty of the COVID-19 pandemic, our executive officers voluntarily reduced their base salaries from April to August 2020, in recognition of the hardship being experienced by others. Consistent with those actions, the board of directors voluntarily reduced the annual cash retainer for non-employee directors by 30% over the same time period.</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Director Compensation for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shd w:val="clear" w:color="auto" w:fill="EAEAEA"/>
          </w:tcPr>
          <w:p>
            <w:pPr>
              <w:spacing w:after="0"/>
              <w:rPr>
                <w:sz w:val="18"/>
                <w:szCs w:val="18"/>
                <w:color w:val="auto"/>
              </w:rPr>
            </w:pPr>
          </w:p>
        </w:tc>
        <w:tc>
          <w:tcPr>
            <w:tcW w:w="228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FEES EARNED OR</w:t>
            </w:r>
          </w:p>
        </w:tc>
        <w:tc>
          <w:tcPr>
            <w:tcW w:w="206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r>
      <w:tr>
        <w:trPr>
          <w:trHeight w:val="160"/>
        </w:trPr>
        <w:tc>
          <w:tcPr>
            <w:tcW w:w="5400" w:type="dxa"/>
            <w:vAlign w:val="bottom"/>
            <w:shd w:val="clear" w:color="auto" w:fill="EAEAEA"/>
          </w:tcPr>
          <w:p>
            <w:pPr>
              <w:spacing w:after="0"/>
              <w:rPr>
                <w:sz w:val="13"/>
                <w:szCs w:val="13"/>
                <w:color w:val="auto"/>
              </w:rPr>
            </w:pPr>
          </w:p>
        </w:tc>
        <w:tc>
          <w:tcPr>
            <w:tcW w:w="228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PAID IN CASH</w:t>
            </w:r>
          </w:p>
        </w:tc>
        <w:tc>
          <w:tcPr>
            <w:tcW w:w="206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STOCK AWARDS</w:t>
            </w:r>
          </w:p>
        </w:tc>
        <w:tc>
          <w:tcPr>
            <w:tcW w:w="1180" w:type="dxa"/>
            <w:vAlign w:val="bottom"/>
            <w:shd w:val="clear" w:color="auto" w:fill="EAEAEA"/>
          </w:tcPr>
          <w:p>
            <w:pPr>
              <w:spacing w:after="0"/>
              <w:rPr>
                <w:sz w:val="13"/>
                <w:szCs w:val="13"/>
                <w:color w:val="auto"/>
              </w:rPr>
            </w:pPr>
          </w:p>
        </w:tc>
      </w:tr>
      <w:tr>
        <w:trPr>
          <w:trHeight w:val="234"/>
        </w:trPr>
        <w:tc>
          <w:tcPr>
            <w:tcW w:w="54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228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w:t>
            </w:r>
          </w:p>
        </w:tc>
        <w:tc>
          <w:tcPr>
            <w:tcW w:w="206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($)(2)</w:t>
            </w:r>
          </w:p>
        </w:tc>
        <w:tc>
          <w:tcPr>
            <w:tcW w:w="1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TOTAL ($)</w:t>
            </w:r>
          </w:p>
        </w:tc>
      </w:tr>
      <w:tr>
        <w:trPr>
          <w:trHeight w:val="24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102,156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175,000</w:t>
            </w:r>
          </w:p>
        </w:tc>
        <w:tc>
          <w:tcPr>
            <w:tcW w:w="1180" w:type="dxa"/>
            <w:vAlign w:val="bottom"/>
          </w:tcPr>
          <w:p>
            <w:pPr>
              <w:jc w:val="right"/>
              <w:spacing w:after="0"/>
              <w:rPr>
                <w:sz w:val="20"/>
                <w:szCs w:val="20"/>
                <w:color w:val="auto"/>
              </w:rPr>
            </w:pPr>
            <w:r>
              <w:rPr>
                <w:rFonts w:ascii="Arial" w:cs="Arial" w:eastAsia="Arial" w:hAnsi="Arial"/>
                <w:sz w:val="15"/>
                <w:szCs w:val="15"/>
                <w:color w:val="auto"/>
              </w:rPr>
              <w:t>277,156</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Courtois(1)</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5,671</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8,630</w:t>
            </w:r>
          </w:p>
        </w:tc>
        <w:tc>
          <w:tcPr>
            <w:tcW w:w="1180" w:type="dxa"/>
            <w:vAlign w:val="bottom"/>
          </w:tcPr>
          <w:p>
            <w:pPr>
              <w:jc w:val="right"/>
              <w:spacing w:after="0"/>
              <w:rPr>
                <w:sz w:val="20"/>
                <w:szCs w:val="20"/>
                <w:color w:val="auto"/>
              </w:rPr>
            </w:pPr>
            <w:r>
              <w:rPr>
                <w:rFonts w:ascii="Arial" w:cs="Arial" w:eastAsia="Arial" w:hAnsi="Arial"/>
                <w:sz w:val="15"/>
                <w:szCs w:val="15"/>
                <w:color w:val="auto"/>
              </w:rPr>
              <w:t>14,301</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Cari M. Dominguez</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102,156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175,000</w:t>
            </w:r>
          </w:p>
        </w:tc>
        <w:tc>
          <w:tcPr>
            <w:tcW w:w="1180" w:type="dxa"/>
            <w:vAlign w:val="bottom"/>
          </w:tcPr>
          <w:p>
            <w:pPr>
              <w:jc w:val="right"/>
              <w:spacing w:after="0"/>
              <w:rPr>
                <w:sz w:val="20"/>
                <w:szCs w:val="20"/>
                <w:color w:val="auto"/>
              </w:rPr>
            </w:pPr>
            <w:r>
              <w:rPr>
                <w:rFonts w:ascii="Arial" w:cs="Arial" w:eastAsia="Arial" w:hAnsi="Arial"/>
                <w:sz w:val="15"/>
                <w:szCs w:val="15"/>
                <w:color w:val="auto"/>
              </w:rPr>
              <w:t>277,156</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127,156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237,612</w:t>
            </w:r>
          </w:p>
        </w:tc>
        <w:tc>
          <w:tcPr>
            <w:tcW w:w="1180" w:type="dxa"/>
            <w:vAlign w:val="bottom"/>
          </w:tcPr>
          <w:p>
            <w:pPr>
              <w:jc w:val="right"/>
              <w:spacing w:after="0"/>
              <w:rPr>
                <w:sz w:val="20"/>
                <w:szCs w:val="20"/>
                <w:color w:val="auto"/>
              </w:rPr>
            </w:pPr>
            <w:r>
              <w:rPr>
                <w:rFonts w:ascii="Arial" w:cs="Arial" w:eastAsia="Arial" w:hAnsi="Arial"/>
                <w:sz w:val="15"/>
                <w:szCs w:val="15"/>
                <w:color w:val="auto"/>
              </w:rPr>
              <w:t>364,768</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102,156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203,810</w:t>
            </w:r>
          </w:p>
        </w:tc>
        <w:tc>
          <w:tcPr>
            <w:tcW w:w="1180" w:type="dxa"/>
            <w:vAlign w:val="bottom"/>
          </w:tcPr>
          <w:p>
            <w:pPr>
              <w:jc w:val="right"/>
              <w:spacing w:after="0"/>
              <w:rPr>
                <w:sz w:val="20"/>
                <w:szCs w:val="20"/>
                <w:color w:val="auto"/>
              </w:rPr>
            </w:pPr>
            <w:r>
              <w:rPr>
                <w:rFonts w:ascii="Arial" w:cs="Arial" w:eastAsia="Arial" w:hAnsi="Arial"/>
                <w:sz w:val="15"/>
                <w:szCs w:val="15"/>
                <w:color w:val="auto"/>
              </w:rPr>
              <w:t>305,966</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William P. Gipson(1)</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5,671</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8,630</w:t>
            </w:r>
          </w:p>
        </w:tc>
        <w:tc>
          <w:tcPr>
            <w:tcW w:w="1180" w:type="dxa"/>
            <w:vAlign w:val="bottom"/>
          </w:tcPr>
          <w:p>
            <w:pPr>
              <w:jc w:val="right"/>
              <w:spacing w:after="0"/>
              <w:rPr>
                <w:sz w:val="20"/>
                <w:szCs w:val="20"/>
                <w:color w:val="auto"/>
              </w:rPr>
            </w:pPr>
            <w:r>
              <w:rPr>
                <w:rFonts w:ascii="Arial" w:cs="Arial" w:eastAsia="Arial" w:hAnsi="Arial"/>
                <w:sz w:val="15"/>
                <w:szCs w:val="15"/>
                <w:color w:val="auto"/>
              </w:rPr>
              <w:t>14,301</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122,156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183,700</w:t>
            </w:r>
          </w:p>
        </w:tc>
        <w:tc>
          <w:tcPr>
            <w:tcW w:w="1180" w:type="dxa"/>
            <w:vAlign w:val="bottom"/>
          </w:tcPr>
          <w:p>
            <w:pPr>
              <w:jc w:val="right"/>
              <w:spacing w:after="0"/>
              <w:rPr>
                <w:sz w:val="20"/>
                <w:szCs w:val="20"/>
                <w:color w:val="auto"/>
              </w:rPr>
            </w:pPr>
            <w:r>
              <w:rPr>
                <w:rFonts w:ascii="Arial" w:cs="Arial" w:eastAsia="Arial" w:hAnsi="Arial"/>
                <w:sz w:val="15"/>
                <w:szCs w:val="15"/>
                <w:color w:val="auto"/>
              </w:rPr>
              <w:t>305,856</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301,973</w:t>
            </w:r>
          </w:p>
        </w:tc>
        <w:tc>
          <w:tcPr>
            <w:tcW w:w="1180" w:type="dxa"/>
            <w:vAlign w:val="bottom"/>
          </w:tcPr>
          <w:p>
            <w:pPr>
              <w:jc w:val="right"/>
              <w:spacing w:after="0"/>
              <w:rPr>
                <w:sz w:val="20"/>
                <w:szCs w:val="20"/>
                <w:color w:val="auto"/>
              </w:rPr>
            </w:pPr>
            <w:r>
              <w:rPr>
                <w:rFonts w:ascii="Arial" w:cs="Arial" w:eastAsia="Arial" w:hAnsi="Arial"/>
                <w:sz w:val="15"/>
                <w:szCs w:val="15"/>
                <w:color w:val="auto"/>
              </w:rPr>
              <w:t>301,973</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102,156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187,765</w:t>
            </w:r>
          </w:p>
        </w:tc>
        <w:tc>
          <w:tcPr>
            <w:tcW w:w="1180" w:type="dxa"/>
            <w:vAlign w:val="bottom"/>
          </w:tcPr>
          <w:p>
            <w:pPr>
              <w:jc w:val="right"/>
              <w:spacing w:after="0"/>
              <w:rPr>
                <w:sz w:val="20"/>
                <w:szCs w:val="20"/>
                <w:color w:val="auto"/>
              </w:rPr>
            </w:pPr>
            <w:r>
              <w:rPr>
                <w:rFonts w:ascii="Arial" w:cs="Arial" w:eastAsia="Arial" w:hAnsi="Arial"/>
                <w:sz w:val="15"/>
                <w:szCs w:val="15"/>
                <w:color w:val="auto"/>
              </w:rPr>
              <w:t>289,921</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129,656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187,765</w:t>
            </w:r>
          </w:p>
        </w:tc>
        <w:tc>
          <w:tcPr>
            <w:tcW w:w="1180" w:type="dxa"/>
            <w:vAlign w:val="bottom"/>
          </w:tcPr>
          <w:p>
            <w:pPr>
              <w:jc w:val="right"/>
              <w:spacing w:after="0"/>
              <w:rPr>
                <w:sz w:val="20"/>
                <w:szCs w:val="20"/>
                <w:color w:val="auto"/>
              </w:rPr>
            </w:pPr>
            <w:r>
              <w:rPr>
                <w:rFonts w:ascii="Arial" w:cs="Arial" w:eastAsia="Arial" w:hAnsi="Arial"/>
                <w:sz w:val="15"/>
                <w:szCs w:val="15"/>
                <w:color w:val="auto"/>
              </w:rPr>
              <w:t>317,421</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122,156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175,000</w:t>
            </w:r>
          </w:p>
        </w:tc>
        <w:tc>
          <w:tcPr>
            <w:tcW w:w="1180" w:type="dxa"/>
            <w:vAlign w:val="bottom"/>
          </w:tcPr>
          <w:p>
            <w:pPr>
              <w:jc w:val="right"/>
              <w:spacing w:after="0"/>
              <w:rPr>
                <w:sz w:val="20"/>
                <w:szCs w:val="20"/>
                <w:color w:val="auto"/>
              </w:rPr>
            </w:pPr>
            <w:r>
              <w:rPr>
                <w:rFonts w:ascii="Arial" w:cs="Arial" w:eastAsia="Arial" w:hAnsi="Arial"/>
                <w:sz w:val="15"/>
                <w:szCs w:val="15"/>
                <w:color w:val="auto"/>
              </w:rPr>
              <w:t>297,156</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102,156</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187,908</w:t>
            </w:r>
          </w:p>
        </w:tc>
        <w:tc>
          <w:tcPr>
            <w:tcW w:w="1180" w:type="dxa"/>
            <w:vAlign w:val="bottom"/>
          </w:tcPr>
          <w:p>
            <w:pPr>
              <w:jc w:val="right"/>
              <w:spacing w:after="0"/>
              <w:rPr>
                <w:sz w:val="20"/>
                <w:szCs w:val="20"/>
                <w:color w:val="auto"/>
              </w:rPr>
            </w:pPr>
            <w:r>
              <w:rPr>
                <w:rFonts w:ascii="Arial" w:cs="Arial" w:eastAsia="Arial" w:hAnsi="Arial"/>
                <w:sz w:val="15"/>
                <w:szCs w:val="15"/>
                <w:color w:val="auto"/>
              </w:rPr>
              <w:t>290,064</w:t>
            </w:r>
          </w:p>
        </w:tc>
      </w:tr>
      <w:tr>
        <w:trPr>
          <w:trHeight w:val="50"/>
        </w:trPr>
        <w:tc>
          <w:tcPr>
            <w:tcW w:w="540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Messrs. Courtois and Gipson were elected to the Board on December 14, 2020 and received a pro-rata annual retainer and grant of deferred stock.</w:t>
      </w:r>
    </w:p>
    <w:p>
      <w:pPr>
        <w:spacing w:after="0" w:line="66" w:lineRule="exact"/>
        <w:rPr>
          <w:rFonts w:ascii="Arial" w:cs="Arial" w:eastAsia="Arial" w:hAnsi="Arial"/>
          <w:sz w:val="14"/>
          <w:szCs w:val="14"/>
          <w:color w:val="auto"/>
        </w:rPr>
      </w:pPr>
    </w:p>
    <w:p>
      <w:pPr>
        <w:ind w:left="440" w:right="140" w:hanging="433"/>
        <w:spacing w:after="0" w:line="246" w:lineRule="auto"/>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53" w:lineRule="exact"/>
        <w:rPr>
          <w:rFonts w:ascii="Arial" w:cs="Arial" w:eastAsia="Arial" w:hAnsi="Arial"/>
          <w:sz w:val="14"/>
          <w:szCs w:val="14"/>
          <w:color w:val="auto"/>
        </w:rPr>
      </w:pPr>
    </w:p>
    <w:p>
      <w:pPr>
        <w:ind w:left="440" w:right="3940"/>
        <w:spacing w:after="0" w:line="338" w:lineRule="auto"/>
        <w:rPr>
          <w:rFonts w:ascii="Arial" w:cs="Arial" w:eastAsia="Arial" w:hAnsi="Arial"/>
          <w:sz w:val="14"/>
          <w:szCs w:val="14"/>
          <w:color w:val="auto"/>
        </w:rPr>
      </w:pPr>
      <w:r>
        <w:rPr>
          <w:rFonts w:ascii="Arial" w:cs="Arial" w:eastAsia="Arial" w:hAnsi="Arial"/>
          <w:sz w:val="14"/>
          <w:szCs w:val="14"/>
          <w:color w:val="auto"/>
        </w:rPr>
        <w:t>For Ms. Boswell, $175,000 attributable to the annual grant of restricted stock (1,802 shares) in 2020. For Mr. Courtois, $8,630 attributable to the prorated annual grant of deferred stock (96 shares) in 2020. For Ms. Dominguez, $175,000 attributable to the annual grant of restricted stock (1,802 shares) in 2020.</w:t>
      </w:r>
    </w:p>
    <w:p>
      <w:pPr>
        <w:spacing w:after="0" w:line="1" w:lineRule="exact"/>
        <w:rPr>
          <w:rFonts w:ascii="Arial" w:cs="Arial" w:eastAsia="Arial" w:hAnsi="Arial"/>
          <w:sz w:val="14"/>
          <w:szCs w:val="14"/>
          <w:color w:val="auto"/>
        </w:rPr>
      </w:pPr>
    </w:p>
    <w:p>
      <w:pPr>
        <w:ind w:left="440" w:right="180"/>
        <w:spacing w:after="0" w:line="254" w:lineRule="auto"/>
        <w:rPr>
          <w:rFonts w:ascii="Arial" w:cs="Arial" w:eastAsia="Arial" w:hAnsi="Arial"/>
          <w:sz w:val="14"/>
          <w:szCs w:val="14"/>
          <w:color w:val="auto"/>
        </w:rPr>
      </w:pPr>
      <w:r>
        <w:rPr>
          <w:rFonts w:ascii="Arial" w:cs="Arial" w:eastAsia="Arial" w:hAnsi="Arial"/>
          <w:sz w:val="14"/>
          <w:szCs w:val="14"/>
          <w:color w:val="auto"/>
        </w:rPr>
        <w:t>For Mr. Downe, $175,000 attributable to the annual grant of deferred stock (1,802 shares) and $62,612 attributable to deferred stock issued in lieu of dividends (878 shares) in 2020.</w:t>
      </w:r>
    </w:p>
    <w:p>
      <w:pPr>
        <w:spacing w:after="0" w:line="47" w:lineRule="exact"/>
        <w:rPr>
          <w:rFonts w:ascii="Arial" w:cs="Arial" w:eastAsia="Arial" w:hAnsi="Arial"/>
          <w:sz w:val="14"/>
          <w:szCs w:val="14"/>
          <w:color w:val="auto"/>
        </w:rPr>
      </w:pPr>
    </w:p>
    <w:p>
      <w:pPr>
        <w:ind w:left="440" w:right="160"/>
        <w:spacing w:after="0" w:line="254" w:lineRule="auto"/>
        <w:rPr>
          <w:rFonts w:ascii="Arial" w:cs="Arial" w:eastAsia="Arial" w:hAnsi="Arial"/>
          <w:sz w:val="14"/>
          <w:szCs w:val="14"/>
          <w:color w:val="auto"/>
        </w:rPr>
      </w:pPr>
      <w:r>
        <w:rPr>
          <w:rFonts w:ascii="Arial" w:cs="Arial" w:eastAsia="Arial" w:hAnsi="Arial"/>
          <w:sz w:val="14"/>
          <w:szCs w:val="14"/>
          <w:color w:val="auto"/>
        </w:rPr>
        <w:t>For Mr. Ferraro, $175,000 attributable to the annual grant of deferred stock (1,802 shares) and $28,810 attributable to deferred stock issued in lieu of dividends (404 shares) in 2020.</w:t>
      </w:r>
    </w:p>
    <w:p>
      <w:pPr>
        <w:spacing w:after="0" w:line="4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Mr. Gipson, $8,630 attributable to the prorated annual grant of deferred stock (96 shares) in 2020.</w:t>
      </w:r>
    </w:p>
    <w:p>
      <w:pPr>
        <w:spacing w:after="0" w:line="66" w:lineRule="exact"/>
        <w:rPr>
          <w:rFonts w:ascii="Arial" w:cs="Arial" w:eastAsia="Arial" w:hAnsi="Arial"/>
          <w:sz w:val="14"/>
          <w:szCs w:val="14"/>
          <w:color w:val="auto"/>
        </w:rPr>
      </w:pPr>
    </w:p>
    <w:p>
      <w:pPr>
        <w:ind w:left="440" w:right="560"/>
        <w:spacing w:after="0" w:line="254" w:lineRule="auto"/>
        <w:rPr>
          <w:rFonts w:ascii="Arial" w:cs="Arial" w:eastAsia="Arial" w:hAnsi="Arial"/>
          <w:sz w:val="14"/>
          <w:szCs w:val="14"/>
          <w:color w:val="auto"/>
        </w:rPr>
      </w:pPr>
      <w:r>
        <w:rPr>
          <w:rFonts w:ascii="Arial" w:cs="Arial" w:eastAsia="Arial" w:hAnsi="Arial"/>
          <w:sz w:val="14"/>
          <w:szCs w:val="14"/>
          <w:color w:val="auto"/>
        </w:rPr>
        <w:t>For Ms. Hemingway Hall, $175,000 attributable to the annual grant of restricted stock (1,802 shares) and $8,700 attributable to deferred stock issued in lieu of dividends (122 shares) in 2020.</w:t>
      </w:r>
    </w:p>
    <w:p>
      <w:pPr>
        <w:spacing w:after="0" w:line="47" w:lineRule="exact"/>
        <w:rPr>
          <w:rFonts w:ascii="Arial" w:cs="Arial" w:eastAsia="Arial" w:hAnsi="Arial"/>
          <w:sz w:val="14"/>
          <w:szCs w:val="14"/>
          <w:color w:val="auto"/>
        </w:rPr>
      </w:pPr>
    </w:p>
    <w:p>
      <w:pPr>
        <w:ind w:left="440" w:right="340"/>
        <w:spacing w:after="0" w:line="254" w:lineRule="auto"/>
        <w:rPr>
          <w:rFonts w:ascii="Arial" w:cs="Arial" w:eastAsia="Arial" w:hAnsi="Arial"/>
          <w:sz w:val="14"/>
          <w:szCs w:val="14"/>
          <w:color w:val="auto"/>
        </w:rPr>
      </w:pPr>
      <w:r>
        <w:rPr>
          <w:rFonts w:ascii="Arial" w:cs="Arial" w:eastAsia="Arial" w:hAnsi="Arial"/>
          <w:sz w:val="14"/>
          <w:szCs w:val="14"/>
          <w:color w:val="auto"/>
        </w:rPr>
        <w:t>For Ms. Howard, $175,000 attributable to the annual grant of deferred stock (1,802 shares), $102,156 attributable to deferred stock granted in lieu of 100% of her annual retainer (1,432 shares) and $24,817 attributable to deferred stock issued in lieu of dividends (348 shares) in 2020.</w:t>
      </w:r>
    </w:p>
    <w:p>
      <w:pPr>
        <w:spacing w:after="0" w:line="47" w:lineRule="exact"/>
        <w:rPr>
          <w:rFonts w:ascii="Arial" w:cs="Arial" w:eastAsia="Arial" w:hAnsi="Arial"/>
          <w:sz w:val="14"/>
          <w:szCs w:val="14"/>
          <w:color w:val="auto"/>
        </w:rPr>
      </w:pPr>
    </w:p>
    <w:p>
      <w:pPr>
        <w:ind w:left="440" w:right="220"/>
        <w:spacing w:after="0" w:line="254" w:lineRule="auto"/>
        <w:rPr>
          <w:rFonts w:ascii="Arial" w:cs="Arial" w:eastAsia="Arial" w:hAnsi="Arial"/>
          <w:sz w:val="14"/>
          <w:szCs w:val="14"/>
          <w:color w:val="auto"/>
        </w:rPr>
      </w:pPr>
      <w:r>
        <w:rPr>
          <w:rFonts w:ascii="Arial" w:cs="Arial" w:eastAsia="Arial" w:hAnsi="Arial"/>
          <w:sz w:val="14"/>
          <w:szCs w:val="14"/>
          <w:color w:val="auto"/>
        </w:rPr>
        <w:t>For Mr. Payne, $175,000 attributable to the annual grant of deferred stock (1,802 shares) and $12,765 attributable to deferred stock issued in lieu of dividends (179 shares) in 2020.</w:t>
      </w:r>
    </w:p>
    <w:p>
      <w:pPr>
        <w:spacing w:after="0" w:line="47" w:lineRule="exact"/>
        <w:rPr>
          <w:rFonts w:ascii="Arial" w:cs="Arial" w:eastAsia="Arial" w:hAnsi="Arial"/>
          <w:sz w:val="14"/>
          <w:szCs w:val="14"/>
          <w:color w:val="auto"/>
        </w:rPr>
      </w:pPr>
    </w:p>
    <w:p>
      <w:pPr>
        <w:ind w:left="440" w:right="280"/>
        <w:spacing w:after="0" w:line="254" w:lineRule="auto"/>
        <w:rPr>
          <w:rFonts w:ascii="Arial" w:cs="Arial" w:eastAsia="Arial" w:hAnsi="Arial"/>
          <w:sz w:val="14"/>
          <w:szCs w:val="14"/>
          <w:color w:val="auto"/>
        </w:rPr>
      </w:pPr>
      <w:r>
        <w:rPr>
          <w:rFonts w:ascii="Arial" w:cs="Arial" w:eastAsia="Arial" w:hAnsi="Arial"/>
          <w:sz w:val="14"/>
          <w:szCs w:val="14"/>
          <w:color w:val="auto"/>
        </w:rPr>
        <w:t>For Mr. Read, $175,000 attributable to the annual grant of deferred stock (1,802 shares) and $12,765 attributable to deferred stock issued in lieu of dividends (179 shares) in 2020.</w:t>
      </w:r>
    </w:p>
    <w:p>
      <w:pPr>
        <w:spacing w:after="0" w:line="4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Ms. Sartain, $175,000 attributable to the annual grant of restricted stock (1,802 shares) in 2020.</w:t>
      </w:r>
    </w:p>
    <w:p>
      <w:pPr>
        <w:spacing w:after="0" w:line="66" w:lineRule="exact"/>
        <w:rPr>
          <w:rFonts w:ascii="Arial" w:cs="Arial" w:eastAsia="Arial" w:hAnsi="Arial"/>
          <w:sz w:val="14"/>
          <w:szCs w:val="14"/>
          <w:color w:val="auto"/>
        </w:rPr>
      </w:pPr>
    </w:p>
    <w:p>
      <w:pPr>
        <w:ind w:left="440" w:right="220"/>
        <w:spacing w:after="0" w:line="254" w:lineRule="auto"/>
        <w:rPr>
          <w:rFonts w:ascii="Arial" w:cs="Arial" w:eastAsia="Arial" w:hAnsi="Arial"/>
          <w:sz w:val="14"/>
          <w:szCs w:val="14"/>
          <w:color w:val="auto"/>
        </w:rPr>
      </w:pPr>
      <w:r>
        <w:rPr>
          <w:rFonts w:ascii="Arial" w:cs="Arial" w:eastAsia="Arial" w:hAnsi="Arial"/>
          <w:sz w:val="14"/>
          <w:szCs w:val="14"/>
          <w:color w:val="auto"/>
        </w:rPr>
        <w:t>For Mr. Van Handel, $175,000 attributable to the annual grant of deferred stock (1,802 shares) and $12,908 attributable to deferred stock issued in lieu of dividends (181 shares) in 2020.</w:t>
      </w:r>
    </w:p>
    <w:p>
      <w:pPr>
        <w:spacing w:after="0" w:line="47" w:lineRule="exact"/>
        <w:rPr>
          <w:rFonts w:ascii="Arial" w:cs="Arial" w:eastAsia="Arial" w:hAnsi="Arial"/>
          <w:sz w:val="14"/>
          <w:szCs w:val="14"/>
          <w:color w:val="auto"/>
        </w:rPr>
      </w:pPr>
    </w:p>
    <w:p>
      <w:pPr>
        <w:jc w:val="both"/>
        <w:ind w:left="440" w:right="260"/>
        <w:spacing w:after="0" w:line="246" w:lineRule="auto"/>
        <w:rPr>
          <w:rFonts w:ascii="Arial" w:cs="Arial" w:eastAsia="Arial" w:hAnsi="Arial"/>
          <w:sz w:val="14"/>
          <w:szCs w:val="14"/>
          <w:color w:val="auto"/>
        </w:rPr>
      </w:pPr>
      <w:r>
        <w:rPr>
          <w:rFonts w:ascii="Arial" w:cs="Arial" w:eastAsia="Arial" w:hAnsi="Arial"/>
          <w:sz w:val="14"/>
          <w:szCs w:val="14"/>
          <w:color w:val="auto"/>
        </w:rPr>
        <w:t>The aggregate number of shares of deferred stock held by each of the non-employee directors can be found in Footnote 1 of the Beneficial Ownership of Directors and Executive Officers table on page 71</w:t>
      </w:r>
      <w:r>
        <w:rPr>
          <w:rFonts w:ascii="Arial" w:cs="Arial" w:eastAsia="Arial" w:hAnsi="Arial"/>
          <w:sz w:val="14"/>
          <w:szCs w:val="14"/>
          <w:b w:val="1"/>
          <w:bCs w:val="1"/>
          <w:color w:val="auto"/>
        </w:rPr>
        <w:t>.</w:t>
      </w:r>
      <w:r>
        <w:rPr>
          <w:rFonts w:ascii="Arial" w:cs="Arial" w:eastAsia="Arial" w:hAnsi="Arial"/>
          <w:sz w:val="14"/>
          <w:szCs w:val="14"/>
          <w:color w:val="auto"/>
        </w:rPr>
        <w:t xml:space="preserve"> All such shares of deferred stock were fully vested as of December 31, 2020. All shares of restricted stock granted to the non-employee directors in 2020 were fully vested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23" w:name="page24"/>
    <w:bookmarkEnd w:id="23"/>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Non-Employee Director Stock Ownership Guidelines</w:t>
      </w:r>
    </w:p>
    <w:p>
      <w:pPr>
        <w:spacing w:after="0" w:line="371" w:lineRule="exact"/>
        <w:rPr>
          <w:sz w:val="20"/>
          <w:szCs w:val="20"/>
          <w:color w:val="auto"/>
        </w:rPr>
      </w:pPr>
    </w:p>
    <w:p>
      <w:pPr>
        <w:ind w:right="260"/>
        <w:spacing w:after="0" w:line="229" w:lineRule="auto"/>
        <w:rPr>
          <w:sz w:val="20"/>
          <w:szCs w:val="20"/>
          <w:color w:val="auto"/>
        </w:rPr>
      </w:pPr>
      <w:r>
        <w:rPr>
          <w:rFonts w:ascii="Arial" w:cs="Arial" w:eastAsia="Arial" w:hAnsi="Arial"/>
          <w:sz w:val="15"/>
          <w:szCs w:val="15"/>
          <w:color w:val="auto"/>
        </w:rPr>
        <w:t>The nominating and governance committee believes that non-employee directors should hold a meaningful stake in ManpowerGroup to align their economic interests with those of the shareholders. To that end, the board of directors adopted stock ownership guidelines that currently require non-employee directors to own shares equal in value to five times the 2015 annual cash retainer ($90,000 at January 1, 2015, for a total guideline of $450,000). The committee takes into account vested deferred stock and restricted stock in determining targeted ownership levels. The following table details each non-employee director’s stock ownership relative to the stock ownership guidelines: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00" w:type="dxa"/>
            <w:vAlign w:val="bottom"/>
            <w:shd w:val="clear" w:color="auto" w:fill="EAEAEA"/>
          </w:tcPr>
          <w:p>
            <w:pPr>
              <w:spacing w:after="0"/>
              <w:rPr>
                <w:sz w:val="18"/>
                <w:szCs w:val="18"/>
                <w:color w:val="auto"/>
              </w:rPr>
            </w:pPr>
          </w:p>
        </w:tc>
        <w:tc>
          <w:tcPr>
            <w:tcW w:w="2420" w:type="dxa"/>
            <w:vAlign w:val="bottom"/>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TARGET</w:t>
            </w:r>
          </w:p>
        </w:tc>
        <w:tc>
          <w:tcPr>
            <w:tcW w:w="2160" w:type="dxa"/>
            <w:vAlign w:val="bottom"/>
            <w:shd w:val="clear" w:color="auto" w:fill="EAEAEA"/>
          </w:tcPr>
          <w:p>
            <w:pPr>
              <w:spacing w:after="0"/>
              <w:rPr>
                <w:sz w:val="18"/>
                <w:szCs w:val="18"/>
                <w:color w:val="auto"/>
              </w:rPr>
            </w:pPr>
          </w:p>
        </w:tc>
        <w:tc>
          <w:tcPr>
            <w:tcW w:w="2000" w:type="dxa"/>
            <w:vAlign w:val="bottom"/>
            <w:shd w:val="clear" w:color="auto" w:fill="EAEAEA"/>
          </w:tcPr>
          <w:p>
            <w:pPr>
              <w:spacing w:after="0"/>
              <w:rPr>
                <w:sz w:val="18"/>
                <w:szCs w:val="18"/>
                <w:color w:val="auto"/>
              </w:rPr>
            </w:pPr>
          </w:p>
        </w:tc>
        <w:tc>
          <w:tcPr>
            <w:tcW w:w="1840" w:type="dxa"/>
            <w:vAlign w:val="bottom"/>
            <w:shd w:val="clear" w:color="auto" w:fill="EAEAEA"/>
          </w:tcPr>
          <w:p>
            <w:pPr>
              <w:spacing w:after="0"/>
              <w:rPr>
                <w:sz w:val="18"/>
                <w:szCs w:val="18"/>
                <w:color w:val="auto"/>
              </w:rPr>
            </w:pPr>
          </w:p>
        </w:tc>
      </w:tr>
      <w:tr>
        <w:trPr>
          <w:trHeight w:val="160"/>
        </w:trPr>
        <w:tc>
          <w:tcPr>
            <w:tcW w:w="2500" w:type="dxa"/>
            <w:vAlign w:val="bottom"/>
            <w:shd w:val="clear" w:color="auto" w:fill="EAEAEA"/>
          </w:tcPr>
          <w:p>
            <w:pPr>
              <w:spacing w:after="0"/>
              <w:rPr>
                <w:sz w:val="13"/>
                <w:szCs w:val="13"/>
                <w:color w:val="auto"/>
              </w:rPr>
            </w:pPr>
          </w:p>
        </w:tc>
        <w:tc>
          <w:tcPr>
            <w:tcW w:w="2420" w:type="dxa"/>
            <w:vAlign w:val="bottom"/>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NUMBER OF SHARES</w:t>
            </w:r>
          </w:p>
        </w:tc>
        <w:tc>
          <w:tcPr>
            <w:tcW w:w="2160" w:type="dxa"/>
            <w:vAlign w:val="bottom"/>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NUMBER OF SHARES</w:t>
            </w:r>
          </w:p>
        </w:tc>
        <w:tc>
          <w:tcPr>
            <w:tcW w:w="2000" w:type="dxa"/>
            <w:vAlign w:val="bottom"/>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VALUE OF SHARES</w:t>
            </w:r>
          </w:p>
        </w:tc>
        <w:tc>
          <w:tcPr>
            <w:tcW w:w="1840" w:type="dxa"/>
            <w:vAlign w:val="bottom"/>
            <w:shd w:val="clear" w:color="auto" w:fill="EAEAEA"/>
          </w:tcPr>
          <w:p>
            <w:pPr>
              <w:jc w:val="center"/>
              <w:ind w:left="266"/>
              <w:spacing w:after="0"/>
              <w:rPr>
                <w:sz w:val="20"/>
                <w:szCs w:val="20"/>
                <w:color w:val="auto"/>
              </w:rPr>
            </w:pPr>
            <w:r>
              <w:rPr>
                <w:rFonts w:ascii="Arial" w:cs="Arial" w:eastAsia="Arial" w:hAnsi="Arial"/>
                <w:sz w:val="14"/>
                <w:szCs w:val="14"/>
                <w:b w:val="1"/>
                <w:bCs w:val="1"/>
                <w:color w:val="5D89B4"/>
                <w:w w:val="99"/>
              </w:rPr>
              <w:t>TARGET DATE TO</w:t>
            </w:r>
          </w:p>
        </w:tc>
      </w:tr>
      <w:tr>
        <w:trPr>
          <w:trHeight w:val="234"/>
        </w:trPr>
        <w:tc>
          <w:tcPr>
            <w:tcW w:w="25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420" w:type="dxa"/>
            <w:vAlign w:val="bottom"/>
            <w:tcBorders>
              <w:bottom w:val="single" w:sz="8" w:color="EAEAEA"/>
            </w:tcBorders>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(#)(1)</w:t>
            </w:r>
          </w:p>
        </w:tc>
        <w:tc>
          <w:tcPr>
            <w:tcW w:w="2160" w:type="dxa"/>
            <w:vAlign w:val="bottom"/>
            <w:tcBorders>
              <w:bottom w:val="single" w:sz="8" w:color="EAEAEA"/>
            </w:tcBorders>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HELD(#)(2)</w:t>
            </w:r>
          </w:p>
        </w:tc>
        <w:tc>
          <w:tcPr>
            <w:tcW w:w="2000" w:type="dxa"/>
            <w:vAlign w:val="bottom"/>
            <w:tcBorders>
              <w:bottom w:val="single" w:sz="8" w:color="EAEAEA"/>
            </w:tcBorders>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($)(3)</w:t>
            </w:r>
          </w:p>
        </w:tc>
        <w:tc>
          <w:tcPr>
            <w:tcW w:w="1840" w:type="dxa"/>
            <w:vAlign w:val="bottom"/>
            <w:tcBorders>
              <w:bottom w:val="single" w:sz="8" w:color="EAEAEA"/>
            </w:tcBorders>
            <w:shd w:val="clear" w:color="auto" w:fill="EAEAEA"/>
          </w:tcPr>
          <w:p>
            <w:pPr>
              <w:jc w:val="center"/>
              <w:ind w:left="266"/>
              <w:spacing w:after="0"/>
              <w:rPr>
                <w:sz w:val="20"/>
                <w:szCs w:val="20"/>
                <w:color w:val="auto"/>
              </w:rPr>
            </w:pPr>
            <w:r>
              <w:rPr>
                <w:rFonts w:ascii="Arial" w:cs="Arial" w:eastAsia="Arial" w:hAnsi="Arial"/>
                <w:sz w:val="14"/>
                <w:szCs w:val="14"/>
                <w:b w:val="1"/>
                <w:bCs w:val="1"/>
                <w:color w:val="5D89B4"/>
              </w:rPr>
              <w:t>SATISFY GUIDELINES</w:t>
            </w:r>
          </w:p>
        </w:tc>
      </w:tr>
      <w:tr>
        <w:trPr>
          <w:trHeight w:val="24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8,932</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843,538</w:t>
            </w:r>
          </w:p>
        </w:tc>
        <w:tc>
          <w:tcPr>
            <w:tcW w:w="1840" w:type="dxa"/>
            <w:vAlign w:val="bottom"/>
          </w:tcPr>
          <w:p>
            <w:pPr>
              <w:spacing w:after="0"/>
              <w:rPr>
                <w:sz w:val="21"/>
                <w:szCs w:val="21"/>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4,990</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96</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9,066</w:t>
            </w:r>
          </w:p>
        </w:tc>
        <w:tc>
          <w:tcPr>
            <w:tcW w:w="1840" w:type="dxa"/>
            <w:vAlign w:val="bottom"/>
          </w:tcPr>
          <w:p>
            <w:pPr>
              <w:jc w:val="center"/>
              <w:ind w:left="266"/>
              <w:spacing w:after="0"/>
              <w:rPr>
                <w:sz w:val="20"/>
                <w:szCs w:val="20"/>
                <w:color w:val="auto"/>
              </w:rPr>
            </w:pPr>
            <w:r>
              <w:rPr>
                <w:rFonts w:ascii="Arial" w:cs="Arial" w:eastAsia="Arial" w:hAnsi="Arial"/>
                <w:sz w:val="15"/>
                <w:szCs w:val="15"/>
                <w:color w:val="5D89B4"/>
              </w:rPr>
              <w:t>December 14, 2024</w:t>
            </w: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Cari M. Dominguez</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14,366</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1,356,725</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52,806</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4,986,999</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5,894</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13,183</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1,245,003</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4,990</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96</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9,066</w:t>
            </w:r>
          </w:p>
        </w:tc>
        <w:tc>
          <w:tcPr>
            <w:tcW w:w="1840" w:type="dxa"/>
            <w:vAlign w:val="bottom"/>
          </w:tcPr>
          <w:p>
            <w:pPr>
              <w:jc w:val="center"/>
              <w:ind w:left="266"/>
              <w:spacing w:after="0"/>
              <w:rPr>
                <w:sz w:val="20"/>
                <w:szCs w:val="20"/>
                <w:color w:val="auto"/>
              </w:rPr>
            </w:pPr>
            <w:r>
              <w:rPr>
                <w:rFonts w:ascii="Arial" w:cs="Arial" w:eastAsia="Arial" w:hAnsi="Arial"/>
                <w:sz w:val="15"/>
                <w:szCs w:val="15"/>
                <w:color w:val="5D89B4"/>
              </w:rPr>
              <w:t>December 14, 2024</w:t>
            </w: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12,636</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1,193,344</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5,064</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12,979</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1,225,737</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13,400</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1,265,496</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11,192</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1,056,972</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24,171</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2,282,709</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r>
        <w:trPr>
          <w:trHeight w:val="22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420" w:type="dxa"/>
            <w:vAlign w:val="bottom"/>
          </w:tcPr>
          <w:p>
            <w:pPr>
              <w:jc w:val="right"/>
              <w:ind w:right="245"/>
              <w:spacing w:after="0"/>
              <w:rPr>
                <w:sz w:val="20"/>
                <w:szCs w:val="20"/>
                <w:color w:val="auto"/>
              </w:rPr>
            </w:pPr>
            <w:r>
              <w:rPr>
                <w:rFonts w:ascii="Arial" w:cs="Arial" w:eastAsia="Arial" w:hAnsi="Arial"/>
                <w:sz w:val="15"/>
                <w:szCs w:val="15"/>
                <w:color w:val="auto"/>
              </w:rPr>
              <w:t>3,568</w:t>
            </w:r>
          </w:p>
        </w:tc>
        <w:tc>
          <w:tcPr>
            <w:tcW w:w="2160" w:type="dxa"/>
            <w:vAlign w:val="bottom"/>
          </w:tcPr>
          <w:p>
            <w:pPr>
              <w:jc w:val="right"/>
              <w:ind w:right="265"/>
              <w:spacing w:after="0"/>
              <w:rPr>
                <w:sz w:val="20"/>
                <w:szCs w:val="20"/>
                <w:color w:val="auto"/>
              </w:rPr>
            </w:pPr>
            <w:r>
              <w:rPr>
                <w:rFonts w:ascii="Arial" w:cs="Arial" w:eastAsia="Arial" w:hAnsi="Arial"/>
                <w:sz w:val="15"/>
                <w:szCs w:val="15"/>
                <w:color w:val="auto"/>
              </w:rPr>
              <w:t>14,192</w:t>
            </w:r>
          </w:p>
        </w:tc>
        <w:tc>
          <w:tcPr>
            <w:tcW w:w="2000" w:type="dxa"/>
            <w:vAlign w:val="bottom"/>
          </w:tcPr>
          <w:p>
            <w:pPr>
              <w:jc w:val="right"/>
              <w:ind w:right="245"/>
              <w:spacing w:after="0"/>
              <w:rPr>
                <w:sz w:val="20"/>
                <w:szCs w:val="20"/>
                <w:color w:val="auto"/>
              </w:rPr>
            </w:pPr>
            <w:r>
              <w:rPr>
                <w:rFonts w:ascii="Arial" w:cs="Arial" w:eastAsia="Arial" w:hAnsi="Arial"/>
                <w:sz w:val="15"/>
                <w:szCs w:val="15"/>
                <w:color w:val="auto"/>
              </w:rPr>
              <w:t>1,340,292</w:t>
            </w:r>
          </w:p>
        </w:tc>
        <w:tc>
          <w:tcPr>
            <w:tcW w:w="1840" w:type="dxa"/>
            <w:vAlign w:val="bottom"/>
          </w:tcPr>
          <w:p>
            <w:pPr>
              <w:spacing w:after="0"/>
              <w:rPr>
                <w:sz w:val="19"/>
                <w:szCs w:val="19"/>
                <w:color w:val="auto"/>
              </w:rPr>
            </w:pPr>
          </w:p>
        </w:tc>
      </w:tr>
      <w:tr>
        <w:trPr>
          <w:trHeight w:val="50"/>
        </w:trPr>
        <w:tc>
          <w:tcPr>
            <w:tcW w:w="250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840" w:type="dxa"/>
            <w:vAlign w:val="bottom"/>
            <w:tcBorders>
              <w:bottom w:val="single" w:sz="8" w:color="5D89B4"/>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6433185</wp:posOffset>
            </wp:positionH>
            <wp:positionV relativeFrom="paragraph">
              <wp:posOffset>-2164715</wp:posOffset>
            </wp:positionV>
            <wp:extent cx="50800"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-1791335</wp:posOffset>
            </wp:positionV>
            <wp:extent cx="50800"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-1604645</wp:posOffset>
            </wp:positionV>
            <wp:extent cx="50800"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-1417320</wp:posOffset>
            </wp:positionV>
            <wp:extent cx="50800"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-1043940</wp:posOffset>
            </wp:positionV>
            <wp:extent cx="50800" cy="59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-857250</wp:posOffset>
            </wp:positionV>
            <wp:extent cx="50800" cy="596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-670560</wp:posOffset>
            </wp:positionV>
            <wp:extent cx="50800" cy="596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-483235</wp:posOffset>
            </wp:positionV>
            <wp:extent cx="50800" cy="59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-296545</wp:posOffset>
            </wp:positionV>
            <wp:extent cx="50800" cy="596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-109855</wp:posOffset>
            </wp:positionV>
            <wp:extent cx="50800" cy="596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105" w:lineRule="exact"/>
        <w:rPr>
          <w:sz w:val="20"/>
          <w:szCs w:val="20"/>
          <w:color w:val="auto"/>
        </w:rPr>
      </w:pPr>
    </w:p>
    <w:p>
      <w:pPr>
        <w:ind w:left="440" w:right="180" w:hanging="433"/>
        <w:spacing w:after="0" w:line="246" w:lineRule="auto"/>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Target shares are based on target value ($450,000) divided by the closing stock price on December 31, 2014 of $68.17 for non-employee directors in office as of January 1, 2015. For non-employee directors appointed after January 1, 2015 target shares are based on target value ($450,000) divided by the closing price of the Company’s common stock on the last business day of the month during which the director was or is first appointed to the Board of Directors.</w:t>
      </w:r>
    </w:p>
    <w:p>
      <w:pPr>
        <w:spacing w:after="0" w:line="53" w:lineRule="exact"/>
        <w:rPr>
          <w:rFonts w:ascii="Arial" w:cs="Arial" w:eastAsia="Arial" w:hAnsi="Arial"/>
          <w:sz w:val="14"/>
          <w:szCs w:val="14"/>
          <w:color w:val="auto"/>
        </w:rPr>
      </w:pPr>
    </w:p>
    <w:p>
      <w:pPr>
        <w:ind w:left="440" w:right="4760" w:hanging="433"/>
        <w:spacing w:after="0" w:line="338" w:lineRule="auto"/>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February 26, 2021 as follows: For Ms. Boswell, 8,932 shares of common stock.</w:t>
      </w:r>
    </w:p>
    <w:p>
      <w:pPr>
        <w:spacing w:after="0" w:line="1" w:lineRule="exact"/>
        <w:rPr>
          <w:rFonts w:ascii="Arial" w:cs="Arial" w:eastAsia="Arial" w:hAnsi="Arial"/>
          <w:sz w:val="14"/>
          <w:szCs w:val="14"/>
          <w:color w:val="auto"/>
        </w:rPr>
      </w:pPr>
    </w:p>
    <w:p>
      <w:pPr>
        <w:ind w:left="440" w:right="7100"/>
        <w:spacing w:after="0" w:line="338" w:lineRule="auto"/>
        <w:rPr>
          <w:rFonts w:ascii="Arial" w:cs="Arial" w:eastAsia="Arial" w:hAnsi="Arial"/>
          <w:sz w:val="14"/>
          <w:szCs w:val="14"/>
          <w:color w:val="auto"/>
        </w:rPr>
      </w:pPr>
      <w:r>
        <w:rPr>
          <w:rFonts w:ascii="Arial" w:cs="Arial" w:eastAsia="Arial" w:hAnsi="Arial"/>
          <w:sz w:val="14"/>
          <w:szCs w:val="14"/>
          <w:color w:val="auto"/>
        </w:rPr>
        <w:t>For Mr. Courtois, 96 shares of vested deferred stock. For Ms. Dominguez, 14,366 shares of common stock.</w:t>
      </w:r>
    </w:p>
    <w:p>
      <w:pPr>
        <w:spacing w:after="0" w:line="1" w:lineRule="exact"/>
        <w:rPr>
          <w:rFonts w:ascii="Arial" w:cs="Arial" w:eastAsia="Arial" w:hAnsi="Arial"/>
          <w:sz w:val="14"/>
          <w:szCs w:val="14"/>
          <w:color w:val="auto"/>
        </w:rPr>
      </w:pPr>
    </w:p>
    <w:p>
      <w:pPr>
        <w:ind w:left="440" w:right="4640"/>
        <w:spacing w:after="0" w:line="338" w:lineRule="auto"/>
        <w:rPr>
          <w:rFonts w:ascii="Arial" w:cs="Arial" w:eastAsia="Arial" w:hAnsi="Arial"/>
          <w:sz w:val="14"/>
          <w:szCs w:val="14"/>
          <w:color w:val="auto"/>
        </w:rPr>
      </w:pPr>
      <w:r>
        <w:rPr>
          <w:rFonts w:ascii="Arial" w:cs="Arial" w:eastAsia="Arial" w:hAnsi="Arial"/>
          <w:sz w:val="14"/>
          <w:szCs w:val="14"/>
          <w:color w:val="auto"/>
        </w:rPr>
        <w:t>For Mr. Downe, 24,202 shares of common stock and 28,604 shares of vested deferred stock. For Mr. Ferraro, 13,183 shares of vested deferred stock.</w:t>
      </w:r>
    </w:p>
    <w:p>
      <w:pPr>
        <w:spacing w:after="0" w:line="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Mr. Gipson, 96 shares of vested deferred stock.</w:t>
      </w:r>
    </w:p>
    <w:p>
      <w:pPr>
        <w:spacing w:after="0" w:line="66" w:lineRule="exact"/>
        <w:rPr>
          <w:rFonts w:ascii="Arial" w:cs="Arial" w:eastAsia="Arial" w:hAnsi="Arial"/>
          <w:sz w:val="14"/>
          <w:szCs w:val="14"/>
          <w:color w:val="auto"/>
        </w:rPr>
      </w:pPr>
    </w:p>
    <w:p>
      <w:pPr>
        <w:ind w:left="440" w:right="4100"/>
        <w:spacing w:after="0" w:line="338" w:lineRule="auto"/>
        <w:rPr>
          <w:rFonts w:ascii="Arial" w:cs="Arial" w:eastAsia="Arial" w:hAnsi="Arial"/>
          <w:sz w:val="14"/>
          <w:szCs w:val="14"/>
          <w:color w:val="auto"/>
        </w:rPr>
      </w:pPr>
      <w:r>
        <w:rPr>
          <w:rFonts w:ascii="Arial" w:cs="Arial" w:eastAsia="Arial" w:hAnsi="Arial"/>
          <w:sz w:val="14"/>
          <w:szCs w:val="14"/>
          <w:color w:val="auto"/>
        </w:rPr>
        <w:t>For Ms. Hemingway Hall, 10,027 shares of common stock and 2,609 shares of vested deferred stock. For Ms. Howard, 12,979 shares of vested deferred stock.</w:t>
      </w:r>
    </w:p>
    <w:p>
      <w:pPr>
        <w:spacing w:after="0" w:line="1" w:lineRule="exact"/>
        <w:rPr>
          <w:rFonts w:ascii="Arial" w:cs="Arial" w:eastAsia="Arial" w:hAnsi="Arial"/>
          <w:sz w:val="14"/>
          <w:szCs w:val="14"/>
          <w:color w:val="auto"/>
        </w:rPr>
      </w:pPr>
    </w:p>
    <w:p>
      <w:pPr>
        <w:ind w:left="440" w:right="4820"/>
        <w:spacing w:after="0" w:line="338" w:lineRule="auto"/>
        <w:rPr>
          <w:rFonts w:ascii="Arial" w:cs="Arial" w:eastAsia="Arial" w:hAnsi="Arial"/>
          <w:sz w:val="14"/>
          <w:szCs w:val="14"/>
          <w:color w:val="auto"/>
        </w:rPr>
      </w:pPr>
      <w:r>
        <w:rPr>
          <w:rFonts w:ascii="Arial" w:cs="Arial" w:eastAsia="Arial" w:hAnsi="Arial"/>
          <w:sz w:val="14"/>
          <w:szCs w:val="14"/>
          <w:color w:val="auto"/>
        </w:rPr>
        <w:t>For Mr. Payne, 7,561 shares of common stock and 5,839 shares of vested deferred stock. For Mr. Read, 5,353 shares of common stock and 5,839 shares of vested deferred stock. For Ms. Sartain, 24,171 shares of common stock.</w:t>
      </w:r>
    </w:p>
    <w:p>
      <w:pPr>
        <w:spacing w:after="0" w:line="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Mr. Van Handel, 9,724 shares of common stock and 4,468 shares of vested deferred stock.</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February 26, 2021 of $94.44.</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Under the policy, non-employee directors have four years from the date of his or her appointment to attain targeted ownership levels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Prohibit Non-Employee Directors from Hedging, Pledging and Short-selling Our Securities</w:t>
      </w:r>
    </w:p>
    <w:p>
      <w:pPr>
        <w:spacing w:after="0" w:line="77"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options or derivative instruments involving ManpowerGroup securities. Further, we do not allow non-employee directors to pledge ManpowerGroup securities at any time, which includes having ManpowerGroup stock in a margin account or using ManpowerGroup stocks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12</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24" w:name="page25"/>
    <w:bookmarkEnd w:id="24"/>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Leadership Structure</w:t>
      </w:r>
    </w:p>
    <w:p>
      <w:pPr>
        <w:spacing w:after="0" w:line="386"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5D89B4"/>
        </w:rPr>
        <w:t>Chairman of the Board –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85900" cy="14859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32" w:lineRule="exact"/>
        <w:rPr>
          <w:sz w:val="20"/>
          <w:szCs w:val="20"/>
          <w:color w:val="auto"/>
        </w:rPr>
      </w:pPr>
    </w:p>
    <w:p>
      <w:pPr>
        <w:ind w:left="2860"/>
        <w:spacing w:after="0" w:line="226" w:lineRule="auto"/>
        <w:rPr>
          <w:sz w:val="20"/>
          <w:szCs w:val="20"/>
          <w:color w:val="auto"/>
        </w:rPr>
      </w:pPr>
      <w:r>
        <w:rPr>
          <w:rFonts w:ascii="Arial" w:cs="Arial" w:eastAsia="Arial" w:hAnsi="Arial"/>
          <w:sz w:val="15"/>
          <w:szCs w:val="15"/>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5D89B4"/>
        </w:rPr>
        <w:t>Lead Director –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85900" cy="14859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32" w:lineRule="exact"/>
        <w:rPr>
          <w:sz w:val="20"/>
          <w:szCs w:val="20"/>
          <w:color w:val="auto"/>
        </w:rPr>
      </w:pPr>
    </w:p>
    <w:p>
      <w:pPr>
        <w:ind w:left="2860" w:right="20"/>
        <w:spacing w:after="0" w:line="228" w:lineRule="auto"/>
        <w:rPr>
          <w:sz w:val="20"/>
          <w:szCs w:val="20"/>
          <w:color w:val="auto"/>
        </w:rPr>
      </w:pPr>
      <w:r>
        <w:rPr>
          <w:rFonts w:ascii="Arial" w:cs="Arial" w:eastAsia="Arial" w:hAnsi="Arial"/>
          <w:sz w:val="15"/>
          <w:szCs w:val="15"/>
          <w:color w:val="auto"/>
        </w:rPr>
        <w:t>The board of directors has selected Mr. Downe, retired CEO of BMO Financial Group, to serve as lead director. 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40" w:lineRule="exact"/>
        <w:rPr>
          <w:sz w:val="20"/>
          <w:szCs w:val="20"/>
          <w:color w:val="auto"/>
        </w:rPr>
      </w:pPr>
    </w:p>
    <w:p>
      <w:pPr>
        <w:ind w:left="2860"/>
        <w:spacing w:after="0" w:line="228" w:lineRule="auto"/>
        <w:rPr>
          <w:sz w:val="20"/>
          <w:szCs w:val="20"/>
          <w:color w:val="auto"/>
        </w:rPr>
      </w:pPr>
      <w:r>
        <w:rPr>
          <w:rFonts w:ascii="Arial" w:cs="Arial" w:eastAsia="Arial" w:hAnsi="Arial"/>
          <w:sz w:val="15"/>
          <w:szCs w:val="15"/>
          <w:color w:val="auto"/>
        </w:rPr>
        <w:t>Our corporate governance guidelines contemplate that the lead director will be appointed annually and that he or she should be willing to serve for at least three years in such capacity. The board of directors believes having a lead director serving continuous terms provides greater continuity to the role, enhances board leadership and performance and facilitates effective oversight of the performance of senior management. Mr. Downe has served as lead director since May 2017, and at a board meeting in February 2021, the board of directors re-appointed Mr. Downe to serve as lead director for another year.</w:t>
      </w:r>
    </w:p>
    <w:p>
      <w:pPr>
        <w:spacing w:after="0" w:line="140"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The lead director’s duties include the following:</w:t>
      </w:r>
    </w:p>
    <w:p>
      <w:pPr>
        <w:spacing w:after="0" w:line="68" w:lineRule="exact"/>
        <w:rPr>
          <w:sz w:val="20"/>
          <w:szCs w:val="20"/>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Preside at executive sessions of the non-employee directors;</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Preside at all other meetings of directors where the chairman of the board is not present;</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Serve as liaison between the chairman of the board and the non-employee directors;</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Approve what information is sent to the board;</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Approve the meeting agendas for the board;</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Approve meeting schedules to assure that there is sufficient time for discussion on all agenda items;</w:t>
      </w:r>
    </w:p>
    <w:p>
      <w:pPr>
        <w:spacing w:after="0" w:line="68" w:lineRule="exact"/>
        <w:rPr>
          <w:rFonts w:ascii="Arial" w:cs="Arial" w:eastAsia="Arial" w:hAnsi="Arial"/>
          <w:sz w:val="15"/>
          <w:szCs w:val="15"/>
          <w:color w:val="auto"/>
        </w:rPr>
      </w:pPr>
    </w:p>
    <w:p>
      <w:pPr>
        <w:ind w:left="3040" w:right="200" w:hanging="171"/>
        <w:spacing w:after="0" w:line="237" w:lineRule="auto"/>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Provide feedback from executive sessions of the independent directors to the Chairman and CEO and other senior management;</w:t>
      </w:r>
    </w:p>
    <w:p>
      <w:pPr>
        <w:spacing w:after="0" w:line="60"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Serve in a key role in the board evaluation processes and in evaluation of the CEO;</w:t>
      </w:r>
    </w:p>
    <w:p>
      <w:pPr>
        <w:spacing w:after="0" w:line="68" w:lineRule="exact"/>
        <w:rPr>
          <w:rFonts w:ascii="Arial" w:cs="Arial" w:eastAsia="Arial" w:hAnsi="Arial"/>
          <w:sz w:val="15"/>
          <w:szCs w:val="15"/>
          <w:color w:val="auto"/>
        </w:rPr>
      </w:pPr>
    </w:p>
    <w:p>
      <w:pPr>
        <w:ind w:left="3040" w:right="160" w:hanging="171"/>
        <w:spacing w:after="0" w:line="237" w:lineRule="auto"/>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Recommend to the board and the board committees the retention of advisers and consultants who report directly to the board;</w:t>
      </w:r>
    </w:p>
    <w:p>
      <w:pPr>
        <w:spacing w:after="0" w:line="60"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Have the authority to call meetings of the non-employee directors;</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requested by major shareholders, ensure that he or she is available for consultation and direct communication; and</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Perform such other duties as the board may delegate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692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13</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223" w:right="539" w:bottom="1440" w:gutter="0" w:footer="0" w:header="0"/>
        </w:sectPr>
      </w:pPr>
    </w:p>
    <w:bookmarkStart w:id="25" w:name="page26"/>
    <w:bookmarkEnd w:id="25"/>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Oversight</w:t>
      </w:r>
    </w:p>
    <w:p>
      <w:pPr>
        <w:spacing w:after="0" w:line="371"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Our board of directors and its committees work closely with management to provide oversight, review, and counsel related to long-term strategy, opportunities and risks. In particular, the board oversees business affairs and integrity, works with management to determine our mission and long-term strategy, oversees enterprise risk management, performs the annual CEO evaluation, oversees CEO succession planning, and oversees internal control over financial reporting and external audit. The board looks to the expertise of its committees to provide strategic oversight in their areas of focus. Examples of oversight areas are provided below.</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Strategy</w:t>
      </w:r>
    </w:p>
    <w:p>
      <w:pPr>
        <w:spacing w:after="0" w:line="77"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Led by the CEO, the Company’s executive management drives our strategy and operations and works to develop and execute business strategy, foster our desired culture, establish accountability, and control risk. Management also aligns our structure, operations, people, policies, and compliance efforts to our mission and strategy. Overseeing management’s development and execution of the Company’s strategy is one of the board’s primary responsibilities. The board works closely with executive management to respond to a dynamically changing business environment. Executive management and other leaders from across the Company provide business and strategy updates to our board quarterly, and the board participates in an annual strategy meeting with management. At meetings throughout the year, the board also assesses the strategic alignment of the Company’s budget and capital plan and strategic acquisition process.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Risk</w:t>
      </w:r>
    </w:p>
    <w:p>
      <w:pPr>
        <w:spacing w:after="0" w:line="77"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The board of directors is responsible for overseeing management in the execution of management’s Company-wide risk management responsibilities. The board of directors fulfills this responsibility both directly and through its standing committees (as discussed further below), each of which assists the board in overseeing a part of the Company’s overall risk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committees of the board oversee specific areas of the Company’s risk management as described below:</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Audit Committee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is responsible for assisting the board of directors with its oversight of the performance of the Company’s risk management functions including:</w:t>
      </w:r>
    </w:p>
    <w:p>
      <w:pPr>
        <w:spacing w:after="0" w:line="68" w:lineRule="exact"/>
        <w:rPr>
          <w:sz w:val="20"/>
          <w:szCs w:val="20"/>
          <w:color w:val="auto"/>
        </w:rPr>
      </w:pPr>
    </w:p>
    <w:p>
      <w:pPr>
        <w:ind w:left="220" w:right="740" w:hanging="213"/>
        <w:spacing w:after="0" w:line="237" w:lineRule="auto"/>
        <w:tabs>
          <w:tab w:leader="none" w:pos="2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Reviewing and discussing with management the Company’s risk management framework, including policies, practices and procedures regarding risk assessment and management;</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cybersecurity and data privacy risk;</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other risk topics as the committee or management deems appropriate from time to time;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Reporting to the board of directors on its activities in this oversight role.</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Executive Compensation and Human Resources Committee</w:t>
      </w:r>
    </w:p>
    <w:p>
      <w:pPr>
        <w:spacing w:after="0" w:line="88" w:lineRule="exact"/>
        <w:rPr>
          <w:sz w:val="20"/>
          <w:szCs w:val="20"/>
          <w:color w:val="auto"/>
        </w:rPr>
      </w:pPr>
    </w:p>
    <w:p>
      <w:pPr>
        <w:jc w:val="both"/>
        <w:ind w:right="120"/>
        <w:spacing w:after="0" w:line="237" w:lineRule="auto"/>
        <w:rPr>
          <w:sz w:val="20"/>
          <w:szCs w:val="20"/>
          <w:color w:val="auto"/>
        </w:rPr>
      </w:pPr>
      <w:r>
        <w:rPr>
          <w:rFonts w:ascii="Arial" w:cs="Arial" w:eastAsia="Arial" w:hAnsi="Arial"/>
          <w:sz w:val="15"/>
          <w:szCs w:val="15"/>
          <w:color w:val="auto"/>
        </w:rPr>
        <w:t>The executive compensation and human resources committee reviews and discusses with management the Company’s compensation policies and practices and management’s assessment of whether any risks arising from such policies and practices are reasonably likely to have a material adverse effect on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Nominating and Governance Committee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and governance committee evaluates the overall effectiveness of the board of directors, including its focus on the most critical issues and risks.</w:t>
      </w:r>
    </w:p>
    <w:p>
      <w:pPr>
        <w:spacing w:after="0" w:line="135" w:lineRule="exact"/>
        <w:rPr>
          <w:sz w:val="20"/>
          <w:szCs w:val="20"/>
          <w:color w:val="auto"/>
        </w:rPr>
      </w:pPr>
    </w:p>
    <w:p>
      <w:pPr>
        <w:ind w:right="340"/>
        <w:spacing w:after="0" w:line="229" w:lineRule="auto"/>
        <w:rPr>
          <w:sz w:val="20"/>
          <w:szCs w:val="20"/>
          <w:color w:val="auto"/>
        </w:rPr>
      </w:pPr>
      <w:r>
        <w:rPr>
          <w:rFonts w:ascii="Arial" w:cs="Arial" w:eastAsia="Arial" w:hAnsi="Arial"/>
          <w:sz w:val="15"/>
          <w:szCs w:val="15"/>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14</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23" w:right="49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OVERSIGHT</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Oversight of COVID-19 Risks</w:t>
      </w:r>
    </w:p>
    <w:p>
      <w:pPr>
        <w:spacing w:after="0" w:line="88"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The risk landscape associated with the COVID-19 pandemic has been, and continues to be, discussed with the full board of directors as well as each of the committees, as appropriate. Over the course of fiscal year 2020, management regularly updated our directors on the COVID-19 pandemic’s impacts to our business and the strategic, operational and financial risks associated with the pandemic. All directors were invited to attend committee meetings over the course of the fiscal year to receive updates relating to the impact of the pandemic on our business. Discussions with the board of directors and committees have included, among other topics, business continuity, employee health and safety, technology and cybersecurity and demand for our services. Management continues to report to the board of directors on its response to the pandemic and will identify new risks as they may arise in light of the continuing effects of the COVID-19 pandemic.</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Environmental, Social and Governance (“ESG”) Matters</w:t>
      </w:r>
    </w:p>
    <w:p>
      <w:pPr>
        <w:spacing w:after="0" w:line="117" w:lineRule="exact"/>
        <w:rPr>
          <w:sz w:val="20"/>
          <w:szCs w:val="20"/>
          <w:color w:val="auto"/>
        </w:rPr>
      </w:pPr>
    </w:p>
    <w:p>
      <w:pPr>
        <w:ind w:right="20"/>
        <w:spacing w:after="0" w:line="227" w:lineRule="auto"/>
        <w:rPr>
          <w:sz w:val="20"/>
          <w:szCs w:val="20"/>
          <w:color w:val="auto"/>
        </w:rPr>
      </w:pPr>
      <w:r>
        <w:rPr>
          <w:rFonts w:ascii="Arial" w:cs="Arial" w:eastAsia="Arial" w:hAnsi="Arial"/>
          <w:sz w:val="15"/>
          <w:szCs w:val="15"/>
          <w:color w:val="auto"/>
        </w:rPr>
        <w:t xml:space="preserve">Corporate responsibility and sustainability are important priorities for the board of directors and the Company. We believe businesses have a responsibility to be a positive contributor to societal change. Our commitment to social responsibility extends to human capital, diversity and inclusion, human rights and fair employment, worker health and safety and climate change. We also see in these commitments additional ways of creating value for our shareholders, that result in benefits to our employees, our customers and society. As part of our enterprise-wide approach to risk management and our strategies for long-term value creation, the board and management monitor long-term risks that may be impacted by environmental, social and governance issues. Additional information about ManpowerGroup’s corporate social responsibility efforts is located in the Proxy Summary under “Social Responsibility” and available on our website at </w:t>
      </w:r>
      <w:r>
        <w:rPr>
          <w:rFonts w:ascii="Arial" w:cs="Arial" w:eastAsia="Arial" w:hAnsi="Arial"/>
          <w:sz w:val="15"/>
          <w:szCs w:val="15"/>
          <w:i w:val="1"/>
          <w:iCs w:val="1"/>
          <w:color w:val="auto"/>
        </w:rPr>
        <w:t>https://manpowergroup.com/sustainability.</w:t>
      </w:r>
    </w:p>
    <w:p>
      <w:pPr>
        <w:spacing w:after="0" w:line="115" w:lineRule="exact"/>
        <w:rPr>
          <w:sz w:val="20"/>
          <w:szCs w:val="20"/>
          <w:color w:val="auto"/>
        </w:rPr>
      </w:pPr>
    </w:p>
    <w:p>
      <w:pPr>
        <w:jc w:val="both"/>
        <w:ind w:right="300"/>
        <w:spacing w:after="0" w:line="237" w:lineRule="auto"/>
        <w:rPr>
          <w:sz w:val="20"/>
          <w:szCs w:val="20"/>
          <w:color w:val="auto"/>
        </w:rPr>
      </w:pPr>
      <w:r>
        <w:rPr>
          <w:rFonts w:ascii="Arial" w:cs="Arial" w:eastAsia="Arial" w:hAnsi="Arial"/>
          <w:sz w:val="15"/>
          <w:szCs w:val="15"/>
          <w:color w:val="auto"/>
        </w:rPr>
        <w:t>The board of directors has primary responsibility for oversight of ESG matters, including initiatives and programs related to sustainability, corporate culture and human capital management, with the committees supporting the board by addressing these specific ESG matters related to their respective areas of oversight.</w:t>
      </w:r>
    </w:p>
    <w:p>
      <w:pPr>
        <w:spacing w:after="0" w:line="251"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Independent Compensation Consultant</w:t>
      </w:r>
    </w:p>
    <w:p>
      <w:pPr>
        <w:spacing w:after="0" w:line="264"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The executive compensation and human resources committee has selected Mercer (US) Inc. to advise it on executive compensation matters. Mercer is engaged directly by the committee, and reports to the chair of the committee. In 2020, the committee completed an RFP process, and after evaluating several leading compensation consultants, reaffirmed its decision to engage Mercer. Fees are set annually, and are reflected in a one-year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2020 were $455,610.</w:t>
      </w:r>
    </w:p>
    <w:p>
      <w:pPr>
        <w:spacing w:after="0" w:line="127" w:lineRule="exact"/>
        <w:rPr>
          <w:sz w:val="20"/>
          <w:szCs w:val="20"/>
          <w:color w:val="auto"/>
        </w:rPr>
      </w:pPr>
    </w:p>
    <w:p>
      <w:pPr>
        <w:ind w:right="320"/>
        <w:spacing w:after="0" w:line="232" w:lineRule="auto"/>
        <w:rPr>
          <w:sz w:val="20"/>
          <w:szCs w:val="20"/>
          <w:color w:val="auto"/>
        </w:rPr>
      </w:pPr>
      <w:r>
        <w:rPr>
          <w:rFonts w:ascii="Arial" w:cs="Arial" w:eastAsia="Arial" w:hAnsi="Arial"/>
          <w:sz w:val="15"/>
          <w:szCs w:val="15"/>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Mercer’s engagement included the following services for the committee in 2020:</w:t>
      </w:r>
    </w:p>
    <w:p>
      <w:pPr>
        <w:spacing w:after="0" w:line="135" w:lineRule="exact"/>
        <w:rPr>
          <w:sz w:val="20"/>
          <w:szCs w:val="20"/>
          <w:color w:val="auto"/>
        </w:rPr>
      </w:pPr>
    </w:p>
    <w:p>
      <w:pPr>
        <w:ind w:left="220" w:hanging="213"/>
        <w:spacing w:after="0"/>
        <w:tabs>
          <w:tab w:leader="none" w:pos="2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Review and recommend the companies used in our peer group;</w:t>
      </w:r>
    </w:p>
    <w:p>
      <w:pPr>
        <w:spacing w:after="0" w:line="68" w:lineRule="exact"/>
        <w:rPr>
          <w:rFonts w:ascii="Arial" w:cs="Arial" w:eastAsia="Arial" w:hAnsi="Arial"/>
          <w:sz w:val="15"/>
          <w:szCs w:val="15"/>
          <w:color w:val="auto"/>
        </w:rPr>
      </w:pPr>
    </w:p>
    <w:p>
      <w:pPr>
        <w:ind w:left="220" w:right="100" w:hanging="213"/>
        <w:spacing w:after="0" w:line="237" w:lineRule="auto"/>
        <w:tabs>
          <w:tab w:leader="none" w:pos="2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Evaluate the competitiveness of our total executive compensation and benefits program for the senior executives, including base salary, annual incentive, total cash compensation, long-term incentive awards, total direct compensation, perquisites, retirement benefits and total remuneration against the market;</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Advise the committee on executive compensation issues arising from the COVID-19 pandemic and its related impact on the Company’s business;</w:t>
      </w:r>
    </w:p>
    <w:p>
      <w:pPr>
        <w:spacing w:after="0" w:line="68" w:lineRule="exact"/>
        <w:rPr>
          <w:rFonts w:ascii="Arial" w:cs="Arial" w:eastAsia="Arial" w:hAnsi="Arial"/>
          <w:sz w:val="15"/>
          <w:szCs w:val="15"/>
          <w:color w:val="auto"/>
        </w:rPr>
      </w:pPr>
    </w:p>
    <w:p>
      <w:pPr>
        <w:ind w:left="220" w:right="680" w:hanging="213"/>
        <w:spacing w:after="0" w:line="237" w:lineRule="auto"/>
        <w:tabs>
          <w:tab w:leader="none" w:pos="2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Assess how well the compensation and benefits programs are aligned with the committee’s stated philosophy to align pay with performance, including analyzing our performance against comparator companies;</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Assess shares available under our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15</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INDEPENDENT COMPENSATION CONSULTANT</w:t>
      </w:r>
    </w:p>
    <w:p>
      <w:pPr>
        <w:spacing w:after="0" w:line="165" w:lineRule="exact"/>
        <w:rPr>
          <w:sz w:val="20"/>
          <w:szCs w:val="20"/>
          <w:color w:val="auto"/>
        </w:rPr>
      </w:pPr>
    </w:p>
    <w:p>
      <w:pPr>
        <w:ind w:left="220" w:hanging="213"/>
        <w:spacing w:after="0"/>
        <w:tabs>
          <w:tab w:leader="none" w:pos="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Provide advice and assistance to the committee on the levels of total compensation and the principal elements of compensation for our senior executives;</w:t>
      </w:r>
    </w:p>
    <w:p>
      <w:pPr>
        <w:spacing w:after="0" w:line="68" w:lineRule="exact"/>
        <w:rPr>
          <w:rFonts w:ascii="Arial" w:cs="Arial" w:eastAsia="Arial" w:hAnsi="Arial"/>
          <w:sz w:val="15"/>
          <w:szCs w:val="15"/>
          <w:color w:val="auto"/>
        </w:rPr>
      </w:pPr>
    </w:p>
    <w:p>
      <w:pPr>
        <w:ind w:left="220" w:hanging="213"/>
        <w:spacing w:after="0" w:line="237" w:lineRule="auto"/>
        <w:tabs>
          <w:tab w:leader="none" w:pos="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Advise the committee on salary, target incentive opportunities and equity grants as well as on the design and features of our short-term and long-term incentive programs for our senior executives;</w:t>
      </w:r>
    </w:p>
    <w:p>
      <w:pPr>
        <w:spacing w:after="0" w:line="60" w:lineRule="exact"/>
        <w:rPr>
          <w:rFonts w:ascii="Arial" w:cs="Arial" w:eastAsia="Arial" w:hAnsi="Arial"/>
          <w:sz w:val="15"/>
          <w:szCs w:val="15"/>
          <w:color w:val="auto"/>
        </w:rPr>
      </w:pPr>
    </w:p>
    <w:p>
      <w:pPr>
        <w:ind w:left="220" w:right="200" w:hanging="213"/>
        <w:spacing w:after="0" w:line="237" w:lineRule="auto"/>
        <w:tabs>
          <w:tab w:leader="none" w:pos="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Brief the committee on trends in executive compensation and benefits among large public companies and on regulatory, legislative and other developments; and</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Assist in reviewing the Compensation Discussion and Analysis and other executive compensation disclosures to be included in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The committee has reviewed whether the work provided by Mercer raises any conflict of interest. Factors considered by the committee include:</w:t>
      </w:r>
    </w:p>
    <w:p>
      <w:pPr>
        <w:spacing w:after="0" w:line="135" w:lineRule="exact"/>
        <w:rPr>
          <w:sz w:val="20"/>
          <w:szCs w:val="20"/>
          <w:color w:val="auto"/>
        </w:rPr>
      </w:pPr>
    </w:p>
    <w:p>
      <w:pPr>
        <w:ind w:left="220" w:hanging="213"/>
        <w:spacing w:after="0"/>
        <w:tabs>
          <w:tab w:leader="none" w:pos="2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Other services provided to the Company by the consultant;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What percentage of the consultant’s total revenue is made up of fees from the Company;</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Policies or procedures of the consultant that are designed to prevent a conflict of interest;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business or personal relationships between individual consultants involved in the engagement and committee members;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shares of the Company’s stock owned by individual consultants involved in the engagement;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business or personal relationships between our executive officers and the consulting firm or the individual consultants involved in the engagement.</w:t>
      </w:r>
    </w:p>
    <w:p>
      <w:pPr>
        <w:spacing w:after="0" w:line="135"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Based on its review, the committee does not believe that Mercer has a conflict of interest with respect to the work performed by the Company or the committee in 2020. The committee has also evaluated the independence of Mercer pursuant to the rules of the Securities and Exchange Commission and the New York Stock Exchange and no relationships were identified that would impact Mercer’s independence.</w:t>
      </w:r>
    </w:p>
    <w:p>
      <w:pPr>
        <w:spacing w:after="0" w:line="115" w:lineRule="exact"/>
        <w:rPr>
          <w:sz w:val="20"/>
          <w:szCs w:val="20"/>
          <w:color w:val="auto"/>
        </w:rPr>
      </w:pPr>
    </w:p>
    <w:p>
      <w:pPr>
        <w:ind w:right="240"/>
        <w:spacing w:after="0" w:line="232" w:lineRule="auto"/>
        <w:rPr>
          <w:sz w:val="20"/>
          <w:szCs w:val="20"/>
          <w:color w:val="auto"/>
        </w:rPr>
      </w:pPr>
      <w:r>
        <w:rPr>
          <w:rFonts w:ascii="Arial" w:cs="Arial" w:eastAsia="Arial" w:hAnsi="Arial"/>
          <w:sz w:val="15"/>
          <w:szCs w:val="15"/>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28"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Besides Mercer’s involvement with the committee, it and its affiliates also provide other non-executive compensation services to us. These services are approved by management who oversee the specific areas of business for which the services are provided.</w:t>
      </w:r>
    </w:p>
    <w:p>
      <w:pPr>
        <w:spacing w:after="0" w:line="109" w:lineRule="exact"/>
        <w:rPr>
          <w:sz w:val="20"/>
          <w:szCs w:val="20"/>
          <w:color w:val="auto"/>
        </w:rPr>
      </w:pPr>
    </w:p>
    <w:p>
      <w:pPr>
        <w:ind w:right="420"/>
        <w:spacing w:after="0" w:line="241" w:lineRule="auto"/>
        <w:rPr>
          <w:sz w:val="20"/>
          <w:szCs w:val="20"/>
          <w:color w:val="auto"/>
        </w:rPr>
      </w:pPr>
      <w:r>
        <w:rPr>
          <w:rFonts w:ascii="Arial" w:cs="Arial" w:eastAsia="Arial" w:hAnsi="Arial"/>
          <w:sz w:val="15"/>
          <w:szCs w:val="15"/>
          <w:color w:val="auto"/>
        </w:rPr>
        <w:t>The total amount paid for these other services provided in 2020 was $ 225,088</w:t>
      </w:r>
      <w:r>
        <w:rPr>
          <w:rFonts w:ascii="Arial" w:cs="Arial" w:eastAsia="Arial" w:hAnsi="Arial"/>
          <w:sz w:val="15"/>
          <w:szCs w:val="15"/>
          <w:b w:val="1"/>
          <w:bCs w:val="1"/>
          <w:color w:val="auto"/>
        </w:rPr>
        <w:t>.</w:t>
      </w:r>
      <w:r>
        <w:rPr>
          <w:rFonts w:ascii="Arial" w:cs="Arial" w:eastAsia="Arial" w:hAnsi="Arial"/>
          <w:sz w:val="15"/>
          <w:szCs w:val="15"/>
          <w:color w:val="auto"/>
        </w:rPr>
        <w:t xml:space="preserve"> These services included actuarial and pension reporting services, workers compensation reporting and insurance services. The majority of these services are provided not by Mercer itself, but by other companies owned by Marsh &amp; McLennan, the parent company of Mercer, which therefore are considered affiliates even though they operate independently of Mercer.</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The committee concluded that the services provided by the Marsh &amp; McLennan affiliates (other than Mercer), did not raise any conflicts of interest.</w:t>
      </w:r>
    </w:p>
    <w:p>
      <w:pPr>
        <w:spacing w:after="0" w:line="135"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The committee believes the advice it receives from the individual executive compensation consultants is objective and not influenced by Mercer’s or its affiliates’ other relationships with us because of the procedures Mercer and the committee have in place, including the following:</w:t>
      </w:r>
    </w:p>
    <w:p>
      <w:pPr>
        <w:spacing w:after="0" w:line="127" w:lineRule="exact"/>
        <w:rPr>
          <w:sz w:val="20"/>
          <w:szCs w:val="20"/>
          <w:color w:val="auto"/>
        </w:rPr>
      </w:pPr>
    </w:p>
    <w:p>
      <w:pPr>
        <w:ind w:left="220" w:hanging="213"/>
        <w:spacing w:after="0"/>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consultants receive no incentive or other compensation based on the fees charged to us for other services provided by Mercer or any of its affiliates;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consultants are not responsible for selling other Mercer or affiliate services to us;</w:t>
      </w:r>
    </w:p>
    <w:p>
      <w:pPr>
        <w:spacing w:after="0" w:line="68" w:lineRule="exact"/>
        <w:rPr>
          <w:rFonts w:ascii="Arial" w:cs="Arial" w:eastAsia="Arial" w:hAnsi="Arial"/>
          <w:sz w:val="15"/>
          <w:szCs w:val="15"/>
          <w:color w:val="auto"/>
        </w:rPr>
      </w:pPr>
    </w:p>
    <w:p>
      <w:pPr>
        <w:ind w:left="220" w:right="300" w:hanging="213"/>
        <w:spacing w:after="0" w:line="237" w:lineRule="auto"/>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Mercer’s professional standards prohibit an individual consultant from considering any other relationships Mercer or any of its affiliates may have with us in rendering his or her advice and recommendations; and</w:t>
      </w:r>
    </w:p>
    <w:p>
      <w:pPr>
        <w:spacing w:after="0" w:line="60" w:lineRule="exact"/>
        <w:rPr>
          <w:rFonts w:ascii="Arial" w:cs="Arial" w:eastAsia="Arial" w:hAnsi="Arial"/>
          <w:sz w:val="15"/>
          <w:szCs w:val="15"/>
          <w:color w:val="auto"/>
        </w:rPr>
      </w:pPr>
    </w:p>
    <w:p>
      <w:pPr>
        <w:ind w:left="220" w:right="300" w:hanging="213"/>
        <w:spacing w:after="0" w:line="237" w:lineRule="auto"/>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committee evaluates the quality and objectivity of the services provided by the consultants each year and determines whether to continue to retain the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16</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480" w:top="1138" w:right="559" w:bottom="1440" w:gutter="0" w:footer="0" w:header="0"/>
        </w:sectPr>
      </w:pPr>
    </w:p>
    <w:bookmarkStart w:id="28" w:name="page29"/>
    <w:bookmarkEnd w:id="28"/>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Independence and Related Party Transactions</w:t>
      </w:r>
    </w:p>
    <w:p>
      <w:pPr>
        <w:spacing w:after="0" w:line="371"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5"/>
          <w:szCs w:val="15"/>
          <w:u w:val="single" w:color="auto"/>
          <w:color w:val="auto"/>
        </w:rPr>
        <w:t>https://investor.manpowergroup.com/governance</w:t>
      </w:r>
      <w:r>
        <w:rPr>
          <w:rFonts w:ascii="Arial" w:cs="Arial" w:eastAsia="Arial" w:hAnsi="Arial"/>
          <w:sz w:val="15"/>
          <w:szCs w:val="15"/>
          <w:color w:val="auto"/>
        </w:rPr>
        <w:t>. As required under the Corporate Governance Guidelines, our board of directors reviews and determines the independence of all directors on an annual basis.</w:t>
      </w:r>
    </w:p>
    <w:p>
      <w:pPr>
        <w:spacing w:after="0" w:line="114"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In making its independence determinations, the nominating and governance committee evaluates the various commercial and employment transactions and relationships known to the committee that exist between ManpowerGroup and the entities with which certain of our directors or members of their immediate families are, or have been, affiliated. The nominating and governance committee also reviews any other relevant facts and circumstances regarding the nature of these relationships to determine whether other factors, regardless of the categorical standards, might compromise a director’s independence.</w:t>
      </w:r>
    </w:p>
    <w:p>
      <w:pPr>
        <w:spacing w:after="0" w:line="128"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The board of directors has determined that twelve of thirteen of the current directors of ManpowerGroup, including Ms. Dominguez who will retire from the Board on May 7, 2021, are independent under the listing standards of the New York Stock Exchange after taking into account the categorical standards. Certain of our directors serve as directors, and are officers or former officers, of companies that have engaged ManpowerGroup to provide services, all of which such relationships fall within the categorial standards. Mr. Prising does not qualify as independent under the listing rules of the New York Stock Exchange because he is currently an executive officer.</w:t>
      </w:r>
    </w:p>
    <w:p>
      <w:pPr>
        <w:spacing w:after="0" w:line="127" w:lineRule="exact"/>
        <w:rPr>
          <w:sz w:val="20"/>
          <w:szCs w:val="20"/>
          <w:color w:val="auto"/>
        </w:rPr>
      </w:pPr>
    </w:p>
    <w:p>
      <w:pPr>
        <w:ind w:right="200"/>
        <w:spacing w:after="0" w:line="232" w:lineRule="auto"/>
        <w:rPr>
          <w:sz w:val="20"/>
          <w:szCs w:val="20"/>
          <w:color w:val="auto"/>
        </w:rPr>
      </w:pPr>
      <w:r>
        <w:rPr>
          <w:rFonts w:ascii="Arial" w:cs="Arial" w:eastAsia="Arial" w:hAnsi="Arial"/>
          <w:sz w:val="15"/>
          <w:szCs w:val="15"/>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“Composition and Qualifications of Board Members.”</w:t>
      </w:r>
    </w:p>
    <w:p>
      <w:pPr>
        <w:spacing w:after="0" w:line="115" w:lineRule="exact"/>
        <w:rPr>
          <w:sz w:val="20"/>
          <w:szCs w:val="20"/>
          <w:color w:val="auto"/>
        </w:rPr>
      </w:pPr>
    </w:p>
    <w:p>
      <w:pPr>
        <w:ind w:right="180"/>
        <w:spacing w:after="0" w:line="237" w:lineRule="auto"/>
        <w:rPr>
          <w:sz w:val="20"/>
          <w:szCs w:val="20"/>
          <w:color w:val="auto"/>
        </w:rPr>
      </w:pPr>
      <w:r>
        <w:rPr>
          <w:rFonts w:ascii="Arial" w:cs="Arial" w:eastAsia="Arial" w:hAnsi="Arial"/>
          <w:sz w:val="15"/>
          <w:szCs w:val="15"/>
          <w:color w:val="auto"/>
        </w:rPr>
        <w:t>ManpowerGroup does not have a policy regarding board members’ attendance at the annual meeting of shareholders. All of the then-serving directors attended the 2020 annual meeting of shareholders.</w:t>
      </w:r>
    </w:p>
    <w:p>
      <w:pPr>
        <w:spacing w:after="0" w:line="127"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480" w:top="1223" w:right="559" w:bottom="1440" w:gutter="0" w:footer="0" w:header="0"/>
        </w:sectPr>
      </w:pPr>
    </w:p>
    <w:bookmarkStart w:id="29" w:name="page30"/>
    <w:bookmarkEnd w:id="29"/>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Meetings and Committees of the Board</w:t>
      </w:r>
    </w:p>
    <w:p>
      <w:pPr>
        <w:spacing w:after="0" w:line="157"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 xml:space="preserve">The board of directors has standing audit, executive compensation and human resources, and nominating and governance committees. The board of directors has adopted written charters for these committees, which are available on ManpowerGroup’s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2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9"/>
                <w:szCs w:val="19"/>
                <w:b w:val="1"/>
                <w:bCs w:val="1"/>
                <w:color w:val="5D89B4"/>
              </w:rPr>
              <w:t>AUDIT COMMITTEE</w:t>
            </w:r>
          </w:p>
        </w:tc>
        <w:tc>
          <w:tcPr>
            <w:tcW w:w="8720" w:type="dxa"/>
            <w:vAlign w:val="bottom"/>
            <w:tcBorders>
              <w:bottom w:val="single" w:sz="8" w:color="EAEAEA"/>
            </w:tcBorders>
            <w:shd w:val="clear" w:color="auto" w:fill="EAEAEA"/>
          </w:tcPr>
          <w:p>
            <w:pPr>
              <w:ind w:left="6280"/>
              <w:spacing w:after="0"/>
              <w:rPr>
                <w:sz w:val="20"/>
                <w:szCs w:val="20"/>
                <w:color w:val="auto"/>
              </w:rPr>
            </w:pPr>
            <w:r>
              <w:rPr>
                <w:rFonts w:ascii="Arial" w:cs="Arial" w:eastAsia="Arial" w:hAnsi="Arial"/>
                <w:sz w:val="14"/>
                <w:szCs w:val="14"/>
                <w:b w:val="1"/>
                <w:bCs w:val="1"/>
                <w:color w:val="5D89B4"/>
              </w:rPr>
              <w:t>NUMBER OF MEETINGS IN 2020: 6</w:t>
            </w:r>
          </w:p>
        </w:tc>
        <w:tc>
          <w:tcPr>
            <w:tcW w:w="0" w:type="dxa"/>
            <w:vAlign w:val="bottom"/>
          </w:tcPr>
          <w:p>
            <w:pPr>
              <w:spacing w:after="0"/>
              <w:rPr>
                <w:sz w:val="1"/>
                <w:szCs w:val="1"/>
                <w:color w:val="auto"/>
              </w:rPr>
            </w:pPr>
          </w:p>
        </w:tc>
      </w:tr>
      <w:tr>
        <w:trPr>
          <w:trHeight w:val="232"/>
        </w:trPr>
        <w:tc>
          <w:tcPr>
            <w:tcW w:w="2200" w:type="dxa"/>
            <w:vAlign w:val="bottom"/>
            <w:vMerge w:val="restart"/>
          </w:tcPr>
          <w:p>
            <w:pPr>
              <w:ind w:left="1020"/>
              <w:spacing w:after="0"/>
              <w:rPr>
                <w:sz w:val="20"/>
                <w:szCs w:val="20"/>
                <w:color w:val="auto"/>
              </w:rPr>
            </w:pPr>
            <w:r>
              <w:rPr>
                <w:rFonts w:ascii="Arial" w:cs="Arial" w:eastAsia="Arial" w:hAnsi="Arial"/>
                <w:sz w:val="16"/>
                <w:szCs w:val="16"/>
                <w:b w:val="1"/>
                <w:bCs w:val="1"/>
                <w:color w:val="auto"/>
              </w:rPr>
              <w:t>Paul Read</w:t>
            </w:r>
          </w:p>
        </w:tc>
        <w:tc>
          <w:tcPr>
            <w:tcW w:w="8720" w:type="dxa"/>
            <w:vAlign w:val="bottom"/>
          </w:tcPr>
          <w:p>
            <w:pPr>
              <w:ind w:left="220"/>
              <w:spacing w:after="0"/>
              <w:rPr>
                <w:sz w:val="20"/>
                <w:szCs w:val="20"/>
                <w:color w:val="auto"/>
              </w:rPr>
            </w:pPr>
            <w:r>
              <w:rPr>
                <w:rFonts w:ascii="Arial" w:cs="Arial" w:eastAsia="Arial" w:hAnsi="Arial"/>
                <w:sz w:val="14"/>
                <w:szCs w:val="14"/>
                <w:color w:val="auto"/>
              </w:rPr>
              <w:t>The board of directors has determined that each member of the audit committee meets the financial literacy and independence</w:t>
            </w:r>
          </w:p>
        </w:tc>
        <w:tc>
          <w:tcPr>
            <w:tcW w:w="0" w:type="dxa"/>
            <w:vAlign w:val="bottom"/>
          </w:tcPr>
          <w:p>
            <w:pPr>
              <w:spacing w:after="0"/>
              <w:rPr>
                <w:sz w:val="1"/>
                <w:szCs w:val="1"/>
                <w:color w:val="auto"/>
              </w:rPr>
            </w:pPr>
          </w:p>
        </w:tc>
      </w:tr>
      <w:tr>
        <w:trPr>
          <w:trHeight w:val="139"/>
        </w:trPr>
        <w:tc>
          <w:tcPr>
            <w:tcW w:w="2200" w:type="dxa"/>
            <w:vAlign w:val="bottom"/>
            <w:vMerge w:val="continue"/>
          </w:tcPr>
          <w:p>
            <w:pPr>
              <w:spacing w:after="0"/>
              <w:rPr>
                <w:sz w:val="12"/>
                <w:szCs w:val="12"/>
                <w:color w:val="auto"/>
              </w:rPr>
            </w:pPr>
          </w:p>
        </w:tc>
        <w:tc>
          <w:tcPr>
            <w:tcW w:w="8720" w:type="dxa"/>
            <w:vAlign w:val="bottom"/>
          </w:tcPr>
          <w:p>
            <w:pPr>
              <w:ind w:left="220"/>
              <w:spacing w:after="0" w:line="139" w:lineRule="exact"/>
              <w:rPr>
                <w:sz w:val="20"/>
                <w:szCs w:val="20"/>
                <w:color w:val="auto"/>
              </w:rPr>
            </w:pPr>
            <w:r>
              <w:rPr>
                <w:rFonts w:ascii="Arial" w:cs="Arial" w:eastAsia="Arial" w:hAnsi="Arial"/>
                <w:sz w:val="14"/>
                <w:szCs w:val="14"/>
                <w:color w:val="auto"/>
              </w:rPr>
              <w:t>requirements of the SEC and New York Stock Exchange, as applicable, and that Ms. Boswell, Mr. Ferraro and Mr. Read are each an</w:t>
            </w:r>
          </w:p>
        </w:tc>
        <w:tc>
          <w:tcPr>
            <w:tcW w:w="0" w:type="dxa"/>
            <w:vAlign w:val="bottom"/>
          </w:tcPr>
          <w:p>
            <w:pPr>
              <w:spacing w:after="0"/>
              <w:rPr>
                <w:sz w:val="1"/>
                <w:szCs w:val="1"/>
                <w:color w:val="auto"/>
              </w:rPr>
            </w:pPr>
          </w:p>
        </w:tc>
      </w:tr>
      <w:tr>
        <w:trPr>
          <w:trHeight w:val="182"/>
        </w:trPr>
        <w:tc>
          <w:tcPr>
            <w:tcW w:w="2200" w:type="dxa"/>
            <w:vAlign w:val="bottom"/>
          </w:tcPr>
          <w:p>
            <w:pPr>
              <w:ind w:left="1020"/>
              <w:spacing w:after="0"/>
              <w:rPr>
                <w:sz w:val="20"/>
                <w:szCs w:val="20"/>
                <w:color w:val="auto"/>
              </w:rPr>
            </w:pPr>
            <w:r>
              <w:rPr>
                <w:rFonts w:ascii="Arial" w:cs="Arial" w:eastAsia="Arial" w:hAnsi="Arial"/>
                <w:sz w:val="15"/>
                <w:szCs w:val="15"/>
                <w:color w:val="auto"/>
              </w:rPr>
              <w:t>Chair</w:t>
            </w:r>
          </w:p>
        </w:tc>
        <w:tc>
          <w:tcPr>
            <w:tcW w:w="8720" w:type="dxa"/>
            <w:vAlign w:val="bottom"/>
          </w:tcPr>
          <w:p>
            <w:pPr>
              <w:ind w:left="220"/>
              <w:spacing w:after="0"/>
              <w:rPr>
                <w:sz w:val="20"/>
                <w:szCs w:val="20"/>
                <w:color w:val="auto"/>
              </w:rPr>
            </w:pPr>
            <w:r>
              <w:rPr>
                <w:rFonts w:ascii="Arial" w:cs="Arial" w:eastAsia="Arial" w:hAnsi="Arial"/>
                <w:sz w:val="14"/>
                <w:szCs w:val="14"/>
                <w:color w:val="auto"/>
              </w:rPr>
              <w:t>“audit committee financial expert” as defined under the applicable rules of the SEC. Under the Company’s corporate governance</w:t>
            </w: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8720" w:type="dxa"/>
            <w:vAlign w:val="bottom"/>
          </w:tcPr>
          <w:p>
            <w:pPr>
              <w:ind w:left="220"/>
              <w:spacing w:after="0"/>
              <w:rPr>
                <w:sz w:val="20"/>
                <w:szCs w:val="20"/>
                <w:color w:val="auto"/>
              </w:rPr>
            </w:pPr>
            <w:r>
              <w:rPr>
                <w:rFonts w:ascii="Arial" w:cs="Arial" w:eastAsia="Arial" w:hAnsi="Arial"/>
                <w:sz w:val="14"/>
                <w:szCs w:val="14"/>
                <w:color w:val="auto"/>
              </w:rPr>
              <w:t>guidelines, no member of the audit committee may serve on the audit committee of more than three public companies, including</w:t>
            </w:r>
          </w:p>
        </w:tc>
        <w:tc>
          <w:tcPr>
            <w:tcW w:w="0" w:type="dxa"/>
            <w:vAlign w:val="bottom"/>
          </w:tcPr>
          <w:p>
            <w:pPr>
              <w:spacing w:after="0"/>
              <w:rPr>
                <w:sz w:val="1"/>
                <w:szCs w:val="1"/>
                <w:color w:val="auto"/>
              </w:rPr>
            </w:pPr>
          </w:p>
        </w:tc>
      </w:tr>
      <w:tr>
        <w:trPr>
          <w:trHeight w:val="160"/>
        </w:trPr>
        <w:tc>
          <w:tcPr>
            <w:tcW w:w="2200" w:type="dxa"/>
            <w:vAlign w:val="bottom"/>
            <w:vMerge w:val="restart"/>
          </w:tcPr>
          <w:p>
            <w:pPr>
              <w:jc w:val="center"/>
              <w:ind w:left="42"/>
              <w:spacing w:after="0"/>
              <w:rPr>
                <w:sz w:val="20"/>
                <w:szCs w:val="20"/>
                <w:color w:val="auto"/>
              </w:rPr>
            </w:pPr>
            <w:r>
              <w:rPr>
                <w:rFonts w:ascii="Arial" w:cs="Arial" w:eastAsia="Arial" w:hAnsi="Arial"/>
                <w:sz w:val="15"/>
                <w:szCs w:val="15"/>
                <w:b w:val="1"/>
                <w:bCs w:val="1"/>
                <w:color w:val="auto"/>
              </w:rPr>
              <w:t>Members:</w:t>
            </w:r>
          </w:p>
        </w:tc>
        <w:tc>
          <w:tcPr>
            <w:tcW w:w="8720" w:type="dxa"/>
            <w:vAlign w:val="bottom"/>
          </w:tcPr>
          <w:p>
            <w:pPr>
              <w:ind w:left="220"/>
              <w:spacing w:after="0"/>
              <w:rPr>
                <w:sz w:val="20"/>
                <w:szCs w:val="20"/>
                <w:color w:val="auto"/>
              </w:rPr>
            </w:pPr>
            <w:r>
              <w:rPr>
                <w:rFonts w:ascii="Arial" w:cs="Arial" w:eastAsia="Arial" w:hAnsi="Arial"/>
                <w:sz w:val="14"/>
                <w:szCs w:val="14"/>
                <w:color w:val="auto"/>
              </w:rPr>
              <w:t>ManpowerGroup. No member of the audit committee currently serves on the audit committee of more than three public companies,</w:t>
            </w:r>
          </w:p>
        </w:tc>
        <w:tc>
          <w:tcPr>
            <w:tcW w:w="0" w:type="dxa"/>
            <w:vAlign w:val="bottom"/>
          </w:tcPr>
          <w:p>
            <w:pPr>
              <w:spacing w:after="0"/>
              <w:rPr>
                <w:sz w:val="1"/>
                <w:szCs w:val="1"/>
                <w:color w:val="auto"/>
              </w:rPr>
            </w:pPr>
          </w:p>
        </w:tc>
      </w:tr>
      <w:tr>
        <w:trPr>
          <w:trHeight w:val="86"/>
        </w:trPr>
        <w:tc>
          <w:tcPr>
            <w:tcW w:w="2200" w:type="dxa"/>
            <w:vAlign w:val="bottom"/>
            <w:vMerge w:val="continue"/>
          </w:tcPr>
          <w:p>
            <w:pPr>
              <w:spacing w:after="0"/>
              <w:rPr>
                <w:sz w:val="7"/>
                <w:szCs w:val="7"/>
                <w:color w:val="auto"/>
              </w:rPr>
            </w:pPr>
          </w:p>
        </w:tc>
        <w:tc>
          <w:tcPr>
            <w:tcW w:w="8720" w:type="dxa"/>
            <w:vAlign w:val="bottom"/>
            <w:vMerge w:val="restart"/>
          </w:tcPr>
          <w:p>
            <w:pPr>
              <w:ind w:left="220"/>
              <w:spacing w:after="0"/>
              <w:rPr>
                <w:sz w:val="20"/>
                <w:szCs w:val="20"/>
                <w:color w:val="auto"/>
              </w:rPr>
            </w:pPr>
            <w:r>
              <w:rPr>
                <w:rFonts w:ascii="Arial" w:cs="Arial" w:eastAsia="Arial" w:hAnsi="Arial"/>
                <w:sz w:val="14"/>
                <w:szCs w:val="14"/>
                <w:color w:val="auto"/>
              </w:rPr>
              <w:t>including ManpowerGroup.</w:t>
            </w:r>
          </w:p>
        </w:tc>
        <w:tc>
          <w:tcPr>
            <w:tcW w:w="0" w:type="dxa"/>
            <w:vAlign w:val="bottom"/>
          </w:tcPr>
          <w:p>
            <w:pPr>
              <w:spacing w:after="0"/>
              <w:rPr>
                <w:sz w:val="1"/>
                <w:szCs w:val="1"/>
                <w:color w:val="auto"/>
              </w:rPr>
            </w:pPr>
          </w:p>
        </w:tc>
      </w:tr>
      <w:tr>
        <w:trPr>
          <w:trHeight w:val="86"/>
        </w:trPr>
        <w:tc>
          <w:tcPr>
            <w:tcW w:w="2200" w:type="dxa"/>
            <w:vAlign w:val="bottom"/>
            <w:vMerge w:val="restart"/>
          </w:tcPr>
          <w:p>
            <w:pPr>
              <w:jc w:val="center"/>
              <w:ind w:left="42"/>
              <w:spacing w:after="0" w:line="161" w:lineRule="exact"/>
              <w:rPr>
                <w:sz w:val="20"/>
                <w:szCs w:val="20"/>
                <w:color w:val="auto"/>
              </w:rPr>
            </w:pPr>
            <w:r>
              <w:rPr>
                <w:rFonts w:ascii="Arial" w:cs="Arial" w:eastAsia="Arial" w:hAnsi="Arial"/>
                <w:sz w:val="15"/>
                <w:szCs w:val="15"/>
                <w:color w:val="auto"/>
              </w:rPr>
              <w:t>Gina R. Boswell</w:t>
            </w: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tcPr>
          <w:p>
            <w:pPr>
              <w:spacing w:after="0"/>
              <w:rPr>
                <w:sz w:val="6"/>
                <w:szCs w:val="6"/>
                <w:color w:val="auto"/>
              </w:rPr>
            </w:pPr>
          </w:p>
        </w:tc>
        <w:tc>
          <w:tcPr>
            <w:tcW w:w="8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200" w:type="dxa"/>
            <w:vAlign w:val="bottom"/>
          </w:tcPr>
          <w:p>
            <w:pPr>
              <w:jc w:val="center"/>
              <w:ind w:left="42"/>
              <w:spacing w:after="0" w:line="164" w:lineRule="exact"/>
              <w:rPr>
                <w:sz w:val="20"/>
                <w:szCs w:val="20"/>
                <w:color w:val="auto"/>
              </w:rPr>
            </w:pPr>
            <w:r>
              <w:rPr>
                <w:rFonts w:ascii="Arial" w:cs="Arial" w:eastAsia="Arial" w:hAnsi="Arial"/>
                <w:sz w:val="15"/>
                <w:szCs w:val="15"/>
                <w:color w:val="auto"/>
              </w:rPr>
              <w:t>Jean-Philippe Courtois</w:t>
            </w:r>
            <w:r>
              <w:rPr>
                <w:rFonts w:ascii="Arial" w:cs="Arial" w:eastAsia="Arial" w:hAnsi="Arial"/>
                <w:sz w:val="12"/>
                <w:szCs w:val="12"/>
                <w:color w:val="auto"/>
              </w:rPr>
              <w:t>(1)</w:t>
            </w:r>
          </w:p>
        </w:tc>
        <w:tc>
          <w:tcPr>
            <w:tcW w:w="8720" w:type="dxa"/>
            <w:vAlign w:val="bottom"/>
          </w:tcPr>
          <w:p>
            <w:pPr>
              <w:ind w:left="220"/>
              <w:spacing w:after="0"/>
              <w:rPr>
                <w:sz w:val="20"/>
                <w:szCs w:val="20"/>
                <w:color w:val="auto"/>
              </w:rPr>
            </w:pPr>
            <w:r>
              <w:rPr>
                <w:rFonts w:ascii="Arial" w:cs="Arial" w:eastAsia="Arial" w:hAnsi="Arial"/>
                <w:sz w:val="14"/>
                <w:szCs w:val="14"/>
                <w:color w:val="auto"/>
              </w:rPr>
              <w:t>The functions of this committee are to:</w:t>
            </w:r>
          </w:p>
        </w:tc>
        <w:tc>
          <w:tcPr>
            <w:tcW w:w="0" w:type="dxa"/>
            <w:vAlign w:val="bottom"/>
          </w:tcPr>
          <w:p>
            <w:pPr>
              <w:spacing w:after="0"/>
              <w:rPr>
                <w:sz w:val="1"/>
                <w:szCs w:val="1"/>
                <w:color w:val="auto"/>
              </w:rPr>
            </w:pPr>
          </w:p>
        </w:tc>
      </w:tr>
      <w:tr>
        <w:trPr>
          <w:trHeight w:val="157"/>
        </w:trPr>
        <w:tc>
          <w:tcPr>
            <w:tcW w:w="2200" w:type="dxa"/>
            <w:vAlign w:val="bottom"/>
          </w:tcPr>
          <w:p>
            <w:pPr>
              <w:jc w:val="center"/>
              <w:ind w:left="42"/>
              <w:spacing w:after="0" w:line="157" w:lineRule="exact"/>
              <w:rPr>
                <w:sz w:val="20"/>
                <w:szCs w:val="20"/>
                <w:color w:val="auto"/>
              </w:rPr>
            </w:pPr>
            <w:r>
              <w:rPr>
                <w:rFonts w:ascii="Arial" w:cs="Arial" w:eastAsia="Arial" w:hAnsi="Arial"/>
                <w:sz w:val="15"/>
                <w:szCs w:val="15"/>
                <w:color w:val="auto"/>
              </w:rPr>
              <w:t>John F. Ferraro</w:t>
            </w:r>
          </w:p>
        </w:tc>
        <w:tc>
          <w:tcPr>
            <w:tcW w:w="8720" w:type="dxa"/>
            <w:vAlign w:val="bottom"/>
            <w:vMerge w:val="restart"/>
          </w:tcPr>
          <w:p>
            <w:pPr>
              <w:ind w:left="220"/>
              <w:spacing w:after="0"/>
              <w:rPr>
                <w:sz w:val="20"/>
                <w:szCs w:val="20"/>
                <w:color w:val="auto"/>
              </w:rPr>
            </w:pPr>
            <w:r>
              <w:rPr>
                <w:rFonts w:ascii="Arial" w:cs="Arial" w:eastAsia="Arial" w:hAnsi="Arial"/>
                <w:sz w:val="14"/>
                <w:szCs w:val="14"/>
                <w:color w:val="auto"/>
              </w:rPr>
              <w:t>•  appoint the independent auditors for the annual audit and approve the fee arrangements with the independent auditors;</w:t>
            </w:r>
          </w:p>
        </w:tc>
        <w:tc>
          <w:tcPr>
            <w:tcW w:w="0" w:type="dxa"/>
            <w:vAlign w:val="bottom"/>
          </w:tcPr>
          <w:p>
            <w:pPr>
              <w:spacing w:after="0"/>
              <w:rPr>
                <w:sz w:val="1"/>
                <w:szCs w:val="1"/>
                <w:color w:val="auto"/>
              </w:rPr>
            </w:pPr>
          </w:p>
        </w:tc>
      </w:tr>
      <w:tr>
        <w:trPr>
          <w:trHeight w:val="86"/>
        </w:trPr>
        <w:tc>
          <w:tcPr>
            <w:tcW w:w="2200" w:type="dxa"/>
            <w:vAlign w:val="bottom"/>
            <w:vMerge w:val="restart"/>
          </w:tcPr>
          <w:p>
            <w:pPr>
              <w:jc w:val="center"/>
              <w:ind w:left="42"/>
              <w:spacing w:after="0" w:line="161" w:lineRule="exact"/>
              <w:rPr>
                <w:sz w:val="20"/>
                <w:szCs w:val="20"/>
                <w:color w:val="auto"/>
              </w:rPr>
            </w:pPr>
            <w:r>
              <w:rPr>
                <w:rFonts w:ascii="Arial" w:cs="Arial" w:eastAsia="Arial" w:hAnsi="Arial"/>
                <w:sz w:val="15"/>
                <w:szCs w:val="15"/>
                <w:color w:val="auto"/>
              </w:rPr>
              <w:t>Patricia Hemingway Hall</w:t>
            </w: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tcPr>
          <w:p>
            <w:pPr>
              <w:spacing w:after="0"/>
              <w:rPr>
                <w:sz w:val="6"/>
                <w:szCs w:val="6"/>
                <w:color w:val="auto"/>
              </w:rPr>
            </w:pPr>
          </w:p>
        </w:tc>
        <w:tc>
          <w:tcPr>
            <w:tcW w:w="8720" w:type="dxa"/>
            <w:vAlign w:val="bottom"/>
            <w:vMerge w:val="restart"/>
          </w:tcPr>
          <w:p>
            <w:pPr>
              <w:ind w:left="220"/>
              <w:spacing w:after="0"/>
              <w:rPr>
                <w:sz w:val="20"/>
                <w:szCs w:val="20"/>
                <w:color w:val="auto"/>
              </w:rPr>
            </w:pPr>
            <w:r>
              <w:rPr>
                <w:rFonts w:ascii="Arial" w:cs="Arial" w:eastAsia="Arial" w:hAnsi="Arial"/>
                <w:sz w:val="14"/>
                <w:szCs w:val="14"/>
                <w:color w:val="auto"/>
              </w:rPr>
              <w:t>•  monitor the independence, qualifications and performance of the independent auditors;</w:t>
            </w:r>
          </w:p>
        </w:tc>
        <w:tc>
          <w:tcPr>
            <w:tcW w:w="0" w:type="dxa"/>
            <w:vAlign w:val="bottom"/>
          </w:tcPr>
          <w:p>
            <w:pPr>
              <w:spacing w:after="0"/>
              <w:rPr>
                <w:sz w:val="1"/>
                <w:szCs w:val="1"/>
                <w:color w:val="auto"/>
              </w:rPr>
            </w:pPr>
          </w:p>
        </w:tc>
      </w:tr>
      <w:tr>
        <w:trPr>
          <w:trHeight w:val="126"/>
        </w:trPr>
        <w:tc>
          <w:tcPr>
            <w:tcW w:w="2200" w:type="dxa"/>
            <w:vAlign w:val="bottom"/>
            <w:vMerge w:val="restart"/>
          </w:tcPr>
          <w:p>
            <w:pPr>
              <w:jc w:val="center"/>
              <w:ind w:left="42"/>
              <w:spacing w:after="0" w:line="155" w:lineRule="exact"/>
              <w:rPr>
                <w:sz w:val="20"/>
                <w:szCs w:val="20"/>
                <w:color w:val="auto"/>
              </w:rPr>
            </w:pPr>
            <w:r>
              <w:rPr>
                <w:rFonts w:ascii="Arial" w:cs="Arial" w:eastAsia="Arial" w:hAnsi="Arial"/>
                <w:sz w:val="15"/>
                <w:szCs w:val="15"/>
                <w:color w:val="auto"/>
                <w:w w:val="98"/>
              </w:rPr>
              <w:t>Ulice Payne, Jr.</w:t>
            </w: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200" w:type="dxa"/>
            <w:vAlign w:val="bottom"/>
            <w:vMerge w:val="continue"/>
          </w:tcPr>
          <w:p>
            <w:pPr>
              <w:spacing w:after="0"/>
              <w:rPr>
                <w:sz w:val="2"/>
                <w:szCs w:val="2"/>
                <w:color w:val="auto"/>
              </w:rPr>
            </w:pPr>
          </w:p>
        </w:tc>
        <w:tc>
          <w:tcPr>
            <w:tcW w:w="8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-1115060</wp:posOffset>
            </wp:positionV>
            <wp:extent cx="6929755" cy="45180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4518025"/>
                    </a:xfrm>
                    <a:prstGeom prst="rect">
                      <a:avLst/>
                    </a:prstGeom>
                    <a:noFill/>
                  </pic:spPr>
                </pic:pic>
              </a:graphicData>
            </a:graphic>
          </wp:anchor>
        </w:drawing>
      </w: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the planned scope of the annual audit;</w:t>
      </w:r>
    </w:p>
    <w:p>
      <w:pPr>
        <w:spacing w:after="0" w:line="39" w:lineRule="exact"/>
        <w:rPr>
          <w:rFonts w:ascii="Arial" w:cs="Arial" w:eastAsia="Arial" w:hAnsi="Arial"/>
          <w:sz w:val="14"/>
          <w:szCs w:val="14"/>
          <w:color w:val="auto"/>
        </w:rPr>
      </w:pPr>
    </w:p>
    <w:p>
      <w:pPr>
        <w:ind w:left="2600" w:right="200" w:hanging="185"/>
        <w:spacing w:after="0" w:line="246"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26"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compliance with and reporting under Section 404 of the Sarbanes-Oxley Act of 2002;</w:t>
      </w:r>
    </w:p>
    <w:p>
      <w:pPr>
        <w:spacing w:after="0" w:line="39" w:lineRule="exact"/>
        <w:rPr>
          <w:rFonts w:ascii="Arial" w:cs="Arial" w:eastAsia="Arial" w:hAnsi="Arial"/>
          <w:sz w:val="14"/>
          <w:szCs w:val="14"/>
          <w:color w:val="auto"/>
        </w:rPr>
      </w:pPr>
    </w:p>
    <w:p>
      <w:pPr>
        <w:ind w:left="2600" w:right="260" w:hanging="185"/>
        <w:spacing w:after="0" w:line="254"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our financial reporting processes and internal controls and any significant audit adjustments proposed by the independent auditors;</w:t>
      </w:r>
    </w:p>
    <w:p>
      <w:pPr>
        <w:spacing w:after="0" w:line="20" w:lineRule="exact"/>
        <w:rPr>
          <w:rFonts w:ascii="Arial" w:cs="Arial" w:eastAsia="Arial" w:hAnsi="Arial"/>
          <w:sz w:val="14"/>
          <w:szCs w:val="14"/>
          <w:color w:val="auto"/>
        </w:rPr>
      </w:pPr>
    </w:p>
    <w:p>
      <w:pPr>
        <w:ind w:left="2600" w:right="340" w:hanging="185"/>
        <w:spacing w:after="0" w:line="254"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make a recommendation to the board of directors regarding inclusion of the audited financial statements in our annual report on Form 10-K;</w:t>
      </w:r>
    </w:p>
    <w:p>
      <w:pPr>
        <w:spacing w:after="0" w:line="20" w:lineRule="exact"/>
        <w:rPr>
          <w:rFonts w:ascii="Arial" w:cs="Arial" w:eastAsia="Arial" w:hAnsi="Arial"/>
          <w:sz w:val="14"/>
          <w:szCs w:val="14"/>
          <w:color w:val="auto"/>
        </w:rPr>
      </w:pPr>
    </w:p>
    <w:p>
      <w:pPr>
        <w:ind w:left="2600" w:right="40" w:hanging="185"/>
        <w:spacing w:after="0" w:line="254"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recommendations, if any, by the independent auditors resulting from the audit to ensure that appropriate actions are taken by management;</w:t>
      </w:r>
    </w:p>
    <w:p>
      <w:pPr>
        <w:spacing w:after="0" w:line="20"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matters of disagreement, if any, between management and the independent auditors;</w:t>
      </w:r>
    </w:p>
    <w:p>
      <w:pPr>
        <w:spacing w:after="0" w:line="39"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periodically review our Policy Regarding the Retention of Former Employees of Independent Auditors;</w:t>
      </w:r>
    </w:p>
    <w:p>
      <w:pPr>
        <w:spacing w:after="0" w:line="39"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oversee compliance with our Independent Auditor Services Policy;</w:t>
      </w:r>
    </w:p>
    <w:p>
      <w:pPr>
        <w:spacing w:after="0" w:line="39" w:lineRule="exact"/>
        <w:rPr>
          <w:rFonts w:ascii="Arial" w:cs="Arial" w:eastAsia="Arial" w:hAnsi="Arial"/>
          <w:sz w:val="14"/>
          <w:szCs w:val="14"/>
          <w:color w:val="auto"/>
        </w:rPr>
      </w:pPr>
    </w:p>
    <w:p>
      <w:pPr>
        <w:ind w:left="2600" w:right="80" w:hanging="185"/>
        <w:spacing w:after="0" w:line="254"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meet privately on a periodic basis with the independent auditors, internal audit staff and management to review the adequacy of our internal controls and other finance related matters;</w:t>
      </w:r>
    </w:p>
    <w:p>
      <w:pPr>
        <w:spacing w:after="0" w:line="20"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meet privately with management to review the competence, performance and independence of the independent auditors;</w:t>
      </w:r>
    </w:p>
    <w:p>
      <w:pPr>
        <w:spacing w:after="0" w:line="39"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monitor our internal audit department, including our internal audit plan;</w:t>
      </w:r>
    </w:p>
    <w:p>
      <w:pPr>
        <w:spacing w:after="0" w:line="39" w:lineRule="exact"/>
        <w:rPr>
          <w:rFonts w:ascii="Arial" w:cs="Arial" w:eastAsia="Arial" w:hAnsi="Arial"/>
          <w:sz w:val="14"/>
          <w:szCs w:val="14"/>
          <w:color w:val="auto"/>
        </w:rPr>
      </w:pPr>
    </w:p>
    <w:p>
      <w:pPr>
        <w:ind w:left="2600" w:right="140" w:hanging="185"/>
        <w:spacing w:after="0" w:line="254"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guidelines and policies regarding compliance by our employees with our code of business conduct and ethics, including the anti-corruption policy;</w:t>
      </w:r>
    </w:p>
    <w:p>
      <w:pPr>
        <w:spacing w:after="0" w:line="20" w:lineRule="exact"/>
        <w:rPr>
          <w:rFonts w:ascii="Arial" w:cs="Arial" w:eastAsia="Arial" w:hAnsi="Arial"/>
          <w:sz w:val="14"/>
          <w:szCs w:val="14"/>
          <w:color w:val="auto"/>
        </w:rPr>
      </w:pPr>
    </w:p>
    <w:p>
      <w:pPr>
        <w:ind w:left="2600" w:right="260" w:hanging="185"/>
        <w:spacing w:after="0" w:line="254"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procedures for receipt, retention and treatment of, and the confidential and anonymous submission of concerns regarding questionable accounting or auditing matters;</w:t>
      </w:r>
    </w:p>
    <w:p>
      <w:pPr>
        <w:spacing w:after="0" w:line="20"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assist the board of directors with its oversight of the performance of the Company’s risk management function;</w:t>
      </w:r>
    </w:p>
    <w:p>
      <w:pPr>
        <w:spacing w:after="0" w:line="39"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current tax matters affecting us;</w:t>
      </w:r>
    </w:p>
    <w:p>
      <w:pPr>
        <w:spacing w:after="0" w:line="39"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periodically discuss with management our risk management framework;</w:t>
      </w:r>
    </w:p>
    <w:p>
      <w:pPr>
        <w:spacing w:after="0" w:line="39" w:lineRule="exact"/>
        <w:rPr>
          <w:rFonts w:ascii="Arial" w:cs="Arial" w:eastAsia="Arial" w:hAnsi="Arial"/>
          <w:sz w:val="14"/>
          <w:szCs w:val="14"/>
          <w:color w:val="auto"/>
        </w:rPr>
      </w:pPr>
    </w:p>
    <w:p>
      <w:pPr>
        <w:ind w:left="2600" w:right="360" w:hanging="185"/>
        <w:spacing w:after="0" w:line="254" w:lineRule="auto"/>
        <w:tabs>
          <w:tab w:leader="none" w:pos="2571" w:val="left"/>
        </w:tabs>
        <w:numPr>
          <w:ilvl w:val="1"/>
          <w:numId w:val="34"/>
        </w:numPr>
        <w:rPr>
          <w:rFonts w:ascii="Arial" w:cs="Arial" w:eastAsia="Arial" w:hAnsi="Arial"/>
          <w:sz w:val="14"/>
          <w:szCs w:val="14"/>
          <w:color w:val="auto"/>
        </w:rPr>
      </w:pPr>
      <w:r>
        <w:rPr>
          <w:rFonts w:ascii="Arial" w:cs="Arial" w:eastAsia="Arial" w:hAnsi="Arial"/>
          <w:sz w:val="14"/>
          <w:szCs w:val="14"/>
          <w:color w:val="auto"/>
        </w:rPr>
        <w:t>monitor any litigation involving ManpowerGroup that may have a material financial impact on ManpowerGroup or that relates to matters entrusted to the audit committee; and</w:t>
      </w:r>
    </w:p>
    <w:p>
      <w:pPr>
        <w:spacing w:after="0" w:line="20" w:lineRule="exact"/>
        <w:rPr>
          <w:rFonts w:ascii="Arial" w:cs="Arial" w:eastAsia="Arial" w:hAnsi="Arial"/>
          <w:sz w:val="14"/>
          <w:szCs w:val="14"/>
          <w:color w:val="auto"/>
        </w:rPr>
      </w:pPr>
    </w:p>
    <w:p>
      <w:pPr>
        <w:ind w:left="2560" w:hanging="145"/>
        <w:spacing w:after="0"/>
        <w:tabs>
          <w:tab w:leader="none" w:pos="25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approve the retention, compensation and termination of outside legal, accounting and other such advisors to the committee.</w:t>
      </w:r>
    </w:p>
    <w:p>
      <w:pPr>
        <w:spacing w:after="0" w:line="146" w:lineRule="exact"/>
        <w:rPr>
          <w:rFonts w:ascii="Arial" w:cs="Arial" w:eastAsia="Arial" w:hAnsi="Arial"/>
          <w:sz w:val="14"/>
          <w:szCs w:val="14"/>
          <w:color w:val="auto"/>
        </w:rPr>
      </w:pPr>
    </w:p>
    <w:p>
      <w:pPr>
        <w:ind w:left="440" w:hanging="433"/>
        <w:spacing w:after="0"/>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Courtois was appointed to the audit committee in February 2021.</w:t>
      </w:r>
    </w:p>
    <w:p>
      <w:pPr>
        <w:spacing w:after="0" w:line="125" w:lineRule="exact"/>
        <w:rPr>
          <w:sz w:val="20"/>
          <w:szCs w:val="20"/>
          <w:color w:val="auto"/>
        </w:rPr>
      </w:pPr>
    </w:p>
    <w:p>
      <w:pPr>
        <w:ind w:right="140"/>
        <w:spacing w:after="0" w:line="230" w:lineRule="auto"/>
        <w:rPr>
          <w:sz w:val="20"/>
          <w:szCs w:val="20"/>
          <w:color w:val="auto"/>
        </w:rPr>
      </w:pPr>
      <w:r>
        <w:rPr>
          <w:rFonts w:ascii="Arial" w:cs="Arial" w:eastAsia="Arial" w:hAnsi="Arial"/>
          <w:sz w:val="15"/>
          <w:szCs w:val="15"/>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18</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23" w:right="499" w:bottom="1440" w:gutter="0" w:footer="0" w:header="0"/>
        </w:sectPr>
      </w:pPr>
    </w:p>
    <w:bookmarkStart w:id="30" w:name="page31"/>
    <w:bookmarkEnd w:id="30"/>
    <w:p>
      <w:pPr>
        <w:ind w:left="730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929755" cy="2209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198" w:lineRule="exact"/>
        <w:rPr>
          <w:sz w:val="20"/>
          <w:szCs w:val="20"/>
          <w:color w:val="auto"/>
        </w:rPr>
      </w:pPr>
    </w:p>
    <w:p>
      <w:pPr>
        <w:ind w:left="80"/>
        <w:spacing w:after="0"/>
        <w:tabs>
          <w:tab w:leader="none" w:pos="8460" w:val="left"/>
        </w:tabs>
        <w:rPr>
          <w:sz w:val="20"/>
          <w:szCs w:val="20"/>
          <w:color w:val="auto"/>
        </w:rPr>
      </w:pPr>
      <w:r>
        <w:rPr>
          <w:rFonts w:ascii="Arial" w:cs="Arial" w:eastAsia="Arial" w:hAnsi="Arial"/>
          <w:sz w:val="19"/>
          <w:szCs w:val="19"/>
          <w:b w:val="1"/>
          <w:bCs w:val="1"/>
          <w:color w:val="5D89B4"/>
        </w:rPr>
        <w:t>EXECUTIVE COMPENSATION AND HUMAN RESOURCES COMMITTEE</w:t>
      </w:r>
      <w:r>
        <w:rPr>
          <w:sz w:val="20"/>
          <w:szCs w:val="20"/>
          <w:color w:val="auto"/>
        </w:rPr>
        <w:tab/>
      </w:r>
      <w:r>
        <w:rPr>
          <w:rFonts w:ascii="Arial" w:cs="Arial" w:eastAsia="Arial" w:hAnsi="Arial"/>
          <w:sz w:val="14"/>
          <w:szCs w:val="14"/>
          <w:b w:val="1"/>
          <w:bCs w:val="1"/>
          <w:color w:val="5D89B4"/>
        </w:rPr>
        <w:t>NUMBER OF MEETINGS IN 2020: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40424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29755" cy="40424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40424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4042410"/>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sectPr>
      </w:pP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Elizabeth P. Sartain</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Chair</w:t>
      </w:r>
    </w:p>
    <w:p>
      <w:pPr>
        <w:spacing w:after="0" w:line="237" w:lineRule="exact"/>
        <w:rPr>
          <w:sz w:val="20"/>
          <w:szCs w:val="20"/>
          <w:color w:val="auto"/>
        </w:rPr>
      </w:pPr>
    </w:p>
    <w:p>
      <w:pPr>
        <w:jc w:val="center"/>
        <w:ind w:left="380"/>
        <w:spacing w:after="0"/>
        <w:rPr>
          <w:sz w:val="20"/>
          <w:szCs w:val="20"/>
          <w:color w:val="auto"/>
        </w:rPr>
      </w:pPr>
      <w:r>
        <w:rPr>
          <w:rFonts w:ascii="Arial" w:cs="Arial" w:eastAsia="Arial" w:hAnsi="Arial"/>
          <w:sz w:val="15"/>
          <w:szCs w:val="15"/>
          <w:b w:val="1"/>
          <w:bCs w:val="1"/>
          <w:color w:val="auto"/>
        </w:rPr>
        <w:t>Members:</w:t>
      </w:r>
    </w:p>
    <w:p>
      <w:pPr>
        <w:jc w:val="center"/>
        <w:ind w:left="380"/>
        <w:spacing w:after="0" w:line="231" w:lineRule="auto"/>
        <w:rPr>
          <w:sz w:val="20"/>
          <w:szCs w:val="20"/>
          <w:color w:val="auto"/>
        </w:rPr>
      </w:pPr>
      <w:r>
        <w:rPr>
          <w:rFonts w:ascii="Arial" w:cs="Arial" w:eastAsia="Arial" w:hAnsi="Arial"/>
          <w:sz w:val="15"/>
          <w:szCs w:val="15"/>
          <w:color w:val="auto"/>
        </w:rPr>
        <w:t>Cari M. Dominguez</w:t>
      </w:r>
      <w:r>
        <w:rPr>
          <w:rFonts w:ascii="Arial" w:cs="Arial" w:eastAsia="Arial" w:hAnsi="Arial"/>
          <w:sz w:val="12"/>
          <w:szCs w:val="12"/>
          <w:color w:val="auto"/>
        </w:rPr>
        <w:t>(1)</w:t>
      </w:r>
    </w:p>
    <w:p>
      <w:pPr>
        <w:jc w:val="center"/>
        <w:ind w:left="380"/>
        <w:spacing w:after="0" w:line="223" w:lineRule="auto"/>
        <w:rPr>
          <w:sz w:val="20"/>
          <w:szCs w:val="20"/>
          <w:color w:val="auto"/>
        </w:rPr>
      </w:pPr>
      <w:r>
        <w:rPr>
          <w:rFonts w:ascii="Arial" w:cs="Arial" w:eastAsia="Arial" w:hAnsi="Arial"/>
          <w:sz w:val="15"/>
          <w:szCs w:val="15"/>
          <w:color w:val="auto"/>
        </w:rPr>
        <w:t>William Downe</w:t>
      </w:r>
    </w:p>
    <w:p>
      <w:pPr>
        <w:jc w:val="center"/>
        <w:ind w:left="380"/>
        <w:spacing w:after="0" w:line="224" w:lineRule="auto"/>
        <w:rPr>
          <w:sz w:val="20"/>
          <w:szCs w:val="20"/>
          <w:color w:val="auto"/>
        </w:rPr>
      </w:pPr>
      <w:r>
        <w:rPr>
          <w:rFonts w:ascii="Arial" w:cs="Arial" w:eastAsia="Arial" w:hAnsi="Arial"/>
          <w:sz w:val="15"/>
          <w:szCs w:val="15"/>
          <w:color w:val="auto"/>
        </w:rPr>
        <w:t>William P. Gipson</w:t>
      </w:r>
      <w:r>
        <w:rPr>
          <w:rFonts w:ascii="Arial" w:cs="Arial" w:eastAsia="Arial" w:hAnsi="Arial"/>
          <w:sz w:val="12"/>
          <w:szCs w:val="12"/>
          <w:color w:val="auto"/>
        </w:rPr>
        <w:t>(2)</w:t>
      </w:r>
    </w:p>
    <w:p>
      <w:pPr>
        <w:jc w:val="center"/>
        <w:ind w:left="380"/>
        <w:spacing w:after="0"/>
        <w:rPr>
          <w:sz w:val="20"/>
          <w:szCs w:val="20"/>
          <w:color w:val="auto"/>
        </w:rPr>
      </w:pPr>
      <w:r>
        <w:rPr>
          <w:rFonts w:ascii="Arial" w:cs="Arial" w:eastAsia="Arial" w:hAnsi="Arial"/>
          <w:sz w:val="15"/>
          <w:szCs w:val="15"/>
          <w:color w:val="auto"/>
        </w:rPr>
        <w:t>Julie M. Howard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Each member of the executive compensation and human resources committee is “independent” within the meaning of the applicable listing standards of the New York Stock Exchange.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The functions of this committee are to:</w:t>
      </w:r>
    </w:p>
    <w:p>
      <w:pPr>
        <w:spacing w:after="0" w:line="68" w:lineRule="exact"/>
        <w:rPr>
          <w:sz w:val="20"/>
          <w:szCs w:val="20"/>
          <w:color w:val="auto"/>
        </w:rPr>
      </w:pPr>
    </w:p>
    <w:p>
      <w:pPr>
        <w:ind w:left="180" w:right="80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establish the compensation of the chief executive officer of ManpowerGroup, subject to ratification by the independent members of the board of directors;</w:t>
      </w:r>
    </w:p>
    <w:p>
      <w:pPr>
        <w:spacing w:after="0" w:line="60" w:lineRule="exact"/>
        <w:rPr>
          <w:rFonts w:ascii="Arial" w:cs="Arial" w:eastAsia="Arial" w:hAnsi="Arial"/>
          <w:sz w:val="15"/>
          <w:szCs w:val="15"/>
          <w:color w:val="auto"/>
        </w:rPr>
      </w:pPr>
    </w:p>
    <w:p>
      <w:pPr>
        <w:ind w:left="180" w:right="8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approve the compensation, based on the recommendations of the chief executive officer of ManpowerGroup, of any president and the chief financial officer, and certain other senior executives of ManpowerGroup;</w:t>
      </w:r>
    </w:p>
    <w:p>
      <w:pPr>
        <w:spacing w:after="0" w:line="60" w:lineRule="exact"/>
        <w:rPr>
          <w:rFonts w:ascii="Arial" w:cs="Arial" w:eastAsia="Arial" w:hAnsi="Arial"/>
          <w:sz w:val="15"/>
          <w:szCs w:val="15"/>
          <w:color w:val="auto"/>
        </w:rPr>
      </w:pPr>
    </w:p>
    <w:p>
      <w:pPr>
        <w:ind w:left="180" w:right="120" w:hanging="177"/>
        <w:spacing w:after="0" w:line="232"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61" w:lineRule="exact"/>
        <w:rPr>
          <w:rFonts w:ascii="Arial" w:cs="Arial" w:eastAsia="Arial" w:hAnsi="Arial"/>
          <w:sz w:val="15"/>
          <w:szCs w:val="15"/>
          <w:color w:val="auto"/>
        </w:rPr>
      </w:pPr>
    </w:p>
    <w:p>
      <w:pPr>
        <w:ind w:left="140" w:hanging="137"/>
        <w:spacing w:after="0"/>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monitor the professional development of ManpowerGroup’s key executive officers;</w:t>
      </w:r>
    </w:p>
    <w:p>
      <w:pPr>
        <w:spacing w:after="0" w:line="68" w:lineRule="exact"/>
        <w:rPr>
          <w:rFonts w:ascii="Arial" w:cs="Arial" w:eastAsia="Arial" w:hAnsi="Arial"/>
          <w:sz w:val="15"/>
          <w:szCs w:val="15"/>
          <w:color w:val="auto"/>
        </w:rPr>
      </w:pPr>
    </w:p>
    <w:p>
      <w:pPr>
        <w:ind w:left="180" w:right="20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review succession plans for the chief executive officer of ManpowerGroup, of any president and the chief financial officer and certain other senior executives of ManpowerGroup;</w:t>
      </w:r>
    </w:p>
    <w:p>
      <w:pPr>
        <w:spacing w:after="0" w:line="60" w:lineRule="exact"/>
        <w:rPr>
          <w:rFonts w:ascii="Arial" w:cs="Arial" w:eastAsia="Arial" w:hAnsi="Arial"/>
          <w:sz w:val="15"/>
          <w:szCs w:val="15"/>
          <w:color w:val="auto"/>
        </w:rPr>
      </w:pPr>
    </w:p>
    <w:p>
      <w:pPr>
        <w:ind w:left="180" w:right="102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administer ManpowerGroup’s equity incentive plans and employee stock purchase plans and oversee ManpowerGroup’s employee retirement and welfare plans;</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administer ManpowerGroup’s annual incentive plan;</w:t>
      </w:r>
    </w:p>
    <w:p>
      <w:pPr>
        <w:spacing w:after="0" w:line="68" w:lineRule="exact"/>
        <w:rPr>
          <w:rFonts w:ascii="Arial" w:cs="Arial" w:eastAsia="Arial" w:hAnsi="Arial"/>
          <w:sz w:val="15"/>
          <w:szCs w:val="15"/>
          <w:color w:val="auto"/>
        </w:rPr>
      </w:pPr>
    </w:p>
    <w:p>
      <w:pPr>
        <w:ind w:left="140" w:hanging="137"/>
        <w:spacing w:after="0"/>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review and recommend the “Compensation Discussion and Analysis” to be included in our annual proxy statement;</w:t>
      </w:r>
    </w:p>
    <w:p>
      <w:pPr>
        <w:spacing w:after="0" w:line="68" w:lineRule="exact"/>
        <w:rPr>
          <w:rFonts w:ascii="Arial" w:cs="Arial" w:eastAsia="Arial" w:hAnsi="Arial"/>
          <w:sz w:val="15"/>
          <w:szCs w:val="15"/>
          <w:color w:val="auto"/>
        </w:rPr>
      </w:pPr>
    </w:p>
    <w:p>
      <w:pPr>
        <w:ind w:left="180" w:right="14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develop and implement policies regarding the recoupment or “clawback” of excess compensation paid to executive officers of the Company;</w:t>
      </w:r>
    </w:p>
    <w:p>
      <w:pPr>
        <w:spacing w:after="0" w:line="60" w:lineRule="exact"/>
        <w:rPr>
          <w:rFonts w:ascii="Arial" w:cs="Arial" w:eastAsia="Arial" w:hAnsi="Arial"/>
          <w:sz w:val="15"/>
          <w:szCs w:val="15"/>
          <w:color w:val="auto"/>
        </w:rPr>
      </w:pPr>
    </w:p>
    <w:p>
      <w:pPr>
        <w:ind w:left="180" w:right="50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approve the retention, compensation and termination of outside compensation consultants, independent legal advisors or other advisors and have oversight of their work;</w:t>
      </w:r>
    </w:p>
    <w:p>
      <w:pPr>
        <w:spacing w:after="0" w:line="60" w:lineRule="exact"/>
        <w:rPr>
          <w:rFonts w:ascii="Arial" w:cs="Arial" w:eastAsia="Arial" w:hAnsi="Arial"/>
          <w:sz w:val="15"/>
          <w:szCs w:val="15"/>
          <w:color w:val="auto"/>
        </w:rPr>
      </w:pPr>
    </w:p>
    <w:p>
      <w:pPr>
        <w:ind w:left="180" w:right="22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consider the independence of any outside compensation consultant, independent legal advisor or other advisor to the committee;</w:t>
      </w:r>
    </w:p>
    <w:p>
      <w:pPr>
        <w:spacing w:after="0" w:line="60" w:lineRule="exact"/>
        <w:rPr>
          <w:rFonts w:ascii="Arial" w:cs="Arial" w:eastAsia="Arial" w:hAnsi="Arial"/>
          <w:sz w:val="15"/>
          <w:szCs w:val="15"/>
          <w:color w:val="auto"/>
        </w:rPr>
      </w:pPr>
    </w:p>
    <w:p>
      <w:pPr>
        <w:ind w:left="180" w:right="76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monitor the Company’s policies, objectives and programs related to diversity and inclusion and review the Company’s performance in light of appropriate measures; and</w:t>
      </w:r>
    </w:p>
    <w:p>
      <w:pPr>
        <w:spacing w:after="0" w:line="60" w:lineRule="exact"/>
        <w:rPr>
          <w:rFonts w:ascii="Arial" w:cs="Arial" w:eastAsia="Arial" w:hAnsi="Arial"/>
          <w:sz w:val="15"/>
          <w:szCs w:val="15"/>
          <w:color w:val="auto"/>
        </w:rPr>
      </w:pPr>
    </w:p>
    <w:p>
      <w:pPr>
        <w:ind w:left="180" w:right="20" w:hanging="177"/>
        <w:spacing w:after="0" w:line="237" w:lineRule="auto"/>
        <w:tabs>
          <w:tab w:leader="none" w:pos="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Review the results of any advisory shareholder votes on executive compensation and consider whether to recommend adjustments to the Company’s executive compensation policies and practices as a result of such votes.</w:t>
      </w:r>
    </w:p>
    <w:p>
      <w:pPr>
        <w:spacing w:after="0" w:line="200" w:lineRule="exact"/>
        <w:rPr>
          <w:sz w:val="20"/>
          <w:szCs w:val="20"/>
          <w:color w:val="auto"/>
        </w:rPr>
      </w:pPr>
    </w:p>
    <w:p>
      <w:pPr>
        <w:sectPr>
          <w:pgSz w:w="11900" w:h="16838" w:orient="portrait"/>
          <w:cols w:equalWidth="0" w:num="2">
            <w:col w:w="2480" w:space="480"/>
            <w:col w:w="7960"/>
          </w:cols>
          <w:pgMar w:left="480" w:top="1138" w:right="499" w:bottom="1440" w:gutter="0" w:footer="0" w:header="0"/>
          <w:type w:val="continuous"/>
        </w:sectPr>
      </w:pPr>
    </w:p>
    <w:p>
      <w:pPr>
        <w:spacing w:after="0" w:line="269" w:lineRule="exact"/>
        <w:rPr>
          <w:sz w:val="20"/>
          <w:szCs w:val="20"/>
          <w:color w:val="auto"/>
        </w:rPr>
      </w:pPr>
    </w:p>
    <w:p>
      <w:pPr>
        <w:ind w:left="440" w:hanging="433"/>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Ms. Dominguez is retiring from the board of directors effective May 7, 2021.</w:t>
      </w:r>
    </w:p>
    <w:p>
      <w:pPr>
        <w:ind w:left="440" w:hanging="433"/>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Gipson was appointed to the executive compensation and human resources committee in February 2021.</w:t>
      </w:r>
    </w:p>
    <w:p>
      <w:pPr>
        <w:spacing w:after="0" w:line="138" w:lineRule="exact"/>
        <w:rPr>
          <w:sz w:val="20"/>
          <w:szCs w:val="20"/>
          <w:color w:val="auto"/>
        </w:rPr>
      </w:pPr>
    </w:p>
    <w:p>
      <w:pPr>
        <w:jc w:val="both"/>
        <w:ind w:right="380"/>
        <w:spacing w:after="0" w:line="232" w:lineRule="auto"/>
        <w:rPr>
          <w:sz w:val="20"/>
          <w:szCs w:val="20"/>
          <w:color w:val="auto"/>
        </w:rPr>
      </w:pPr>
      <w:r>
        <w:rPr>
          <w:rFonts w:ascii="Arial" w:cs="Arial" w:eastAsia="Arial" w:hAnsi="Arial"/>
          <w:sz w:val="15"/>
          <w:szCs w:val="15"/>
          <w:color w:val="auto"/>
        </w:rPr>
        <w:t>In accordance with the terms of its charter, the executive compensation and human resources committee may from time to time delegate authority and assign responsibility with respect to such of its functions to officers of the Company, or to a subcommittee of the committee. The executive compensation and human resources committee took one action by written consent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929755" cy="2209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198" w:lineRule="exact"/>
        <w:rPr>
          <w:sz w:val="20"/>
          <w:szCs w:val="20"/>
          <w:color w:val="auto"/>
        </w:rPr>
      </w:pPr>
    </w:p>
    <w:p>
      <w:pPr>
        <w:ind w:left="80"/>
        <w:spacing w:after="0"/>
        <w:tabs>
          <w:tab w:leader="none" w:pos="8460" w:val="left"/>
        </w:tabs>
        <w:rPr>
          <w:sz w:val="20"/>
          <w:szCs w:val="20"/>
          <w:color w:val="auto"/>
        </w:rPr>
      </w:pPr>
      <w:r>
        <w:rPr>
          <w:rFonts w:ascii="Arial" w:cs="Arial" w:eastAsia="Arial" w:hAnsi="Arial"/>
          <w:sz w:val="19"/>
          <w:szCs w:val="19"/>
          <w:b w:val="1"/>
          <w:bCs w:val="1"/>
          <w:color w:val="5D89B4"/>
        </w:rPr>
        <w:t>NOMINATING AND GOVERNANCE COMMITTEE</w:t>
      </w:r>
      <w:r>
        <w:rPr>
          <w:sz w:val="20"/>
          <w:szCs w:val="20"/>
          <w:color w:val="auto"/>
        </w:rPr>
        <w:tab/>
      </w:r>
      <w:r>
        <w:rPr>
          <w:rFonts w:ascii="Arial" w:cs="Arial" w:eastAsia="Arial" w:hAnsi="Arial"/>
          <w:sz w:val="14"/>
          <w:szCs w:val="14"/>
          <w:b w:val="1"/>
          <w:bCs w:val="1"/>
          <w:color w:val="5D89B4"/>
        </w:rPr>
        <w:t>NUMBER OF MEETINGS IN 2020: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40424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29755" cy="40424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40424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4042410"/>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sectPr>
      </w:pPr>
    </w:p>
    <w:p>
      <w:pPr>
        <w:spacing w:after="0" w:line="129" w:lineRule="exact"/>
        <w:rPr>
          <w:sz w:val="20"/>
          <w:szCs w:val="20"/>
          <w:color w:val="auto"/>
        </w:rPr>
      </w:pPr>
    </w:p>
    <w:p>
      <w:pPr>
        <w:ind w:left="1020"/>
        <w:spacing w:after="0" w:line="253" w:lineRule="auto"/>
        <w:rPr>
          <w:sz w:val="20"/>
          <w:szCs w:val="20"/>
          <w:color w:val="auto"/>
        </w:rPr>
      </w:pPr>
      <w:r>
        <w:rPr>
          <w:rFonts w:ascii="Arial" w:cs="Arial" w:eastAsia="Arial" w:hAnsi="Arial"/>
          <w:sz w:val="16"/>
          <w:szCs w:val="16"/>
          <w:b w:val="1"/>
          <w:bCs w:val="1"/>
          <w:color w:val="auto"/>
        </w:rPr>
        <w:t>Patricia Hemingway Hall</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Chair</w:t>
      </w:r>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5"/>
          <w:szCs w:val="15"/>
          <w:b w:val="1"/>
          <w:bCs w:val="1"/>
          <w:color w:val="auto"/>
        </w:rPr>
        <w:t>Members:</w:t>
      </w:r>
    </w:p>
    <w:p>
      <w:pPr>
        <w:ind w:left="900"/>
        <w:spacing w:after="0" w:line="231" w:lineRule="auto"/>
        <w:rPr>
          <w:sz w:val="20"/>
          <w:szCs w:val="20"/>
          <w:color w:val="auto"/>
        </w:rPr>
      </w:pPr>
      <w:r>
        <w:rPr>
          <w:rFonts w:ascii="Arial" w:cs="Arial" w:eastAsia="Arial" w:hAnsi="Arial"/>
          <w:sz w:val="15"/>
          <w:szCs w:val="15"/>
          <w:color w:val="auto"/>
        </w:rPr>
        <w:t>Gina R. Boswell</w:t>
      </w:r>
    </w:p>
    <w:p>
      <w:pPr>
        <w:ind w:left="880"/>
        <w:spacing w:after="0" w:line="223" w:lineRule="auto"/>
        <w:rPr>
          <w:sz w:val="20"/>
          <w:szCs w:val="20"/>
          <w:color w:val="auto"/>
        </w:rPr>
      </w:pPr>
      <w:r>
        <w:rPr>
          <w:rFonts w:ascii="Arial" w:cs="Arial" w:eastAsia="Arial" w:hAnsi="Arial"/>
          <w:sz w:val="15"/>
          <w:szCs w:val="15"/>
          <w:color w:val="auto"/>
        </w:rPr>
        <w:t>Julie M. Howard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Ulice Payne, Jr.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60"/>
        <w:spacing w:after="0" w:line="237" w:lineRule="auto"/>
        <w:rPr>
          <w:sz w:val="20"/>
          <w:szCs w:val="20"/>
          <w:color w:val="auto"/>
        </w:rPr>
      </w:pPr>
      <w:r>
        <w:rPr>
          <w:rFonts w:ascii="Arial" w:cs="Arial" w:eastAsia="Arial" w:hAnsi="Arial"/>
          <w:sz w:val="15"/>
          <w:szCs w:val="15"/>
          <w:color w:val="auto"/>
        </w:rPr>
        <w:t>Each member of the nominating and governance committee is “independent” within the meaning of the applicable listing standards of the New York Stock Exchange.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The functions of this committee are to:</w:t>
      </w:r>
    </w:p>
    <w:p>
      <w:pPr>
        <w:spacing w:after="0" w:line="68" w:lineRule="exact"/>
        <w:rPr>
          <w:sz w:val="20"/>
          <w:szCs w:val="20"/>
          <w:color w:val="auto"/>
        </w:rPr>
      </w:pPr>
    </w:p>
    <w:p>
      <w:pPr>
        <w:ind w:left="180" w:right="380" w:hanging="177"/>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recommend nominees to stand for election at annual meetings of shareholders, to fill vacancies on the board of directors and to serve on committees of the board of directors;</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establish procedures and assist in identifying candidates for board membership;</w:t>
      </w:r>
    </w:p>
    <w:p>
      <w:pPr>
        <w:spacing w:after="0" w:line="68" w:lineRule="exact"/>
        <w:rPr>
          <w:rFonts w:ascii="Arial" w:cs="Arial" w:eastAsia="Arial" w:hAnsi="Arial"/>
          <w:sz w:val="15"/>
          <w:szCs w:val="15"/>
          <w:color w:val="auto"/>
        </w:rPr>
      </w:pPr>
    </w:p>
    <w:p>
      <w:pPr>
        <w:ind w:left="180" w:right="120" w:hanging="177"/>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review the qualifications of candidates for board membership, including any candidates nominated by shareholders in accordance with our bylaws;</w:t>
      </w:r>
    </w:p>
    <w:p>
      <w:pPr>
        <w:spacing w:after="0" w:line="60" w:lineRule="exact"/>
        <w:rPr>
          <w:rFonts w:ascii="Arial" w:cs="Arial" w:eastAsia="Arial" w:hAnsi="Arial"/>
          <w:sz w:val="15"/>
          <w:szCs w:val="15"/>
          <w:color w:val="auto"/>
        </w:rPr>
      </w:pPr>
    </w:p>
    <w:p>
      <w:pPr>
        <w:ind w:left="180" w:right="400" w:hanging="177"/>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periodically review the compensation arrangements in effect for the non-management members of the board of directors and recommend any changes deemed appropriate;</w:t>
      </w:r>
    </w:p>
    <w:p>
      <w:pPr>
        <w:spacing w:after="0" w:line="60" w:lineRule="exact"/>
        <w:rPr>
          <w:rFonts w:ascii="Arial" w:cs="Arial" w:eastAsia="Arial" w:hAnsi="Arial"/>
          <w:sz w:val="15"/>
          <w:szCs w:val="15"/>
          <w:color w:val="auto"/>
        </w:rPr>
      </w:pPr>
    </w:p>
    <w:p>
      <w:pPr>
        <w:ind w:left="180" w:right="420" w:hanging="177"/>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oversee the annual self-evaluation of the performance of the board of directors and each of its committees and oversee, or ensure another committee oversees, the annual evaluation of the performance of management;</w:t>
      </w:r>
    </w:p>
    <w:p>
      <w:pPr>
        <w:spacing w:after="0" w:line="60" w:lineRule="exact"/>
        <w:rPr>
          <w:rFonts w:ascii="Arial" w:cs="Arial" w:eastAsia="Arial" w:hAnsi="Arial"/>
          <w:sz w:val="15"/>
          <w:szCs w:val="15"/>
          <w:color w:val="auto"/>
        </w:rPr>
      </w:pPr>
    </w:p>
    <w:p>
      <w:pPr>
        <w:ind w:left="180" w:right="240" w:hanging="177"/>
        <w:spacing w:after="0" w:line="232"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61" w:lineRule="exact"/>
        <w:rPr>
          <w:rFonts w:ascii="Arial" w:cs="Arial" w:eastAsia="Arial" w:hAnsi="Arial"/>
          <w:sz w:val="15"/>
          <w:szCs w:val="15"/>
          <w:color w:val="auto"/>
        </w:rPr>
      </w:pPr>
    </w:p>
    <w:p>
      <w:pPr>
        <w:ind w:left="180" w:right="560" w:hanging="177"/>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oversee the content and format of our code of business conduct and ethics and recommend any changes as deemed appropriate;</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monitor compliance by the non-management directors with our code of business conduct and ethics;</w:t>
      </w:r>
    </w:p>
    <w:p>
      <w:pPr>
        <w:spacing w:after="0" w:line="68" w:lineRule="exact"/>
        <w:rPr>
          <w:rFonts w:ascii="Arial" w:cs="Arial" w:eastAsia="Arial" w:hAnsi="Arial"/>
          <w:sz w:val="15"/>
          <w:szCs w:val="15"/>
          <w:color w:val="auto"/>
        </w:rPr>
      </w:pPr>
    </w:p>
    <w:p>
      <w:pPr>
        <w:ind w:left="140" w:hanging="137"/>
        <w:spacing w:after="0"/>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develop and periodically review succession plans for the directors;</w:t>
      </w:r>
    </w:p>
    <w:p>
      <w:pPr>
        <w:spacing w:after="0" w:line="68" w:lineRule="exact"/>
        <w:rPr>
          <w:rFonts w:ascii="Arial" w:cs="Arial" w:eastAsia="Arial" w:hAnsi="Arial"/>
          <w:sz w:val="15"/>
          <w:szCs w:val="15"/>
          <w:color w:val="auto"/>
        </w:rPr>
      </w:pPr>
    </w:p>
    <w:p>
      <w:pPr>
        <w:ind w:left="140" w:hanging="137"/>
        <w:spacing w:after="0"/>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periodically review the corporate governance guidelines and recommend any changes as deemed appropriate;</w:t>
      </w:r>
    </w:p>
    <w:p>
      <w:pPr>
        <w:spacing w:after="0" w:line="68" w:lineRule="exact"/>
        <w:rPr>
          <w:rFonts w:ascii="Arial" w:cs="Arial" w:eastAsia="Arial" w:hAnsi="Arial"/>
          <w:sz w:val="15"/>
          <w:szCs w:val="15"/>
          <w:color w:val="auto"/>
        </w:rPr>
      </w:pPr>
    </w:p>
    <w:p>
      <w:pPr>
        <w:ind w:left="180" w:right="220" w:hanging="177"/>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review and recommend categorical standards for determining non-management director independence consistent with the rules of the New York Stock Exchange and other requirements;</w:t>
      </w:r>
    </w:p>
    <w:p>
      <w:pPr>
        <w:spacing w:after="0" w:line="60" w:lineRule="exact"/>
        <w:rPr>
          <w:rFonts w:ascii="Arial" w:cs="Arial" w:eastAsia="Arial" w:hAnsi="Arial"/>
          <w:sz w:val="15"/>
          <w:szCs w:val="15"/>
          <w:color w:val="auto"/>
        </w:rPr>
      </w:pPr>
    </w:p>
    <w:p>
      <w:pPr>
        <w:ind w:left="180" w:right="120" w:hanging="177"/>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Consider and recommend to the Board the action to be taken with respect to any resignation tendered by a director with respect to a change in professional responsibilities or personal circumstances; and</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approve the retention, compensation and termination of any outside independent advisors to the committee.</w:t>
      </w:r>
    </w:p>
    <w:p>
      <w:pPr>
        <w:spacing w:after="0" w:line="200" w:lineRule="exact"/>
        <w:rPr>
          <w:sz w:val="20"/>
          <w:szCs w:val="20"/>
          <w:color w:val="auto"/>
        </w:rPr>
      </w:pPr>
    </w:p>
    <w:p>
      <w:pPr>
        <w:sectPr>
          <w:pgSz w:w="11900" w:h="16838" w:orient="portrait"/>
          <w:cols w:equalWidth="0" w:num="2">
            <w:col w:w="2520" w:space="440"/>
            <w:col w:w="7960"/>
          </w:cols>
          <w:pgMar w:left="480" w:top="113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and governance committee has from time to time engaged director search firms to assist it in identifying and evaluating potential board candidates.</w:t>
      </w:r>
    </w:p>
    <w:p>
      <w:pPr>
        <w:spacing w:after="0"/>
        <w:rPr>
          <w:sz w:val="20"/>
          <w:szCs w:val="20"/>
          <w:color w:val="auto"/>
        </w:rPr>
      </w:pPr>
      <w:r>
        <w:rPr>
          <w:rFonts w:ascii="Arial" w:cs="Arial" w:eastAsia="Arial" w:hAnsi="Arial"/>
          <w:sz w:val="15"/>
          <w:szCs w:val="15"/>
          <w:color w:val="auto"/>
        </w:rPr>
        <w:t>The nominating and governance committee did not take any action by written consent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20</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Effectiveness and Evaluation</w:t>
      </w:r>
    </w:p>
    <w:p>
      <w:pPr>
        <w:spacing w:after="0" w:line="371"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Our board of directors is committed to performing effectively for the benefit of the Company and its shareholders at both the board and committee level. Each year, the nominating and governance committee oversees the board and committee evaluation process and determines the format and framework for the process.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Annual Evaluation Process with an Independent Consultant</w:t>
      </w:r>
    </w:p>
    <w:p>
      <w:pPr>
        <w:spacing w:after="0" w:line="139" w:lineRule="exact"/>
        <w:rPr>
          <w:sz w:val="20"/>
          <w:szCs w:val="20"/>
          <w:color w:val="auto"/>
        </w:rPr>
      </w:pPr>
    </w:p>
    <w:p>
      <w:pPr>
        <w:ind w:right="220"/>
        <w:spacing w:after="0" w:line="232" w:lineRule="auto"/>
        <w:rPr>
          <w:sz w:val="20"/>
          <w:szCs w:val="20"/>
          <w:color w:val="auto"/>
        </w:rPr>
      </w:pPr>
      <w:r>
        <w:rPr>
          <w:rFonts w:ascii="Arial" w:cs="Arial" w:eastAsia="Arial" w:hAnsi="Arial"/>
          <w:sz w:val="15"/>
          <w:szCs w:val="15"/>
          <w:color w:val="auto"/>
        </w:rPr>
        <w:t>Since 2018, the nominating and governance committee has engaged a third-party consultant, experienced in corporate governance matters, to assist with the board and committee evaluation process. The purpose of the annual evaluation process is to ensure that the board continues to operate at a high level, with an opportunity for self-reflection and improvement.</w:t>
      </w:r>
    </w:p>
    <w:p>
      <w:pPr>
        <w:spacing w:after="0" w:line="115"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Each year, directors are interviewed by the independent third party, and give specific feedback addressing various topics of focus that are determined in advance. Among other items, topics have included board effectiveness, individual contributions, committee functioning, as well as suggestions to enhance the efficiency and productivity of the board in general. For the 2020 evaluation, the nominating and governance committee determined that individual director effectiveness would also be included as one of the focus areas. Directors respond to questions designed to elicit this information, and the independent third party synthesizes the results and comments received during such interviews. These findings are then presented by the independent third party and the chair of the nominating and governance committee to the nominating and governance committee and to the board, followed by a review and discussion by the full board. The chair of the nominating and governance committee also provides any committee findings to each committee chair, which are used to facilitate discussion during of the committee assessments that also occur annually. The board believes this facilitated process provides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223" w:right="539" w:bottom="1440" w:gutter="0" w:footer="0" w:header="0"/>
        </w:sectPr>
      </w:pPr>
    </w:p>
    <w:bookmarkStart w:id="33" w:name="page34"/>
    <w:bookmarkEnd w:id="33"/>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Background</w:t>
              </w:r>
            </w:hyperlink>
          </w:p>
        </w:tc>
        <w:tc>
          <w:tcPr>
            <w:tcW w:w="40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w:t>
            </w:r>
          </w:p>
        </w:tc>
      </w:tr>
      <w:tr>
        <w:trPr>
          <w:trHeight w:val="179"/>
        </w:trPr>
        <w:tc>
          <w:tcPr>
            <w:tcW w:w="5800" w:type="dxa"/>
            <w:vAlign w:val="bottom"/>
            <w:tcBorders>
              <w:bottom w:val="single" w:sz="8" w:color="5D89B4"/>
            </w:tcBorders>
          </w:tcPr>
          <w:p>
            <w:pPr>
              <w:spacing w:after="0"/>
              <w:rPr>
                <w:sz w:val="15"/>
                <w:szCs w:val="15"/>
                <w:color w:val="auto"/>
              </w:rPr>
            </w:pPr>
          </w:p>
        </w:tc>
        <w:tc>
          <w:tcPr>
            <w:tcW w:w="4020" w:type="dxa"/>
            <w:vAlign w:val="bottom"/>
            <w:tcBorders>
              <w:bottom w:val="single" w:sz="8" w:color="5D89B4"/>
            </w:tcBorders>
          </w:tcPr>
          <w:p>
            <w:pPr>
              <w:spacing w:after="0"/>
              <w:rPr>
                <w:sz w:val="15"/>
                <w:szCs w:val="15"/>
                <w:color w:val="auto"/>
              </w:rPr>
            </w:pPr>
          </w:p>
        </w:tc>
        <w:tc>
          <w:tcPr>
            <w:tcW w:w="1100" w:type="dxa"/>
            <w:vAlign w:val="bottom"/>
            <w:tcBorders>
              <w:bottom w:val="single" w:sz="8" w:color="5D89B4"/>
            </w:tcBorders>
          </w:tcPr>
          <w:p>
            <w:pPr>
              <w:spacing w:after="0"/>
              <w:rPr>
                <w:sz w:val="15"/>
                <w:szCs w:val="15"/>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Executive Summary</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w:t>
            </w:r>
          </w:p>
        </w:tc>
      </w:tr>
      <w:tr>
        <w:trPr>
          <w:trHeight w:val="223"/>
        </w:trPr>
        <w:tc>
          <w:tcPr>
            <w:tcW w:w="5800" w:type="dxa"/>
            <w:vAlign w:val="bottom"/>
          </w:tcPr>
          <w:p>
            <w:pPr>
              <w:ind w:left="2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The Impact of COVID-19 On Our Business and Executive Compensation</w:t>
              </w:r>
            </w:hyperlink>
          </w:p>
        </w:tc>
        <w:tc>
          <w:tcPr>
            <w:tcW w:w="4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24</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CEO Compensation was Significantly Adversely Impacted by COVID-19</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26</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Key Compensation and Governance Policies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28</w:t>
            </w:r>
          </w:p>
        </w:tc>
      </w:tr>
      <w:tr>
        <w:trPr>
          <w:trHeight w:val="179"/>
        </w:trPr>
        <w:tc>
          <w:tcPr>
            <w:tcW w:w="5800" w:type="dxa"/>
            <w:vAlign w:val="bottom"/>
            <w:tcBorders>
              <w:bottom w:val="single" w:sz="8" w:color="5D89B4"/>
            </w:tcBorders>
          </w:tcPr>
          <w:p>
            <w:pPr>
              <w:spacing w:after="0"/>
              <w:rPr>
                <w:sz w:val="15"/>
                <w:szCs w:val="15"/>
                <w:color w:val="auto"/>
              </w:rPr>
            </w:pPr>
          </w:p>
        </w:tc>
        <w:tc>
          <w:tcPr>
            <w:tcW w:w="4020" w:type="dxa"/>
            <w:vAlign w:val="bottom"/>
            <w:tcBorders>
              <w:bottom w:val="single" w:sz="8" w:color="5D89B4"/>
            </w:tcBorders>
          </w:tcPr>
          <w:p>
            <w:pPr>
              <w:spacing w:after="0"/>
              <w:rPr>
                <w:sz w:val="15"/>
                <w:szCs w:val="15"/>
                <w:color w:val="auto"/>
              </w:rPr>
            </w:pPr>
          </w:p>
        </w:tc>
        <w:tc>
          <w:tcPr>
            <w:tcW w:w="1100" w:type="dxa"/>
            <w:vAlign w:val="bottom"/>
            <w:tcBorders>
              <w:bottom w:val="single" w:sz="8" w:color="5D89B4"/>
            </w:tcBorders>
          </w:tcPr>
          <w:p>
            <w:pPr>
              <w:spacing w:after="0"/>
              <w:rPr>
                <w:sz w:val="15"/>
                <w:szCs w:val="15"/>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ManpowerGroup Compensation Principles</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161"/>
        </w:trPr>
        <w:tc>
          <w:tcPr>
            <w:tcW w:w="5800" w:type="dxa"/>
            <w:vAlign w:val="bottom"/>
            <w:tcBorders>
              <w:bottom w:val="single" w:sz="8" w:color="5D89B4"/>
            </w:tcBorders>
          </w:tcPr>
          <w:p>
            <w:pPr>
              <w:spacing w:after="0"/>
              <w:rPr>
                <w:sz w:val="14"/>
                <w:szCs w:val="14"/>
                <w:color w:val="auto"/>
              </w:rPr>
            </w:pPr>
          </w:p>
        </w:tc>
        <w:tc>
          <w:tcPr>
            <w:tcW w:w="4020" w:type="dxa"/>
            <w:vAlign w:val="bottom"/>
            <w:tcBorders>
              <w:bottom w:val="single" w:sz="8" w:color="5D89B4"/>
            </w:tcBorders>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Say on Pay Vote</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161"/>
        </w:trPr>
        <w:tc>
          <w:tcPr>
            <w:tcW w:w="5800" w:type="dxa"/>
            <w:vAlign w:val="bottom"/>
            <w:tcBorders>
              <w:bottom w:val="single" w:sz="8" w:color="5D89B4"/>
            </w:tcBorders>
          </w:tcPr>
          <w:p>
            <w:pPr>
              <w:spacing w:after="0"/>
              <w:rPr>
                <w:sz w:val="14"/>
                <w:szCs w:val="14"/>
                <w:color w:val="auto"/>
              </w:rPr>
            </w:pPr>
          </w:p>
        </w:tc>
        <w:tc>
          <w:tcPr>
            <w:tcW w:w="4020" w:type="dxa"/>
            <w:vAlign w:val="bottom"/>
            <w:tcBorders>
              <w:bottom w:val="single" w:sz="8" w:color="5D89B4"/>
            </w:tcBorders>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Shareholder Engagement</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161"/>
        </w:trPr>
        <w:tc>
          <w:tcPr>
            <w:tcW w:w="5800" w:type="dxa"/>
            <w:vAlign w:val="bottom"/>
            <w:tcBorders>
              <w:bottom w:val="single" w:sz="8" w:color="5D89B4"/>
            </w:tcBorders>
          </w:tcPr>
          <w:p>
            <w:pPr>
              <w:spacing w:after="0"/>
              <w:rPr>
                <w:sz w:val="14"/>
                <w:szCs w:val="14"/>
                <w:color w:val="auto"/>
              </w:rPr>
            </w:pPr>
          </w:p>
        </w:tc>
        <w:tc>
          <w:tcPr>
            <w:tcW w:w="4020" w:type="dxa"/>
            <w:vAlign w:val="bottom"/>
            <w:tcBorders>
              <w:bottom w:val="single" w:sz="8" w:color="5D89B4"/>
            </w:tcBorders>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Compensation Elements</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r>
        <w:trPr>
          <w:trHeight w:val="161"/>
        </w:trPr>
        <w:tc>
          <w:tcPr>
            <w:tcW w:w="5800" w:type="dxa"/>
            <w:vAlign w:val="bottom"/>
            <w:tcBorders>
              <w:bottom w:val="single" w:sz="8" w:color="5D89B4"/>
            </w:tcBorders>
          </w:tcPr>
          <w:p>
            <w:pPr>
              <w:spacing w:after="0"/>
              <w:rPr>
                <w:sz w:val="14"/>
                <w:szCs w:val="14"/>
                <w:color w:val="auto"/>
              </w:rPr>
            </w:pPr>
          </w:p>
        </w:tc>
        <w:tc>
          <w:tcPr>
            <w:tcW w:w="4020" w:type="dxa"/>
            <w:vAlign w:val="bottom"/>
            <w:tcBorders>
              <w:bottom w:val="single" w:sz="8" w:color="5D89B4"/>
            </w:tcBorders>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Target Total Compensation</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34</w:t>
            </w:r>
          </w:p>
        </w:tc>
      </w:tr>
      <w:tr>
        <w:trPr>
          <w:trHeight w:val="161"/>
        </w:trPr>
        <w:tc>
          <w:tcPr>
            <w:tcW w:w="9820" w:type="dxa"/>
            <w:vAlign w:val="bottom"/>
            <w:tcBorders>
              <w:bottom w:val="single" w:sz="8" w:color="5D89B4"/>
            </w:tcBorders>
            <w:gridSpan w:val="2"/>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207"/>
        </w:trPr>
        <w:tc>
          <w:tcPr>
            <w:tcW w:w="9820" w:type="dxa"/>
            <w:vAlign w:val="bottom"/>
            <w:gridSpan w:val="2"/>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Market Positioning: For 2020 Target Compensation was Below the Median of the Competitive Market</w:t>
              </w:r>
            </w:hyperlink>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223"/>
        </w:trPr>
        <w:tc>
          <w:tcPr>
            <w:tcW w:w="9820" w:type="dxa"/>
            <w:vAlign w:val="bottom"/>
            <w:gridSpan w:val="2"/>
          </w:tcPr>
          <w:p>
            <w:pPr>
              <w:ind w:left="2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How We Determine the Competitive Market: Challenges in Identifying a Relevant Peer Group</w:t>
              </w:r>
            </w:hyperlink>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35</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Assessing Individual Factors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35</w:t>
            </w:r>
          </w:p>
        </w:tc>
      </w:tr>
      <w:tr>
        <w:trPr>
          <w:trHeight w:val="179"/>
        </w:trPr>
        <w:tc>
          <w:tcPr>
            <w:tcW w:w="5800" w:type="dxa"/>
            <w:vAlign w:val="bottom"/>
            <w:tcBorders>
              <w:bottom w:val="single" w:sz="8" w:color="5D89B4"/>
            </w:tcBorders>
          </w:tcPr>
          <w:p>
            <w:pPr>
              <w:spacing w:after="0"/>
              <w:rPr>
                <w:sz w:val="15"/>
                <w:szCs w:val="15"/>
                <w:color w:val="auto"/>
              </w:rPr>
            </w:pPr>
          </w:p>
        </w:tc>
        <w:tc>
          <w:tcPr>
            <w:tcW w:w="4020" w:type="dxa"/>
            <w:vAlign w:val="bottom"/>
            <w:tcBorders>
              <w:bottom w:val="single" w:sz="8" w:color="5D89B4"/>
            </w:tcBorders>
          </w:tcPr>
          <w:p>
            <w:pPr>
              <w:spacing w:after="0"/>
              <w:rPr>
                <w:sz w:val="15"/>
                <w:szCs w:val="15"/>
                <w:color w:val="auto"/>
              </w:rPr>
            </w:pPr>
          </w:p>
        </w:tc>
        <w:tc>
          <w:tcPr>
            <w:tcW w:w="1100" w:type="dxa"/>
            <w:vAlign w:val="bottom"/>
            <w:tcBorders>
              <w:bottom w:val="single" w:sz="8" w:color="5D89B4"/>
            </w:tcBorders>
          </w:tcPr>
          <w:p>
            <w:pPr>
              <w:spacing w:after="0"/>
              <w:rPr>
                <w:sz w:val="15"/>
                <w:szCs w:val="15"/>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The Committee’s Decision-Making Process</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161"/>
        </w:trPr>
        <w:tc>
          <w:tcPr>
            <w:tcW w:w="5800" w:type="dxa"/>
            <w:vAlign w:val="bottom"/>
            <w:tcBorders>
              <w:bottom w:val="single" w:sz="8" w:color="5D89B4"/>
            </w:tcBorders>
          </w:tcPr>
          <w:p>
            <w:pPr>
              <w:spacing w:after="0"/>
              <w:rPr>
                <w:sz w:val="14"/>
                <w:szCs w:val="14"/>
                <w:color w:val="auto"/>
              </w:rPr>
            </w:pPr>
          </w:p>
        </w:tc>
        <w:tc>
          <w:tcPr>
            <w:tcW w:w="4020" w:type="dxa"/>
            <w:vAlign w:val="bottom"/>
            <w:tcBorders>
              <w:bottom w:val="single" w:sz="8" w:color="5D89B4"/>
            </w:tcBorders>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Components of the 2020 Executive Compensation Program — Base Salary</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161"/>
        </w:trPr>
        <w:tc>
          <w:tcPr>
            <w:tcW w:w="9820" w:type="dxa"/>
            <w:vAlign w:val="bottom"/>
            <w:tcBorders>
              <w:bottom w:val="single" w:sz="8" w:color="5D89B4"/>
            </w:tcBorders>
            <w:gridSpan w:val="2"/>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207"/>
        </w:trPr>
        <w:tc>
          <w:tcPr>
            <w:tcW w:w="9820" w:type="dxa"/>
            <w:vAlign w:val="bottom"/>
            <w:gridSpan w:val="2"/>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Components of the 2020 Executive Compensation Program — Annual Cash Incentives</w:t>
              </w:r>
            </w:hyperlink>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223"/>
        </w:trPr>
        <w:tc>
          <w:tcPr>
            <w:tcW w:w="5800" w:type="dxa"/>
            <w:vAlign w:val="bottom"/>
          </w:tcPr>
          <w:p>
            <w:pPr>
              <w:ind w:left="22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How EPS, ROIC and Revenue are Calculated</w:t>
              </w:r>
            </w:hyperlink>
          </w:p>
        </w:tc>
        <w:tc>
          <w:tcPr>
            <w:tcW w:w="4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36</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Why the Company Uses EPS, ROIC and Revenue</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37</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The 2020 EPS, ROIC and Revenue Goals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37</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Annual Incentive Award Opportunities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38</w:t>
            </w:r>
          </w:p>
        </w:tc>
      </w:tr>
      <w:tr>
        <w:trPr>
          <w:trHeight w:val="241"/>
        </w:trPr>
        <w:tc>
          <w:tcPr>
            <w:tcW w:w="5800" w:type="dxa"/>
            <w:vAlign w:val="bottom"/>
          </w:tcPr>
          <w:p>
            <w:pPr>
              <w:ind w:left="44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Jonas Prising — Annual Incentive Award Opportunities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38</w:t>
            </w:r>
          </w:p>
        </w:tc>
      </w:tr>
      <w:tr>
        <w:trPr>
          <w:trHeight w:val="241"/>
        </w:trPr>
        <w:tc>
          <w:tcPr>
            <w:tcW w:w="5800" w:type="dxa"/>
            <w:vAlign w:val="bottom"/>
          </w:tcPr>
          <w:p>
            <w:pPr>
              <w:ind w:left="44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John T. McGinnis — Annual Incentive Award Opportunities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39</w:t>
            </w:r>
          </w:p>
        </w:tc>
      </w:tr>
      <w:tr>
        <w:trPr>
          <w:trHeight w:val="241"/>
        </w:trPr>
        <w:tc>
          <w:tcPr>
            <w:tcW w:w="5800" w:type="dxa"/>
            <w:vAlign w:val="bottom"/>
          </w:tcPr>
          <w:p>
            <w:pPr>
              <w:ind w:left="44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Michelle S. Nettles — Annual Incentive Award Opportunities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39</w:t>
            </w:r>
          </w:p>
        </w:tc>
      </w:tr>
      <w:tr>
        <w:trPr>
          <w:trHeight w:val="241"/>
        </w:trPr>
        <w:tc>
          <w:tcPr>
            <w:tcW w:w="5800" w:type="dxa"/>
            <w:vAlign w:val="bottom"/>
          </w:tcPr>
          <w:p>
            <w:pPr>
              <w:ind w:left="4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Richard Buchband — Annual Incentive Award Opportunities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40</w:t>
            </w:r>
          </w:p>
        </w:tc>
      </w:tr>
      <w:tr>
        <w:trPr>
          <w:trHeight w:val="179"/>
        </w:trPr>
        <w:tc>
          <w:tcPr>
            <w:tcW w:w="9820" w:type="dxa"/>
            <w:vAlign w:val="bottom"/>
            <w:tcBorders>
              <w:bottom w:val="single" w:sz="8" w:color="5D89B4"/>
            </w:tcBorders>
            <w:gridSpan w:val="2"/>
          </w:tcPr>
          <w:p>
            <w:pPr>
              <w:spacing w:after="0"/>
              <w:rPr>
                <w:sz w:val="15"/>
                <w:szCs w:val="15"/>
                <w:color w:val="auto"/>
              </w:rPr>
            </w:pPr>
          </w:p>
        </w:tc>
        <w:tc>
          <w:tcPr>
            <w:tcW w:w="1100" w:type="dxa"/>
            <w:vAlign w:val="bottom"/>
            <w:tcBorders>
              <w:bottom w:val="single" w:sz="8" w:color="5D89B4"/>
            </w:tcBorders>
          </w:tcPr>
          <w:p>
            <w:pPr>
              <w:spacing w:after="0"/>
              <w:rPr>
                <w:sz w:val="15"/>
                <w:szCs w:val="15"/>
                <w:color w:val="auto"/>
              </w:rPr>
            </w:pPr>
          </w:p>
        </w:tc>
      </w:tr>
      <w:tr>
        <w:trPr>
          <w:trHeight w:val="207"/>
        </w:trPr>
        <w:tc>
          <w:tcPr>
            <w:tcW w:w="9820" w:type="dxa"/>
            <w:vAlign w:val="bottom"/>
            <w:gridSpan w:val="2"/>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Components of the 2020 Executive Compensation Program — Long-Term Incentives</w:t>
              </w:r>
            </w:hyperlink>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223"/>
        </w:trPr>
        <w:tc>
          <w:tcPr>
            <w:tcW w:w="5800" w:type="dxa"/>
            <w:vAlign w:val="bottom"/>
          </w:tcPr>
          <w:p>
            <w:pPr>
              <w:ind w:left="22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Performance Share Units</w:t>
              </w:r>
            </w:hyperlink>
          </w:p>
        </w:tc>
        <w:tc>
          <w:tcPr>
            <w:tcW w:w="4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41</w:t>
            </w:r>
          </w:p>
        </w:tc>
      </w:tr>
      <w:tr>
        <w:trPr>
          <w:trHeight w:val="241"/>
        </w:trPr>
        <w:tc>
          <w:tcPr>
            <w:tcW w:w="9820" w:type="dxa"/>
            <w:vAlign w:val="bottom"/>
            <w:gridSpan w:val="2"/>
          </w:tcPr>
          <w:p>
            <w:pPr>
              <w:ind w:left="44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Why the Company Uses Annual Operating Profit Margin and How it Sets Goals</w:t>
              </w:r>
            </w:hyperlink>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41</w:t>
            </w:r>
          </w:p>
        </w:tc>
      </w:tr>
      <w:tr>
        <w:trPr>
          <w:trHeight w:val="241"/>
        </w:trPr>
        <w:tc>
          <w:tcPr>
            <w:tcW w:w="5800" w:type="dxa"/>
            <w:vAlign w:val="bottom"/>
          </w:tcPr>
          <w:p>
            <w:pPr>
              <w:ind w:left="440"/>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Impact of COVID-19 on Performance Share Units and Plan Design</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42</w:t>
            </w:r>
          </w:p>
        </w:tc>
      </w:tr>
      <w:tr>
        <w:trPr>
          <w:trHeight w:val="241"/>
        </w:trPr>
        <w:tc>
          <w:tcPr>
            <w:tcW w:w="9820" w:type="dxa"/>
            <w:vAlign w:val="bottom"/>
            <w:gridSpan w:val="2"/>
          </w:tcPr>
          <w:p>
            <w:pPr>
              <w:ind w:left="640"/>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Shares Earned for the 2018-2020 Performance Period were Unexpectedly Impacted by 2020 Operating Profit Margin</w:t>
              </w:r>
            </w:hyperlink>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42</w:t>
            </w:r>
          </w:p>
        </w:tc>
      </w:tr>
      <w:tr>
        <w:trPr>
          <w:trHeight w:val="241"/>
        </w:trPr>
        <w:tc>
          <w:tcPr>
            <w:tcW w:w="9820" w:type="dxa"/>
            <w:vAlign w:val="bottom"/>
            <w:gridSpan w:val="2"/>
          </w:tcPr>
          <w:p>
            <w:pPr>
              <w:ind w:left="64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Introduction of a Special Grant and Utilization of a One-Year Performance Period</w:t>
              </w:r>
            </w:hyperlink>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Stock Options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Restricted Stock Units</w:t>
              </w:r>
            </w:hyperlink>
          </w:p>
        </w:tc>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r>
      <w:tr>
        <w:trPr>
          <w:trHeight w:val="179"/>
        </w:trPr>
        <w:tc>
          <w:tcPr>
            <w:tcW w:w="5800" w:type="dxa"/>
            <w:vAlign w:val="bottom"/>
            <w:tcBorders>
              <w:bottom w:val="single" w:sz="8" w:color="5D89B4"/>
            </w:tcBorders>
          </w:tcPr>
          <w:p>
            <w:pPr>
              <w:spacing w:after="0"/>
              <w:rPr>
                <w:sz w:val="15"/>
                <w:szCs w:val="15"/>
                <w:color w:val="auto"/>
              </w:rPr>
            </w:pPr>
          </w:p>
        </w:tc>
        <w:tc>
          <w:tcPr>
            <w:tcW w:w="4020" w:type="dxa"/>
            <w:vAlign w:val="bottom"/>
            <w:tcBorders>
              <w:bottom w:val="single" w:sz="8" w:color="5D89B4"/>
            </w:tcBorders>
          </w:tcPr>
          <w:p>
            <w:pPr>
              <w:spacing w:after="0"/>
              <w:rPr>
                <w:sz w:val="15"/>
                <w:szCs w:val="15"/>
                <w:color w:val="auto"/>
              </w:rPr>
            </w:pPr>
          </w:p>
        </w:tc>
        <w:tc>
          <w:tcPr>
            <w:tcW w:w="1100" w:type="dxa"/>
            <w:vAlign w:val="bottom"/>
            <w:tcBorders>
              <w:bottom w:val="single" w:sz="8" w:color="5D89B4"/>
            </w:tcBorders>
          </w:tcPr>
          <w:p>
            <w:pPr>
              <w:spacing w:after="0"/>
              <w:rPr>
                <w:sz w:val="15"/>
                <w:szCs w:val="15"/>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Career Shares, Retirement and Deferred Compensation Plans</w:t>
              </w:r>
            </w:hyperlink>
          </w:p>
        </w:tc>
        <w:tc>
          <w:tcPr>
            <w:tcW w:w="40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161"/>
        </w:trPr>
        <w:tc>
          <w:tcPr>
            <w:tcW w:w="5800" w:type="dxa"/>
            <w:vAlign w:val="bottom"/>
            <w:tcBorders>
              <w:bottom w:val="single" w:sz="8" w:color="5D89B4"/>
            </w:tcBorders>
          </w:tcPr>
          <w:p>
            <w:pPr>
              <w:spacing w:after="0"/>
              <w:rPr>
                <w:sz w:val="14"/>
                <w:szCs w:val="14"/>
                <w:color w:val="auto"/>
              </w:rPr>
            </w:pPr>
          </w:p>
        </w:tc>
        <w:tc>
          <w:tcPr>
            <w:tcW w:w="4020" w:type="dxa"/>
            <w:vAlign w:val="bottom"/>
            <w:tcBorders>
              <w:bottom w:val="single" w:sz="8" w:color="5D89B4"/>
            </w:tcBorders>
          </w:tcPr>
          <w:p>
            <w:pPr>
              <w:spacing w:after="0"/>
              <w:rPr>
                <w:sz w:val="14"/>
                <w:szCs w:val="14"/>
                <w:color w:val="auto"/>
              </w:rPr>
            </w:pPr>
          </w:p>
        </w:tc>
        <w:tc>
          <w:tcPr>
            <w:tcW w:w="1100" w:type="dxa"/>
            <w:vAlign w:val="bottom"/>
            <w:tcBorders>
              <w:bottom w:val="single" w:sz="8" w:color="5D89B4"/>
            </w:tcBorders>
          </w:tcPr>
          <w:p>
            <w:pPr>
              <w:spacing w:after="0"/>
              <w:rPr>
                <w:sz w:val="14"/>
                <w:szCs w:val="14"/>
                <w:color w:val="auto"/>
              </w:rPr>
            </w:pPr>
          </w:p>
        </w:tc>
      </w:tr>
      <w:tr>
        <w:trPr>
          <w:trHeight w:val="154"/>
        </w:trPr>
        <w:tc>
          <w:tcPr>
            <w:tcW w:w="5800" w:type="dxa"/>
            <w:vAlign w:val="bottom"/>
            <w:tcBorders>
              <w:bottom w:val="single" w:sz="8" w:color="5D89B4"/>
            </w:tcBorders>
          </w:tcPr>
          <w:p>
            <w:pPr>
              <w:spacing w:after="0"/>
              <w:rPr>
                <w:sz w:val="13"/>
                <w:szCs w:val="13"/>
                <w:color w:val="auto"/>
              </w:rPr>
            </w:pPr>
          </w:p>
        </w:tc>
        <w:tc>
          <w:tcPr>
            <w:tcW w:w="4020" w:type="dxa"/>
            <w:vAlign w:val="bottom"/>
            <w:tcBorders>
              <w:bottom w:val="single" w:sz="8" w:color="5D89B4"/>
            </w:tcBorders>
          </w:tcPr>
          <w:p>
            <w:pPr>
              <w:spacing w:after="0"/>
              <w:rPr>
                <w:sz w:val="13"/>
                <w:szCs w:val="13"/>
                <w:color w:val="auto"/>
              </w:rPr>
            </w:pPr>
          </w:p>
        </w:tc>
        <w:tc>
          <w:tcPr>
            <w:tcW w:w="1100" w:type="dxa"/>
            <w:vAlign w:val="bottom"/>
            <w:tcBorders>
              <w:bottom w:val="single" w:sz="8" w:color="5D89B4"/>
            </w:tcBorders>
          </w:tcPr>
          <w:p>
            <w:pPr>
              <w:spacing w:after="0"/>
              <w:rPr>
                <w:sz w:val="13"/>
                <w:szCs w:val="13"/>
                <w:color w:val="auto"/>
              </w:rPr>
            </w:pPr>
          </w:p>
        </w:tc>
      </w:tr>
      <w:tr>
        <w:trPr>
          <w:trHeight w:val="386"/>
        </w:trPr>
        <w:tc>
          <w:tcPr>
            <w:tcW w:w="5800" w:type="dxa"/>
            <w:vAlign w:val="bottom"/>
          </w:tcPr>
          <w:p>
            <w:pPr>
              <w:ind w:left="5360"/>
              <w:spacing w:after="0"/>
              <w:rPr>
                <w:sz w:val="20"/>
                <w:szCs w:val="20"/>
                <w:color w:val="auto"/>
              </w:rPr>
            </w:pPr>
            <w:r>
              <w:rPr>
                <w:rFonts w:ascii="Arial" w:cs="Arial" w:eastAsia="Arial" w:hAnsi="Arial"/>
                <w:sz w:val="20"/>
                <w:szCs w:val="20"/>
                <w:b w:val="1"/>
                <w:bCs w:val="1"/>
                <w:color w:val="5D89B4"/>
              </w:rPr>
              <w:t>22</w:t>
            </w:r>
          </w:p>
        </w:tc>
        <w:tc>
          <w:tcPr>
            <w:tcW w:w="4020" w:type="dxa"/>
            <w:vAlign w:val="bottom"/>
          </w:tcPr>
          <w:p>
            <w:pPr>
              <w:ind w:left="220"/>
              <w:spacing w:after="0"/>
              <w:rPr>
                <w:sz w:val="20"/>
                <w:szCs w:val="20"/>
                <w:color w:val="auto"/>
              </w:rPr>
            </w:pPr>
            <w:r>
              <w:rPr>
                <w:rFonts w:ascii="Arial" w:cs="Arial" w:eastAsia="Arial" w:hAnsi="Arial"/>
                <w:sz w:val="16"/>
                <w:szCs w:val="16"/>
                <w:b w:val="1"/>
                <w:bCs w:val="1"/>
                <w:color w:val="BFBFBF"/>
              </w:rPr>
              <w:t>2021 Proxy Statement</w:t>
            </w: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COMPENSATION DISCUSSION AND ANALYSIS</w:t>
            </w:r>
          </w:p>
        </w:tc>
      </w:tr>
      <w:tr>
        <w:trPr>
          <w:trHeight w:val="334"/>
        </w:trPr>
        <w:tc>
          <w:tcPr>
            <w:tcW w:w="5800" w:type="dxa"/>
            <w:vAlign w:val="bottom"/>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Other Benefits</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Severance Agreements</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44</w:t>
            </w:r>
          </w:p>
        </w:tc>
      </w:tr>
      <w:tr>
        <w:trPr>
          <w:trHeight w:val="179"/>
        </w:trPr>
        <w:tc>
          <w:tcPr>
            <w:tcW w:w="5800" w:type="dxa"/>
            <w:vAlign w:val="bottom"/>
            <w:tcBorders>
              <w:bottom w:val="single" w:sz="8" w:color="5D89B4"/>
            </w:tcBorders>
          </w:tcPr>
          <w:p>
            <w:pPr>
              <w:spacing w:after="0"/>
              <w:rPr>
                <w:sz w:val="15"/>
                <w:szCs w:val="15"/>
                <w:color w:val="auto"/>
              </w:rPr>
            </w:pPr>
          </w:p>
        </w:tc>
        <w:tc>
          <w:tcPr>
            <w:tcW w:w="5120" w:type="dxa"/>
            <w:vAlign w:val="bottom"/>
            <w:tcBorders>
              <w:bottom w:val="single" w:sz="8" w:color="5D89B4"/>
            </w:tcBorders>
          </w:tcPr>
          <w:p>
            <w:pPr>
              <w:spacing w:after="0"/>
              <w:rPr>
                <w:sz w:val="15"/>
                <w:szCs w:val="15"/>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Governance Features of Our Executive Compensation Programs</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223"/>
        </w:trPr>
        <w:tc>
          <w:tcPr>
            <w:tcW w:w="5800" w:type="dxa"/>
            <w:vAlign w:val="bottom"/>
          </w:tcPr>
          <w:p>
            <w:pPr>
              <w:ind w:left="22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We Have Stock Ownership Guidelines for Executive Officers</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44</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We Have a Clawback Policy</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r>
      <w:tr>
        <w:trPr>
          <w:trHeight w:val="241"/>
        </w:trPr>
        <w:tc>
          <w:tcPr>
            <w:tcW w:w="5800" w:type="dxa"/>
            <w:vAlign w:val="bottom"/>
          </w:tcPr>
          <w:p>
            <w:pPr>
              <w:ind w:left="22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We Prohibit Hedging, Pledging and Short-Sale Transactions</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r>
      <w:tr>
        <w:trPr>
          <w:trHeight w:val="179"/>
        </w:trPr>
        <w:tc>
          <w:tcPr>
            <w:tcW w:w="5800" w:type="dxa"/>
            <w:vAlign w:val="bottom"/>
            <w:tcBorders>
              <w:bottom w:val="single" w:sz="8" w:color="5D89B4"/>
            </w:tcBorders>
          </w:tcPr>
          <w:p>
            <w:pPr>
              <w:spacing w:after="0"/>
              <w:rPr>
                <w:sz w:val="15"/>
                <w:szCs w:val="15"/>
                <w:color w:val="auto"/>
              </w:rPr>
            </w:pPr>
          </w:p>
        </w:tc>
        <w:tc>
          <w:tcPr>
            <w:tcW w:w="5120" w:type="dxa"/>
            <w:vAlign w:val="bottom"/>
            <w:tcBorders>
              <w:bottom w:val="single" w:sz="8" w:color="5D89B4"/>
            </w:tcBorders>
          </w:tcPr>
          <w:p>
            <w:pPr>
              <w:spacing w:after="0"/>
              <w:rPr>
                <w:sz w:val="15"/>
                <w:szCs w:val="15"/>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Realizable Pay in 2020</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223"/>
        </w:trPr>
        <w:tc>
          <w:tcPr>
            <w:tcW w:w="5800" w:type="dxa"/>
            <w:vAlign w:val="bottom"/>
          </w:tcPr>
          <w:p>
            <w:pPr>
              <w:ind w:left="22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Supplemental Table of CEO Realizable Compensation</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r>
      <w:tr>
        <w:trPr>
          <w:trHeight w:val="179"/>
        </w:trPr>
        <w:tc>
          <w:tcPr>
            <w:tcW w:w="5800" w:type="dxa"/>
            <w:vAlign w:val="bottom"/>
            <w:tcBorders>
              <w:bottom w:val="single" w:sz="8" w:color="5D89B4"/>
            </w:tcBorders>
          </w:tcPr>
          <w:p>
            <w:pPr>
              <w:spacing w:after="0"/>
              <w:rPr>
                <w:sz w:val="15"/>
                <w:szCs w:val="15"/>
                <w:color w:val="auto"/>
              </w:rPr>
            </w:pPr>
          </w:p>
        </w:tc>
        <w:tc>
          <w:tcPr>
            <w:tcW w:w="5120" w:type="dxa"/>
            <w:vAlign w:val="bottom"/>
            <w:tcBorders>
              <w:bottom w:val="single" w:sz="8" w:color="5D89B4"/>
            </w:tcBorders>
          </w:tcPr>
          <w:p>
            <w:pPr>
              <w:spacing w:after="0"/>
              <w:rPr>
                <w:sz w:val="15"/>
                <w:szCs w:val="15"/>
                <w:color w:val="auto"/>
              </w:rPr>
            </w:pPr>
          </w:p>
        </w:tc>
      </w:tr>
      <w:tr>
        <w:trPr>
          <w:trHeight w:val="207"/>
        </w:trPr>
        <w:tc>
          <w:tcPr>
            <w:tcW w:w="5800" w:type="dxa"/>
            <w:vAlign w:val="bottom"/>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Other Material Tax Implications of the Executive Compensation Program</w:t>
              </w:r>
            </w:hyperlink>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46</w:t>
            </w:r>
          </w:p>
        </w:tc>
      </w:tr>
      <w:tr>
        <w:trPr>
          <w:trHeight w:val="161"/>
        </w:trPr>
        <w:tc>
          <w:tcPr>
            <w:tcW w:w="5800" w:type="dxa"/>
            <w:vAlign w:val="bottom"/>
            <w:tcBorders>
              <w:bottom w:val="single" w:sz="8" w:color="5D89B4"/>
            </w:tcBorders>
          </w:tcPr>
          <w:p>
            <w:pPr>
              <w:spacing w:after="0"/>
              <w:rPr>
                <w:sz w:val="14"/>
                <w:szCs w:val="14"/>
                <w:color w:val="auto"/>
              </w:rPr>
            </w:pPr>
          </w:p>
        </w:tc>
        <w:tc>
          <w:tcPr>
            <w:tcW w:w="5120" w:type="dxa"/>
            <w:vAlign w:val="bottom"/>
            <w:tcBorders>
              <w:bottom w:val="single" w:sz="8" w:color="5D89B4"/>
            </w:tcBorders>
          </w:tcPr>
          <w:p>
            <w:pPr>
              <w:spacing w:after="0"/>
              <w:rPr>
                <w:sz w:val="14"/>
                <w:szCs w:val="14"/>
                <w:color w:val="auto"/>
              </w:rPr>
            </w:pPr>
          </w:p>
        </w:tc>
      </w:tr>
      <w:tr>
        <w:trPr>
          <w:trHeight w:val="167"/>
        </w:trPr>
        <w:tc>
          <w:tcPr>
            <w:tcW w:w="5800" w:type="dxa"/>
            <w:vAlign w:val="bottom"/>
            <w:tcBorders>
              <w:bottom w:val="single" w:sz="8" w:color="5D89B4"/>
            </w:tcBorders>
          </w:tcPr>
          <w:p>
            <w:pPr>
              <w:spacing w:after="0"/>
              <w:rPr>
                <w:sz w:val="14"/>
                <w:szCs w:val="14"/>
                <w:color w:val="auto"/>
              </w:rPr>
            </w:pPr>
          </w:p>
        </w:tc>
        <w:tc>
          <w:tcPr>
            <w:tcW w:w="5120" w:type="dxa"/>
            <w:vAlign w:val="bottom"/>
            <w:tcBorders>
              <w:bottom w:val="single" w:sz="8" w:color="5D89B4"/>
            </w:tcBorders>
          </w:tcPr>
          <w:p>
            <w:pPr>
              <w:spacing w:after="0"/>
              <w:rPr>
                <w:sz w:val="14"/>
                <w:szCs w:val="14"/>
                <w:color w:val="auto"/>
              </w:rPr>
            </w:pPr>
          </w:p>
        </w:tc>
      </w:tr>
      <w:tr>
        <w:trPr>
          <w:trHeight w:val="372"/>
        </w:trPr>
        <w:tc>
          <w:tcPr>
            <w:tcW w:w="5800" w:type="dxa"/>
            <w:vAlign w:val="bottom"/>
          </w:tcPr>
          <w:p>
            <w:pPr>
              <w:ind w:left="5360"/>
              <w:spacing w:after="0"/>
              <w:rPr>
                <w:sz w:val="20"/>
                <w:szCs w:val="20"/>
                <w:color w:val="auto"/>
              </w:rPr>
            </w:pPr>
            <w:r>
              <w:rPr>
                <w:rFonts w:ascii="Arial" w:cs="Arial" w:eastAsia="Arial" w:hAnsi="Arial"/>
                <w:sz w:val="20"/>
                <w:szCs w:val="20"/>
                <w:b w:val="1"/>
                <w:bCs w:val="1"/>
                <w:color w:val="5D89B4"/>
              </w:rPr>
              <w:t>23</w:t>
            </w:r>
          </w:p>
        </w:tc>
        <w:tc>
          <w:tcPr>
            <w:tcW w:w="5120" w:type="dxa"/>
            <w:vAlign w:val="bottom"/>
          </w:tcPr>
          <w:p>
            <w:pPr>
              <w:jc w:val="right"/>
              <w:ind w:right="3160"/>
              <w:spacing w:after="0"/>
              <w:rPr>
                <w:sz w:val="20"/>
                <w:szCs w:val="20"/>
                <w:color w:val="auto"/>
              </w:rPr>
            </w:pPr>
            <w:r>
              <w:rPr>
                <w:rFonts w:ascii="Arial" w:cs="Arial" w:eastAsia="Arial" w:hAnsi="Arial"/>
                <w:sz w:val="16"/>
                <w:szCs w:val="16"/>
                <w:b w:val="1"/>
                <w:bCs w:val="1"/>
                <w:color w:val="BFBFBF"/>
              </w:rPr>
              <w:t>2021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Background</w:t>
      </w:r>
    </w:p>
    <w:p>
      <w:pPr>
        <w:spacing w:after="0" w:line="139"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 Mara Swan, our former Executive Vice President, Global Strategy and Talent, retired from the Company effective March 7,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83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4"/>
                <w:szCs w:val="14"/>
                <w:b w:val="1"/>
                <w:bCs w:val="1"/>
                <w:color w:val="5D89B4"/>
              </w:rPr>
              <w:t>TITLE</w:t>
            </w:r>
          </w:p>
        </w:tc>
      </w:tr>
      <w:tr>
        <w:trPr>
          <w:trHeight w:val="27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8300" w:type="dxa"/>
            <w:vAlign w:val="bottom"/>
          </w:tcPr>
          <w:p>
            <w:pPr>
              <w:ind w:left="120"/>
              <w:spacing w:after="0"/>
              <w:rPr>
                <w:sz w:val="20"/>
                <w:szCs w:val="20"/>
                <w:color w:val="auto"/>
              </w:rPr>
            </w:pPr>
            <w:r>
              <w:rPr>
                <w:rFonts w:ascii="Arial" w:cs="Arial" w:eastAsia="Arial" w:hAnsi="Arial"/>
                <w:sz w:val="15"/>
                <w:szCs w:val="15"/>
                <w:color w:val="auto"/>
              </w:rPr>
              <w:t>Chairman and Chief Executive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John T. McGinnis</w:t>
            </w:r>
          </w:p>
        </w:tc>
        <w:tc>
          <w:tcPr>
            <w:tcW w:w="8300" w:type="dxa"/>
            <w:vAlign w:val="bottom"/>
          </w:tcPr>
          <w:p>
            <w:pPr>
              <w:ind w:left="120"/>
              <w:spacing w:after="0"/>
              <w:rPr>
                <w:sz w:val="20"/>
                <w:szCs w:val="20"/>
                <w:color w:val="auto"/>
              </w:rPr>
            </w:pPr>
            <w:r>
              <w:rPr>
                <w:rFonts w:ascii="Arial" w:cs="Arial" w:eastAsia="Arial" w:hAnsi="Arial"/>
                <w:sz w:val="15"/>
                <w:szCs w:val="15"/>
                <w:color w:val="auto"/>
              </w:rPr>
              <w:t>Executive Vice President and Chief Financial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Michelle S. Nettles</w:t>
            </w:r>
          </w:p>
        </w:tc>
        <w:tc>
          <w:tcPr>
            <w:tcW w:w="8300" w:type="dxa"/>
            <w:vAlign w:val="bottom"/>
          </w:tcPr>
          <w:p>
            <w:pPr>
              <w:ind w:left="120"/>
              <w:spacing w:after="0"/>
              <w:rPr>
                <w:sz w:val="20"/>
                <w:szCs w:val="20"/>
                <w:color w:val="auto"/>
              </w:rPr>
            </w:pPr>
            <w:r>
              <w:rPr>
                <w:rFonts w:ascii="Arial" w:cs="Arial" w:eastAsia="Arial" w:hAnsi="Arial"/>
                <w:sz w:val="15"/>
                <w:szCs w:val="15"/>
                <w:color w:val="auto"/>
              </w:rPr>
              <w:t>Chief People and Culture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Richard Buchband</w:t>
            </w:r>
          </w:p>
        </w:tc>
        <w:tc>
          <w:tcPr>
            <w:tcW w:w="8300" w:type="dxa"/>
            <w:vAlign w:val="bottom"/>
          </w:tcPr>
          <w:p>
            <w:pPr>
              <w:ind w:left="120"/>
              <w:spacing w:after="0"/>
              <w:rPr>
                <w:sz w:val="20"/>
                <w:szCs w:val="20"/>
                <w:color w:val="auto"/>
              </w:rPr>
            </w:pPr>
            <w:r>
              <w:rPr>
                <w:rFonts w:ascii="Arial" w:cs="Arial" w:eastAsia="Arial" w:hAnsi="Arial"/>
                <w:sz w:val="15"/>
                <w:szCs w:val="15"/>
                <w:color w:val="auto"/>
              </w:rPr>
              <w:t>Senior Vice President, General Counsel and Secretary</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Mara E. Swan</w:t>
            </w:r>
          </w:p>
        </w:tc>
        <w:tc>
          <w:tcPr>
            <w:tcW w:w="8300" w:type="dxa"/>
            <w:vAlign w:val="bottom"/>
          </w:tcPr>
          <w:p>
            <w:pPr>
              <w:ind w:left="120"/>
              <w:spacing w:after="0"/>
              <w:rPr>
                <w:sz w:val="20"/>
                <w:szCs w:val="20"/>
                <w:color w:val="auto"/>
              </w:rPr>
            </w:pPr>
            <w:r>
              <w:rPr>
                <w:rFonts w:ascii="Arial" w:cs="Arial" w:eastAsia="Arial" w:hAnsi="Arial"/>
                <w:sz w:val="15"/>
                <w:szCs w:val="15"/>
                <w:color w:val="auto"/>
              </w:rPr>
              <w:t>Former Executive Vice President, Global Strategy and Talent</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6934200" cy="2942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34200" cy="2942590"/>
                    </a:xfrm>
                    <a:prstGeom prst="rect">
                      <a:avLst/>
                    </a:prstGeom>
                    <a:noFill/>
                  </pic:spPr>
                </pic:pic>
              </a:graphicData>
            </a:graphic>
          </wp:anchor>
        </w:drawing>
      </w:r>
    </w:p>
    <w:p>
      <w:pPr>
        <w:spacing w:after="0" w:line="372" w:lineRule="exact"/>
        <w:rPr>
          <w:sz w:val="20"/>
          <w:szCs w:val="20"/>
          <w:color w:val="auto"/>
        </w:rPr>
      </w:pPr>
    </w:p>
    <w:p>
      <w:pPr>
        <w:ind w:left="180"/>
        <w:spacing w:after="0"/>
        <w:rPr>
          <w:sz w:val="20"/>
          <w:szCs w:val="20"/>
          <w:color w:val="auto"/>
        </w:rPr>
      </w:pPr>
      <w:r>
        <w:rPr>
          <w:rFonts w:ascii="Arial" w:cs="Arial" w:eastAsia="Arial" w:hAnsi="Arial"/>
          <w:sz w:val="32"/>
          <w:szCs w:val="32"/>
          <w:b w:val="1"/>
          <w:bCs w:val="1"/>
          <w:color w:val="5D89B4"/>
        </w:rPr>
        <w:t>Executive Summary</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The Impact of COVID-19 On Our Business and Executive Compensation</w:t>
      </w:r>
    </w:p>
    <w:p>
      <w:pPr>
        <w:spacing w:after="0" w:line="77" w:lineRule="exact"/>
        <w:rPr>
          <w:sz w:val="20"/>
          <w:szCs w:val="20"/>
          <w:color w:val="auto"/>
        </w:rPr>
      </w:pPr>
    </w:p>
    <w:p>
      <w:pPr>
        <w:ind w:left="180" w:right="240"/>
        <w:spacing w:after="0" w:line="228" w:lineRule="auto"/>
        <w:rPr>
          <w:sz w:val="20"/>
          <w:szCs w:val="20"/>
          <w:color w:val="auto"/>
        </w:rPr>
      </w:pPr>
      <w:r>
        <w:rPr>
          <w:rFonts w:ascii="Arial" w:cs="Arial" w:eastAsia="Arial" w:hAnsi="Arial"/>
          <w:sz w:val="15"/>
          <w:szCs w:val="15"/>
          <w:color w:val="auto"/>
        </w:rPr>
        <w:t>Our executive compensation programs are designed to incentivize and reward performance. In a typical year, we are focused largely on maintaining pricing discipline and strong cost management, and on pursuing our strategic plans and the operational efficiency of our business. But 2020 was not a typical year. As a global enterprise, with the majority of our revenues based in Europe, we experienced significant disruption as many of our key countries, including France and Italy, were impacted by COVID-19, with government-mandated lockdowns and restrictions beginning in the spring of 2020. The disruption quickly expanded as the pandemic affected our operations worldwide. Our focus pivoted immediately to ensuring the health and safety of our people, protecting the viability of our enterprise, and helping clients and governments navigate a period of unprecedented economic uncertainty and political and cultural unrest.</w:t>
      </w:r>
    </w:p>
    <w:p>
      <w:pPr>
        <w:spacing w:after="0" w:line="127" w:lineRule="exact"/>
        <w:rPr>
          <w:sz w:val="20"/>
          <w:szCs w:val="20"/>
          <w:color w:val="auto"/>
        </w:rPr>
      </w:pPr>
    </w:p>
    <w:p>
      <w:pPr>
        <w:ind w:left="180" w:right="440"/>
        <w:spacing w:after="0" w:line="229" w:lineRule="auto"/>
        <w:rPr>
          <w:sz w:val="20"/>
          <w:szCs w:val="20"/>
          <w:color w:val="auto"/>
        </w:rPr>
      </w:pPr>
      <w:r>
        <w:rPr>
          <w:rFonts w:ascii="Arial" w:cs="Arial" w:eastAsia="Arial" w:hAnsi="Arial"/>
          <w:sz w:val="15"/>
          <w:szCs w:val="15"/>
          <w:color w:val="auto"/>
        </w:rPr>
        <w:t>Our executive team was able to deliver more than $18 billion in revenue, with positive operating profit and EPS, and strong cash flow that enabled the company to maintain and then increase its semi-annual dividend payments in 2020. The team demonstrated their operational, financial and human capital leadership with a swift transition to a remote work environment, the execution of significant expense reductions to mitigate gross profit declines, and the bolstering of cash management and collections capabilities to preserve liquidity. We also continued to pursue key strategic initiatives, including critical technology implementations and cost transformation initiatives.</w:t>
      </w:r>
    </w:p>
    <w:p>
      <w:pPr>
        <w:spacing w:after="0" w:line="113" w:lineRule="exact"/>
        <w:rPr>
          <w:sz w:val="20"/>
          <w:szCs w:val="20"/>
          <w:color w:val="auto"/>
        </w:rPr>
      </w:pPr>
    </w:p>
    <w:p>
      <w:pPr>
        <w:ind w:left="180" w:right="260"/>
        <w:spacing w:after="0" w:line="230" w:lineRule="auto"/>
        <w:rPr>
          <w:sz w:val="20"/>
          <w:szCs w:val="20"/>
          <w:color w:val="auto"/>
        </w:rPr>
      </w:pPr>
      <w:r>
        <w:rPr>
          <w:rFonts w:ascii="Arial" w:cs="Arial" w:eastAsia="Arial" w:hAnsi="Arial"/>
          <w:sz w:val="15"/>
          <w:szCs w:val="15"/>
          <w:color w:val="auto"/>
        </w:rPr>
        <w:t>During this time, we have remained committed to pay for performance. We did not modify the financial metrics in our annual incentive program even though the onset of COVID-19 occurred just weeks after the Executive Compensation and Human Resources Committee (the “Committee”) completed 2020 goal-setting, such that the metrics were immediately obsolete. Similarly, the three-year performance cycles under our long-term incentive program were adversely impacted. This reduced considerably the realizable compensation for our executive team.</w:t>
      </w:r>
    </w:p>
    <w:p>
      <w:pPr>
        <w:spacing w:after="0" w:line="128" w:lineRule="exact"/>
        <w:rPr>
          <w:sz w:val="20"/>
          <w:szCs w:val="20"/>
          <w:color w:val="auto"/>
        </w:rPr>
      </w:pPr>
    </w:p>
    <w:p>
      <w:pPr>
        <w:ind w:left="180" w:right="480"/>
        <w:spacing w:after="0" w:line="232" w:lineRule="auto"/>
        <w:rPr>
          <w:sz w:val="20"/>
          <w:szCs w:val="20"/>
          <w:color w:val="auto"/>
        </w:rPr>
      </w:pPr>
      <w:r>
        <w:rPr>
          <w:rFonts w:ascii="Arial" w:cs="Arial" w:eastAsia="Arial" w:hAnsi="Arial"/>
          <w:sz w:val="15"/>
          <w:szCs w:val="15"/>
          <w:color w:val="auto"/>
        </w:rPr>
        <w:t>Additionally, for portions of the second and third quarters, during the most acute period of economic uncertainty, our executive officers voluntarily reduced their base salaries in recognition of the hardship being experienced by others. Our Board of Directors took similar action, voluntarily reducing their cash compensation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69297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24</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104775</wp:posOffset>
            </wp:positionV>
            <wp:extent cx="6934200" cy="41484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34200" cy="4148455"/>
                    </a:xfrm>
                    <a:prstGeom prst="rect">
                      <a:avLst/>
                    </a:prstGeom>
                    <a:noFill/>
                  </pic:spPr>
                </pic:pic>
              </a:graphicData>
            </a:graphic>
          </wp:anchor>
        </w:drawing>
      </w:r>
    </w:p>
    <w:p>
      <w:pPr>
        <w:spacing w:after="0" w:line="387" w:lineRule="exact"/>
        <w:rPr>
          <w:sz w:val="20"/>
          <w:szCs w:val="20"/>
          <w:color w:val="auto"/>
        </w:rPr>
      </w:pPr>
    </w:p>
    <w:p>
      <w:pPr>
        <w:jc w:val="center"/>
        <w:ind w:right="295"/>
        <w:spacing w:after="0"/>
        <w:rPr>
          <w:sz w:val="20"/>
          <w:szCs w:val="20"/>
          <w:color w:val="auto"/>
        </w:rPr>
      </w:pPr>
      <w:r>
        <w:rPr>
          <w:rFonts w:ascii="Arial" w:cs="Arial" w:eastAsia="Arial" w:hAnsi="Arial"/>
          <w:sz w:val="25"/>
          <w:szCs w:val="25"/>
          <w:b w:val="1"/>
          <w:bCs w:val="1"/>
          <w:color w:val="5D89B4"/>
        </w:rPr>
        <w:t>Annual Incentive Payouts for 2020</w:t>
      </w:r>
    </w:p>
    <w:p>
      <w:pPr>
        <w:spacing w:after="0" w:line="157" w:lineRule="exact"/>
        <w:rPr>
          <w:sz w:val="20"/>
          <w:szCs w:val="20"/>
          <w:color w:val="auto"/>
        </w:rPr>
      </w:pPr>
    </w:p>
    <w:p>
      <w:pPr>
        <w:ind w:left="685"/>
        <w:spacing w:after="0"/>
        <w:rPr>
          <w:sz w:val="20"/>
          <w:szCs w:val="20"/>
          <w:color w:val="auto"/>
        </w:rPr>
      </w:pPr>
      <w:r>
        <w:rPr>
          <w:rFonts w:ascii="Arial" w:cs="Arial" w:eastAsia="Arial" w:hAnsi="Arial"/>
          <w:sz w:val="16"/>
          <w:szCs w:val="16"/>
          <w:color w:val="5D89B4"/>
        </w:rPr>
        <w:t>Consistent with prior years, the Committee set key financial performance metrics in mid-February 2020, as summarized below.</w:t>
      </w:r>
    </w:p>
    <w:p>
      <w:pPr>
        <w:sectPr>
          <w:pgSz w:w="11900" w:h="16838" w:orient="portrait"/>
          <w:cols w:equalWidth="0" w:num="1">
            <w:col w:w="10625"/>
          </w:cols>
          <w:pgMar w:left="775" w:top="1165" w:right="499" w:bottom="1440" w:gutter="0" w:footer="0" w:header="0"/>
        </w:sectPr>
      </w:pPr>
    </w:p>
    <w:p>
      <w:pPr>
        <w:spacing w:after="0" w:line="122" w:lineRule="exact"/>
        <w:rPr>
          <w:sz w:val="20"/>
          <w:szCs w:val="20"/>
          <w:color w:val="auto"/>
        </w:rPr>
      </w:pPr>
    </w:p>
    <w:p>
      <w:pPr>
        <w:ind w:left="185" w:hanging="185"/>
        <w:spacing w:after="0" w:line="249" w:lineRule="auto"/>
        <w:tabs>
          <w:tab w:leader="none" w:pos="157"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 xml:space="preserve">Earnings Per Share </w:t>
      </w:r>
      <w:r>
        <w:rPr>
          <w:rFonts w:ascii="Arial" w:cs="Arial" w:eastAsia="Arial" w:hAnsi="Arial"/>
          <w:sz w:val="14"/>
          <w:szCs w:val="14"/>
          <w:color w:val="auto"/>
        </w:rPr>
        <w:t>– Designed to focus</w:t>
      </w:r>
      <w:r>
        <w:rPr>
          <w:rFonts w:ascii="Arial" w:cs="Arial" w:eastAsia="Arial" w:hAnsi="Arial"/>
          <w:sz w:val="14"/>
          <w:szCs w:val="14"/>
          <w:b w:val="1"/>
          <w:bCs w:val="1"/>
          <w:color w:val="auto"/>
        </w:rPr>
        <w:t xml:space="preserve"> </w:t>
      </w:r>
      <w:r>
        <w:rPr>
          <w:rFonts w:ascii="Arial" w:cs="Arial" w:eastAsia="Arial" w:hAnsi="Arial"/>
          <w:sz w:val="14"/>
          <w:szCs w:val="14"/>
          <w:color w:val="auto"/>
        </w:rPr>
        <w:t>our executives on producing financial results that align with shareholder interest. We consider this metric a critical measure of executive performance.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69" w:hanging="169"/>
        <w:spacing w:after="0" w:line="247" w:lineRule="auto"/>
        <w:tabs>
          <w:tab w:leader="none" w:pos="140"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 xml:space="preserve">Return on Invested Capital (“ROIC”) </w:t>
      </w:r>
      <w:r>
        <w:rPr>
          <w:rFonts w:ascii="Arial" w:cs="Arial" w:eastAsia="Arial" w:hAnsi="Arial"/>
          <w:sz w:val="14"/>
          <w:szCs w:val="14"/>
          <w:color w:val="auto"/>
        </w:rPr>
        <w:t>– Even though we</w:t>
      </w:r>
      <w:r>
        <w:rPr>
          <w:rFonts w:ascii="Arial" w:cs="Arial" w:eastAsia="Arial" w:hAnsi="Arial"/>
          <w:sz w:val="14"/>
          <w:szCs w:val="14"/>
          <w:b w:val="1"/>
          <w:bCs w:val="1"/>
          <w:color w:val="auto"/>
        </w:rPr>
        <w:t xml:space="preserve"> </w:t>
      </w:r>
      <w:r>
        <w:rPr>
          <w:rFonts w:ascii="Arial" w:cs="Arial" w:eastAsia="Arial" w:hAnsi="Arial"/>
          <w:sz w:val="14"/>
          <w:szCs w:val="14"/>
          <w:color w:val="auto"/>
        </w:rPr>
        <w:t>operate in the services industry, our business is capital intensive. We must pay our associates and consultants before we typically bill and collect from our clients. ROIC measures how efficiently we are converting our services into cash.</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75" w:right="440" w:hanging="175"/>
        <w:spacing w:after="0" w:line="253" w:lineRule="auto"/>
        <w:tabs>
          <w:tab w:leader="none" w:pos="147"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auto"/>
        </w:rPr>
        <w:t xml:space="preserve">Revenue </w:t>
      </w:r>
      <w:r>
        <w:rPr>
          <w:rFonts w:ascii="Arial" w:cs="Arial" w:eastAsia="Arial" w:hAnsi="Arial"/>
          <w:sz w:val="14"/>
          <w:szCs w:val="14"/>
          <w:color w:val="auto"/>
        </w:rPr>
        <w:t>– We believe Revenue is a</w:t>
      </w:r>
      <w:r>
        <w:rPr>
          <w:rFonts w:ascii="Arial" w:cs="Arial" w:eastAsia="Arial" w:hAnsi="Arial"/>
          <w:sz w:val="14"/>
          <w:szCs w:val="14"/>
          <w:b w:val="1"/>
          <w:bCs w:val="1"/>
          <w:color w:val="auto"/>
        </w:rPr>
        <w:t xml:space="preserve"> </w:t>
      </w:r>
      <w:r>
        <w:rPr>
          <w:rFonts w:ascii="Arial" w:cs="Arial" w:eastAsia="Arial" w:hAnsi="Arial"/>
          <w:sz w:val="14"/>
          <w:szCs w:val="14"/>
          <w:color w:val="auto"/>
        </w:rPr>
        <w:t>key metric as it keeps executives focused on top-line growth, in addition to profitability.</w:t>
      </w:r>
    </w:p>
    <w:p>
      <w:pPr>
        <w:spacing w:after="0" w:line="494" w:lineRule="exact"/>
        <w:rPr>
          <w:sz w:val="20"/>
          <w:szCs w:val="20"/>
          <w:color w:val="auto"/>
        </w:rPr>
      </w:pPr>
    </w:p>
    <w:p>
      <w:pPr>
        <w:sectPr>
          <w:pgSz w:w="11900" w:h="16838" w:orient="portrait"/>
          <w:cols w:equalWidth="0" w:num="3">
            <w:col w:w="2845" w:space="431"/>
            <w:col w:w="3969" w:space="365"/>
            <w:col w:w="3015"/>
          </w:cols>
          <w:pgMar w:left="775" w:top="1165" w:right="499" w:bottom="1440" w:gutter="0" w:footer="0" w:header="0"/>
          <w:type w:val="continuous"/>
        </w:sectPr>
      </w:pPr>
    </w:p>
    <w:p>
      <w:pPr>
        <w:ind w:left="105"/>
        <w:spacing w:after="0"/>
        <w:rPr>
          <w:sz w:val="20"/>
          <w:szCs w:val="20"/>
          <w:color w:val="auto"/>
        </w:rPr>
      </w:pPr>
      <w:r>
        <w:rPr>
          <w:rFonts w:ascii="Arial" w:cs="Arial" w:eastAsia="Arial" w:hAnsi="Arial"/>
          <w:sz w:val="15"/>
          <w:szCs w:val="15"/>
          <w:color w:val="5D89B4"/>
        </w:rPr>
        <w:t>Additionally, the Committee set key performance indicators (KPIs) for executives based on individual operating objectives.</w:t>
      </w:r>
    </w:p>
    <w:p>
      <w:pPr>
        <w:spacing w:after="0" w:line="108" w:lineRule="exact"/>
        <w:rPr>
          <w:sz w:val="20"/>
          <w:szCs w:val="20"/>
          <w:color w:val="auto"/>
        </w:rPr>
      </w:pPr>
    </w:p>
    <w:p>
      <w:pPr>
        <w:jc w:val="both"/>
        <w:ind w:left="105" w:right="600"/>
        <w:spacing w:after="0" w:line="232" w:lineRule="auto"/>
        <w:rPr>
          <w:sz w:val="20"/>
          <w:szCs w:val="20"/>
          <w:color w:val="auto"/>
        </w:rPr>
      </w:pPr>
      <w:r>
        <w:rPr>
          <w:rFonts w:ascii="Arial" w:cs="Arial" w:eastAsia="Arial" w:hAnsi="Arial"/>
          <w:sz w:val="15"/>
          <w:szCs w:val="15"/>
          <w:color w:val="auto"/>
        </w:rPr>
        <w:t>Due to the global pandemic, we did not meet the financial metric threshold levels set by the Committee. As a result, the NEOs only received payouts related to the individual KPIs. These included, for the CEO, the Committee’s recognition of his leadership during the crises and the progress on key strategic and transformational objectives despite the pandemic.</w:t>
      </w:r>
    </w:p>
    <w:p>
      <w:pPr>
        <w:spacing w:after="0" w:line="200" w:lineRule="exact"/>
        <w:rPr>
          <w:sz w:val="20"/>
          <w:szCs w:val="20"/>
          <w:color w:val="auto"/>
        </w:rPr>
      </w:pPr>
    </w:p>
    <w:p>
      <w:pPr>
        <w:spacing w:after="0" w:line="291" w:lineRule="exact"/>
        <w:rPr>
          <w:sz w:val="20"/>
          <w:szCs w:val="20"/>
          <w:color w:val="auto"/>
        </w:rPr>
      </w:pPr>
    </w:p>
    <w:p>
      <w:pPr>
        <w:jc w:val="center"/>
        <w:ind w:right="275"/>
        <w:spacing w:after="0"/>
        <w:rPr>
          <w:sz w:val="20"/>
          <w:szCs w:val="20"/>
          <w:color w:val="auto"/>
        </w:rPr>
      </w:pPr>
      <w:r>
        <w:rPr>
          <w:rFonts w:ascii="Arial" w:cs="Arial" w:eastAsia="Arial" w:hAnsi="Arial"/>
          <w:sz w:val="25"/>
          <w:szCs w:val="25"/>
          <w:b w:val="1"/>
          <w:bCs w:val="1"/>
          <w:color w:val="5D89B4"/>
        </w:rPr>
        <w:t>Long-Term Incentive Payouts for 2020</w:t>
      </w:r>
    </w:p>
    <w:p>
      <w:pPr>
        <w:spacing w:after="0" w:line="157" w:lineRule="exact"/>
        <w:rPr>
          <w:sz w:val="20"/>
          <w:szCs w:val="20"/>
          <w:color w:val="auto"/>
        </w:rPr>
      </w:pPr>
    </w:p>
    <w:p>
      <w:pPr>
        <w:jc w:val="center"/>
        <w:ind w:left="840" w:right="100"/>
        <w:spacing w:after="0" w:line="256" w:lineRule="auto"/>
        <w:rPr>
          <w:sz w:val="20"/>
          <w:szCs w:val="20"/>
          <w:color w:val="auto"/>
        </w:rPr>
      </w:pPr>
      <w:r>
        <w:rPr>
          <w:rFonts w:ascii="Arial" w:cs="Arial" w:eastAsia="Arial" w:hAnsi="Arial"/>
          <w:sz w:val="16"/>
          <w:szCs w:val="16"/>
          <w:color w:val="5D89B4"/>
        </w:rPr>
        <w:t>The sudden impact of the pandemic also had a significant negative impact on our profit margins in 2020. This resulted in a sizeable decline in Operating Profit Margin Percent (“OPMP”) in 2020, significantly below the level of the prior two years.</w:t>
      </w:r>
    </w:p>
    <w:p>
      <w:pPr>
        <w:spacing w:after="0" w:line="87" w:lineRule="exact"/>
        <w:rPr>
          <w:sz w:val="20"/>
          <w:szCs w:val="20"/>
          <w:color w:val="auto"/>
        </w:rPr>
      </w:pPr>
    </w:p>
    <w:p>
      <w:pPr>
        <w:ind w:left="185" w:right="340" w:hanging="185"/>
        <w:spacing w:after="0" w:line="260" w:lineRule="auto"/>
        <w:tabs>
          <w:tab w:leader="none" w:pos="157"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 xml:space="preserve">Performance Share Units (“PSUs”) </w:t>
      </w:r>
      <w:r>
        <w:rPr>
          <w:rFonts w:ascii="Arial" w:cs="Arial" w:eastAsia="Arial" w:hAnsi="Arial"/>
          <w:sz w:val="14"/>
          <w:szCs w:val="14"/>
          <w:color w:val="auto"/>
        </w:rPr>
        <w:t>represent the largest component of performance pay for our NEOs. There, our key performance metric is OPMP which</w:t>
      </w:r>
      <w:r>
        <w:rPr>
          <w:rFonts w:ascii="Arial" w:cs="Arial" w:eastAsia="Arial" w:hAnsi="Arial"/>
          <w:sz w:val="14"/>
          <w:szCs w:val="14"/>
          <w:b w:val="1"/>
          <w:bCs w:val="1"/>
          <w:color w:val="auto"/>
        </w:rPr>
        <w:t xml:space="preserve"> </w:t>
      </w:r>
      <w:r>
        <w:rPr>
          <w:rFonts w:ascii="Arial" w:cs="Arial" w:eastAsia="Arial" w:hAnsi="Arial"/>
          <w:sz w:val="14"/>
          <w:szCs w:val="14"/>
          <w:color w:val="auto"/>
        </w:rPr>
        <w:t>measures how efficiently our executive officers have deployed our operating resources to generate a profit. We believe using this metric drives a long-term focus on achieving sustainable profits, and it is the cornerstone of our long-term incentive plan.</w:t>
      </w:r>
    </w:p>
    <w:p>
      <w:pPr>
        <w:spacing w:after="0" w:line="209" w:lineRule="exact"/>
        <w:rPr>
          <w:sz w:val="20"/>
          <w:szCs w:val="20"/>
          <w:color w:val="auto"/>
        </w:rPr>
      </w:pPr>
    </w:p>
    <w:p>
      <w:pPr>
        <w:ind w:left="105" w:right="840"/>
        <w:spacing w:after="0" w:line="237" w:lineRule="auto"/>
        <w:rPr>
          <w:sz w:val="20"/>
          <w:szCs w:val="20"/>
          <w:color w:val="auto"/>
        </w:rPr>
      </w:pPr>
      <w:r>
        <w:rPr>
          <w:rFonts w:ascii="Arial" w:cs="Arial" w:eastAsia="Arial" w:hAnsi="Arial"/>
          <w:sz w:val="15"/>
          <w:szCs w:val="15"/>
          <w:color w:val="auto"/>
        </w:rPr>
        <w:t>This level of OPMP performance in 2020 against the OPMP benchmarks set by the Committee brought down the payout percentage for the PSU awards for the 2018-2020 performance cycle to the threshold level.</w:t>
      </w:r>
    </w:p>
    <w:p>
      <w:pPr>
        <w:spacing w:after="0" w:line="221" w:lineRule="exact"/>
        <w:rPr>
          <w:sz w:val="20"/>
          <w:szCs w:val="20"/>
          <w:color w:val="auto"/>
        </w:rPr>
      </w:pPr>
    </w:p>
    <w:p>
      <w:pPr>
        <w:ind w:left="105"/>
        <w:spacing w:after="0"/>
        <w:rPr>
          <w:sz w:val="20"/>
          <w:szCs w:val="20"/>
          <w:color w:val="auto"/>
        </w:rPr>
      </w:pPr>
      <w:r>
        <w:rPr>
          <w:rFonts w:ascii="Arial" w:cs="Arial" w:eastAsia="Arial" w:hAnsi="Arial"/>
          <w:sz w:val="15"/>
          <w:szCs w:val="15"/>
          <w:color w:val="auto"/>
        </w:rPr>
        <w:t>The significant reduction in 2020 OPMP will also have an adverse impact on awards covering the 2019-2021 and 2020-2022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699135</wp:posOffset>
            </wp:positionV>
            <wp:extent cx="69297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65"/>
        <w:spacing w:after="0"/>
        <w:tabs>
          <w:tab w:leader="none" w:pos="5705" w:val="left"/>
        </w:tabs>
        <w:rPr>
          <w:sz w:val="20"/>
          <w:szCs w:val="20"/>
          <w:color w:val="auto"/>
        </w:rPr>
      </w:pPr>
      <w:r>
        <w:rPr>
          <w:rFonts w:ascii="Arial" w:cs="Arial" w:eastAsia="Arial" w:hAnsi="Arial"/>
          <w:sz w:val="20"/>
          <w:szCs w:val="20"/>
          <w:b w:val="1"/>
          <w:bCs w:val="1"/>
          <w:color w:val="5D89B4"/>
        </w:rPr>
        <w:t>25</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-117475</wp:posOffset>
            </wp:positionV>
            <wp:extent cx="934085" cy="169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625"/>
          </w:cols>
          <w:pgMar w:left="775" w:top="1165" w:right="4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934200" cy="65601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34200" cy="6560185"/>
                    </a:xfrm>
                    <a:prstGeom prst="rect">
                      <a:avLst/>
                    </a:prstGeom>
                    <a:noFill/>
                  </pic:spPr>
                </pic:pic>
              </a:graphicData>
            </a:graphic>
          </wp:anchor>
        </w:drawing>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Annual Incentive Plan Metrics</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PSU Performance Metric — Operating Profit Margin Percent</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(2018 - 2020 performance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average OPMP for the 2018-2020 performance</w:t>
      </w:r>
    </w:p>
    <w:p>
      <w:pPr>
        <w:jc w:val="center"/>
        <w:ind w:right="-219"/>
        <w:spacing w:after="0"/>
        <w:rPr>
          <w:sz w:val="20"/>
          <w:szCs w:val="20"/>
          <w:color w:val="auto"/>
        </w:rPr>
      </w:pPr>
      <w:r>
        <w:rPr>
          <w:rFonts w:ascii="Arial" w:cs="Arial" w:eastAsia="Arial" w:hAnsi="Arial"/>
          <w:sz w:val="18"/>
          <w:szCs w:val="18"/>
          <w:color w:val="auto"/>
        </w:rPr>
        <w:t>cycle was 3.10%, resulting in a payout percentage of 50% of target.</w:t>
      </w:r>
    </w:p>
    <w:p>
      <w:pPr>
        <w:spacing w:after="0" w:line="3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CEO Compensation was Significantly Adversely Impacted by COVID-19</w:t>
      </w:r>
    </w:p>
    <w:p>
      <w:pPr>
        <w:spacing w:after="0" w:line="77" w:lineRule="exact"/>
        <w:rPr>
          <w:sz w:val="20"/>
          <w:szCs w:val="20"/>
          <w:color w:val="auto"/>
        </w:rPr>
      </w:pPr>
    </w:p>
    <w:p>
      <w:pPr>
        <w:ind w:left="180"/>
        <w:spacing w:after="0" w:line="237" w:lineRule="auto"/>
        <w:rPr>
          <w:sz w:val="20"/>
          <w:szCs w:val="20"/>
          <w:color w:val="auto"/>
        </w:rPr>
      </w:pPr>
      <w:r>
        <w:rPr>
          <w:rFonts w:ascii="Arial" w:cs="Arial" w:eastAsia="Arial" w:hAnsi="Arial"/>
          <w:sz w:val="15"/>
          <w:szCs w:val="15"/>
          <w:color w:val="auto"/>
        </w:rPr>
        <w:t>We remain committed to performance-based compensation. Approximately 75% of Mr. Prising’s 2020 target compensation was tied to Company performance and 90% of his total pay was variable. The discussion below highlights each component of Mr. Prising’s compensation in 2020.</w:t>
      </w:r>
    </w:p>
    <w:p>
      <w:pPr>
        <w:spacing w:after="0" w:line="127" w:lineRule="exact"/>
        <w:rPr>
          <w:sz w:val="20"/>
          <w:szCs w:val="20"/>
          <w:color w:val="auto"/>
        </w:rPr>
      </w:pPr>
    </w:p>
    <w:p>
      <w:pPr>
        <w:ind w:left="180"/>
        <w:spacing w:after="0" w:line="232" w:lineRule="auto"/>
        <w:rPr>
          <w:sz w:val="20"/>
          <w:szCs w:val="20"/>
          <w:color w:val="auto"/>
        </w:rPr>
      </w:pPr>
      <w:r>
        <w:rPr>
          <w:rFonts w:ascii="Arial" w:cs="Arial" w:eastAsia="Arial" w:hAnsi="Arial"/>
          <w:sz w:val="15"/>
          <w:szCs w:val="15"/>
          <w:color w:val="5D89B4"/>
        </w:rPr>
        <w:t xml:space="preserve">Base Salary: </w:t>
      </w:r>
      <w:r>
        <w:rPr>
          <w:rFonts w:ascii="Arial" w:cs="Arial" w:eastAsia="Arial" w:hAnsi="Arial"/>
          <w:sz w:val="15"/>
          <w:szCs w:val="15"/>
          <w:color w:val="000000"/>
        </w:rPr>
        <w:t>The Committee determined Mr. Prising’s base salary for 2020 to be $1,250,000. However, in response to the COVID-19 pandemic, the</w:t>
      </w:r>
      <w:r>
        <w:rPr>
          <w:rFonts w:ascii="Arial" w:cs="Arial" w:eastAsia="Arial" w:hAnsi="Arial"/>
          <w:sz w:val="15"/>
          <w:szCs w:val="15"/>
          <w:color w:val="5D89B4"/>
        </w:rPr>
        <w:t xml:space="preserve"> </w:t>
      </w:r>
      <w:r>
        <w:rPr>
          <w:rFonts w:ascii="Arial" w:cs="Arial" w:eastAsia="Arial" w:hAnsi="Arial"/>
          <w:sz w:val="15"/>
          <w:szCs w:val="15"/>
          <w:color w:val="000000"/>
        </w:rPr>
        <w:t>Committee and Mr. Prising agreed to a temporary reduction of 30% in his base salary from April to August 2020. This reduction did not have an impact on the calculation of Mr. Prising’s annual incentive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69297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26</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20"/>
          </w:cols>
          <w:pgMar w:left="480" w:top="1165" w:right="69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104775</wp:posOffset>
            </wp:positionV>
            <wp:extent cx="6934200" cy="62122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34200" cy="6212205"/>
                    </a:xfrm>
                    <a:prstGeom prst="rect">
                      <a:avLst/>
                    </a:prstGeom>
                    <a:noFill/>
                  </pic:spPr>
                </pic:pic>
              </a:graphicData>
            </a:graphic>
          </wp:anchor>
        </w:drawing>
      </w:r>
    </w:p>
    <w:p>
      <w:pPr>
        <w:spacing w:after="0" w:line="332" w:lineRule="exact"/>
        <w:rPr>
          <w:sz w:val="20"/>
          <w:szCs w:val="20"/>
          <w:color w:val="auto"/>
        </w:rPr>
      </w:pPr>
    </w:p>
    <w:p>
      <w:pPr>
        <w:jc w:val="both"/>
        <w:ind w:right="260"/>
        <w:spacing w:after="0" w:line="232" w:lineRule="auto"/>
        <w:rPr>
          <w:sz w:val="20"/>
          <w:szCs w:val="20"/>
          <w:color w:val="auto"/>
        </w:rPr>
      </w:pPr>
      <w:r>
        <w:rPr>
          <w:rFonts w:ascii="Arial" w:cs="Arial" w:eastAsia="Arial" w:hAnsi="Arial"/>
          <w:sz w:val="15"/>
          <w:szCs w:val="15"/>
          <w:color w:val="5D89B4"/>
        </w:rPr>
        <w:t xml:space="preserve">Annual Cash Incentive: Payout was Approximately 38.0% of Target. </w:t>
      </w:r>
      <w:r>
        <w:rPr>
          <w:rFonts w:ascii="Arial" w:cs="Arial" w:eastAsia="Arial" w:hAnsi="Arial"/>
          <w:sz w:val="15"/>
          <w:szCs w:val="15"/>
          <w:color w:val="000000"/>
        </w:rPr>
        <w:t>All of the financial metrics set by the Committee for the 2020 annual incentive fell below</w:t>
      </w:r>
      <w:r>
        <w:rPr>
          <w:rFonts w:ascii="Arial" w:cs="Arial" w:eastAsia="Arial" w:hAnsi="Arial"/>
          <w:sz w:val="15"/>
          <w:szCs w:val="15"/>
          <w:color w:val="5D89B4"/>
        </w:rPr>
        <w:t xml:space="preserve"> </w:t>
      </w:r>
      <w:r>
        <w:rPr>
          <w:rFonts w:ascii="Arial" w:cs="Arial" w:eastAsia="Arial" w:hAnsi="Arial"/>
          <w:sz w:val="15"/>
          <w:szCs w:val="15"/>
          <w:color w:val="000000"/>
        </w:rPr>
        <w:t>the threshold level. Therefore, the payout awarded by the Committee is based solely on Mr. Prising’s achievement of individual operating objectives as CEO, as shown under “Operating Objectives” below. This resulted in an annual cash incentive payout for Mr. Prising that was 38.0% of target.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shd w:val="clear" w:color="auto" w:fill="EAEAEA"/>
          </w:tcPr>
          <w:p>
            <w:pPr>
              <w:spacing w:after="0"/>
              <w:rPr>
                <w:sz w:val="18"/>
                <w:szCs w:val="18"/>
                <w:color w:val="auto"/>
              </w:rPr>
            </w:pPr>
          </w:p>
        </w:tc>
        <w:tc>
          <w:tcPr>
            <w:tcW w:w="1940" w:type="dxa"/>
            <w:vAlign w:val="bottom"/>
            <w:shd w:val="clear" w:color="auto" w:fill="EAEAEA"/>
          </w:tcPr>
          <w:p>
            <w:pPr>
              <w:jc w:val="right"/>
              <w:ind w:right="246"/>
              <w:spacing w:after="0"/>
              <w:rPr>
                <w:sz w:val="20"/>
                <w:szCs w:val="20"/>
                <w:color w:val="auto"/>
              </w:rPr>
            </w:pPr>
            <w:r>
              <w:rPr>
                <w:rFonts w:ascii="Arial" w:cs="Arial" w:eastAsia="Arial" w:hAnsi="Arial"/>
                <w:sz w:val="14"/>
                <w:szCs w:val="14"/>
                <w:b w:val="1"/>
                <w:bCs w:val="1"/>
                <w:color w:val="5D89B4"/>
              </w:rPr>
              <w:t>2020 ACTUAL</w:t>
            </w:r>
          </w:p>
        </w:tc>
        <w:tc>
          <w:tcPr>
            <w:tcW w:w="1620" w:type="dxa"/>
            <w:vAlign w:val="bottom"/>
            <w:shd w:val="clear" w:color="auto" w:fill="EAEAEA"/>
          </w:tcPr>
          <w:p>
            <w:pPr>
              <w:jc w:val="right"/>
              <w:ind w:right="226"/>
              <w:spacing w:after="0"/>
              <w:rPr>
                <w:sz w:val="20"/>
                <w:szCs w:val="20"/>
                <w:color w:val="auto"/>
              </w:rPr>
            </w:pPr>
            <w:r>
              <w:rPr>
                <w:rFonts w:ascii="Arial" w:cs="Arial" w:eastAsia="Arial" w:hAnsi="Arial"/>
                <w:sz w:val="14"/>
                <w:szCs w:val="14"/>
                <w:b w:val="1"/>
                <w:bCs w:val="1"/>
                <w:color w:val="5D89B4"/>
              </w:rPr>
              <w:t>% COMPARED</w:t>
            </w:r>
          </w:p>
        </w:tc>
      </w:tr>
      <w:tr>
        <w:trPr>
          <w:trHeight w:val="189"/>
        </w:trPr>
        <w:tc>
          <w:tcPr>
            <w:tcW w:w="7000" w:type="dxa"/>
            <w:vAlign w:val="bottom"/>
            <w:shd w:val="clear" w:color="auto" w:fill="EAEAEA"/>
          </w:tcPr>
          <w:p>
            <w:pPr>
              <w:spacing w:after="0"/>
              <w:rPr>
                <w:sz w:val="16"/>
                <w:szCs w:val="16"/>
                <w:color w:val="auto"/>
              </w:rPr>
            </w:pPr>
          </w:p>
        </w:tc>
        <w:tc>
          <w:tcPr>
            <w:tcW w:w="1940" w:type="dxa"/>
            <w:vAlign w:val="bottom"/>
            <w:shd w:val="clear" w:color="auto" w:fill="EAEAEA"/>
          </w:tcPr>
          <w:p>
            <w:pPr>
              <w:jc w:val="right"/>
              <w:ind w:right="246"/>
              <w:spacing w:after="0"/>
              <w:rPr>
                <w:sz w:val="20"/>
                <w:szCs w:val="20"/>
                <w:color w:val="auto"/>
              </w:rPr>
            </w:pPr>
            <w:r>
              <w:rPr>
                <w:rFonts w:ascii="Arial" w:cs="Arial" w:eastAsia="Arial" w:hAnsi="Arial"/>
                <w:sz w:val="14"/>
                <w:szCs w:val="14"/>
                <w:b w:val="1"/>
                <w:bCs w:val="1"/>
                <w:color w:val="5D89B4"/>
              </w:rPr>
              <w:t>PAYOUT $</w:t>
            </w:r>
          </w:p>
        </w:tc>
        <w:tc>
          <w:tcPr>
            <w:tcW w:w="1620" w:type="dxa"/>
            <w:vAlign w:val="bottom"/>
            <w:shd w:val="clear" w:color="auto" w:fill="EAEAEA"/>
          </w:tcPr>
          <w:p>
            <w:pPr>
              <w:jc w:val="right"/>
              <w:ind w:right="226"/>
              <w:spacing w:after="0"/>
              <w:rPr>
                <w:sz w:val="20"/>
                <w:szCs w:val="20"/>
                <w:color w:val="auto"/>
              </w:rPr>
            </w:pPr>
            <w:r>
              <w:rPr>
                <w:rFonts w:ascii="Arial" w:cs="Arial" w:eastAsia="Arial" w:hAnsi="Arial"/>
                <w:sz w:val="14"/>
                <w:szCs w:val="14"/>
                <w:b w:val="1"/>
                <w:bCs w:val="1"/>
                <w:color w:val="5D89B4"/>
              </w:rPr>
              <w:t>TO TARGET</w:t>
            </w:r>
          </w:p>
        </w:tc>
      </w:tr>
      <w:tr>
        <w:trPr>
          <w:trHeight w:val="65"/>
        </w:trPr>
        <w:tc>
          <w:tcPr>
            <w:tcW w:w="7000" w:type="dxa"/>
            <w:vAlign w:val="bottom"/>
            <w:shd w:val="clear" w:color="auto" w:fill="EAEAEA"/>
          </w:tcPr>
          <w:p>
            <w:pPr>
              <w:spacing w:after="0"/>
              <w:rPr>
                <w:sz w:val="5"/>
                <w:szCs w:val="5"/>
                <w:color w:val="auto"/>
              </w:rPr>
            </w:pPr>
          </w:p>
        </w:tc>
        <w:tc>
          <w:tcPr>
            <w:tcW w:w="1940" w:type="dxa"/>
            <w:vAlign w:val="bottom"/>
            <w:shd w:val="clear" w:color="auto" w:fill="EAEAEA"/>
          </w:tcPr>
          <w:p>
            <w:pPr>
              <w:spacing w:after="0"/>
              <w:rPr>
                <w:sz w:val="5"/>
                <w:szCs w:val="5"/>
                <w:color w:val="auto"/>
              </w:rPr>
            </w:pPr>
          </w:p>
        </w:tc>
        <w:tc>
          <w:tcPr>
            <w:tcW w:w="1620" w:type="dxa"/>
            <w:vAlign w:val="bottom"/>
            <w:shd w:val="clear" w:color="auto" w:fill="EAEAEA"/>
          </w:tcPr>
          <w:p>
            <w:pPr>
              <w:spacing w:after="0"/>
              <w:rPr>
                <w:sz w:val="5"/>
                <w:szCs w:val="5"/>
                <w:color w:val="auto"/>
              </w:rPr>
            </w:pPr>
          </w:p>
        </w:tc>
      </w:tr>
      <w:tr>
        <w:trPr>
          <w:trHeight w:val="245"/>
        </w:trPr>
        <w:tc>
          <w:tcPr>
            <w:tcW w:w="7000" w:type="dxa"/>
            <w:vAlign w:val="bottom"/>
          </w:tcPr>
          <w:p>
            <w:pPr>
              <w:ind w:left="80"/>
              <w:spacing w:after="0"/>
              <w:rPr>
                <w:sz w:val="20"/>
                <w:szCs w:val="20"/>
                <w:color w:val="auto"/>
              </w:rPr>
            </w:pPr>
            <w:r>
              <w:rPr>
                <w:rFonts w:ascii="Arial" w:cs="Arial" w:eastAsia="Arial" w:hAnsi="Arial"/>
                <w:sz w:val="14"/>
                <w:szCs w:val="14"/>
                <w:b w:val="1"/>
                <w:bCs w:val="1"/>
                <w:color w:val="auto"/>
              </w:rPr>
              <w:t>EPS Goal</w:t>
            </w:r>
          </w:p>
        </w:tc>
        <w:tc>
          <w:tcPr>
            <w:tcW w:w="194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26"/>
              <w:spacing w:after="0"/>
              <w:rPr>
                <w:sz w:val="20"/>
                <w:szCs w:val="20"/>
                <w:color w:val="auto"/>
              </w:rPr>
            </w:pPr>
            <w:r>
              <w:rPr>
                <w:rFonts w:ascii="Arial" w:cs="Arial" w:eastAsia="Arial" w:hAnsi="Arial"/>
                <w:sz w:val="15"/>
                <w:szCs w:val="15"/>
                <w:color w:val="auto"/>
              </w:rPr>
              <w:t>—</w:t>
            </w:r>
          </w:p>
        </w:tc>
      </w:tr>
      <w:tr>
        <w:trPr>
          <w:trHeight w:val="50"/>
        </w:trPr>
        <w:tc>
          <w:tcPr>
            <w:tcW w:w="700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7000" w:type="dxa"/>
            <w:vAlign w:val="bottom"/>
          </w:tcPr>
          <w:p>
            <w:pPr>
              <w:ind w:left="80"/>
              <w:spacing w:after="0"/>
              <w:rPr>
                <w:sz w:val="20"/>
                <w:szCs w:val="20"/>
                <w:color w:val="auto"/>
              </w:rPr>
            </w:pPr>
            <w:r>
              <w:rPr>
                <w:rFonts w:ascii="Arial" w:cs="Arial" w:eastAsia="Arial" w:hAnsi="Arial"/>
                <w:sz w:val="14"/>
                <w:szCs w:val="14"/>
                <w:b w:val="1"/>
                <w:bCs w:val="1"/>
                <w:color w:val="auto"/>
              </w:rPr>
              <w:t>ROIC Goal</w:t>
            </w:r>
          </w:p>
        </w:tc>
        <w:tc>
          <w:tcPr>
            <w:tcW w:w="194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26"/>
              <w:spacing w:after="0"/>
              <w:rPr>
                <w:sz w:val="20"/>
                <w:szCs w:val="20"/>
                <w:color w:val="auto"/>
              </w:rPr>
            </w:pPr>
            <w:r>
              <w:rPr>
                <w:rFonts w:ascii="Arial" w:cs="Arial" w:eastAsia="Arial" w:hAnsi="Arial"/>
                <w:sz w:val="15"/>
                <w:szCs w:val="15"/>
                <w:color w:val="auto"/>
              </w:rPr>
              <w:t>—</w:t>
            </w:r>
          </w:p>
        </w:tc>
      </w:tr>
      <w:tr>
        <w:trPr>
          <w:trHeight w:val="50"/>
        </w:trPr>
        <w:tc>
          <w:tcPr>
            <w:tcW w:w="700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7000" w:type="dxa"/>
            <w:vAlign w:val="bottom"/>
          </w:tcPr>
          <w:p>
            <w:pPr>
              <w:ind w:left="80"/>
              <w:spacing w:after="0"/>
              <w:rPr>
                <w:sz w:val="20"/>
                <w:szCs w:val="20"/>
                <w:color w:val="auto"/>
              </w:rPr>
            </w:pPr>
            <w:r>
              <w:rPr>
                <w:rFonts w:ascii="Arial" w:cs="Arial" w:eastAsia="Arial" w:hAnsi="Arial"/>
                <w:sz w:val="14"/>
                <w:szCs w:val="14"/>
                <w:b w:val="1"/>
                <w:bCs w:val="1"/>
                <w:color w:val="auto"/>
              </w:rPr>
              <w:t>Revenue Goal</w:t>
            </w:r>
          </w:p>
        </w:tc>
        <w:tc>
          <w:tcPr>
            <w:tcW w:w="194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26"/>
              <w:spacing w:after="0"/>
              <w:rPr>
                <w:sz w:val="20"/>
                <w:szCs w:val="20"/>
                <w:color w:val="auto"/>
              </w:rPr>
            </w:pPr>
            <w:r>
              <w:rPr>
                <w:rFonts w:ascii="Arial" w:cs="Arial" w:eastAsia="Arial" w:hAnsi="Arial"/>
                <w:sz w:val="15"/>
                <w:szCs w:val="15"/>
                <w:color w:val="auto"/>
              </w:rPr>
              <w:t>—</w:t>
            </w:r>
          </w:p>
        </w:tc>
      </w:tr>
      <w:tr>
        <w:trPr>
          <w:trHeight w:val="50"/>
        </w:trPr>
        <w:tc>
          <w:tcPr>
            <w:tcW w:w="700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7000" w:type="dxa"/>
            <w:vAlign w:val="bottom"/>
          </w:tcPr>
          <w:p>
            <w:pPr>
              <w:ind w:left="80"/>
              <w:spacing w:after="0"/>
              <w:rPr>
                <w:sz w:val="20"/>
                <w:szCs w:val="20"/>
                <w:color w:val="auto"/>
              </w:rPr>
            </w:pPr>
            <w:r>
              <w:rPr>
                <w:rFonts w:ascii="Arial" w:cs="Arial" w:eastAsia="Arial" w:hAnsi="Arial"/>
                <w:sz w:val="14"/>
                <w:szCs w:val="14"/>
                <w:b w:val="1"/>
                <w:bCs w:val="1"/>
                <w:color w:val="auto"/>
              </w:rPr>
              <w:t>Operating Objectives</w:t>
            </w:r>
          </w:p>
        </w:tc>
        <w:tc>
          <w:tcPr>
            <w:tcW w:w="1940" w:type="dxa"/>
            <w:vAlign w:val="bottom"/>
          </w:tcPr>
          <w:p>
            <w:pPr>
              <w:jc w:val="right"/>
              <w:ind w:right="246"/>
              <w:spacing w:after="0"/>
              <w:rPr>
                <w:sz w:val="20"/>
                <w:szCs w:val="20"/>
                <w:color w:val="auto"/>
              </w:rPr>
            </w:pPr>
            <w:r>
              <w:rPr>
                <w:rFonts w:ascii="Arial" w:cs="Arial" w:eastAsia="Arial" w:hAnsi="Arial"/>
                <w:sz w:val="15"/>
                <w:szCs w:val="15"/>
                <w:color w:val="auto"/>
              </w:rPr>
              <w:t>760,000</w:t>
            </w:r>
          </w:p>
        </w:tc>
        <w:tc>
          <w:tcPr>
            <w:tcW w:w="1620" w:type="dxa"/>
            <w:vAlign w:val="bottom"/>
          </w:tcPr>
          <w:p>
            <w:pPr>
              <w:jc w:val="right"/>
              <w:ind w:right="106"/>
              <w:spacing w:after="0"/>
              <w:rPr>
                <w:sz w:val="20"/>
                <w:szCs w:val="20"/>
                <w:color w:val="auto"/>
              </w:rPr>
            </w:pPr>
            <w:r>
              <w:rPr>
                <w:rFonts w:ascii="Arial" w:cs="Arial" w:eastAsia="Arial" w:hAnsi="Arial"/>
                <w:sz w:val="15"/>
                <w:szCs w:val="15"/>
                <w:color w:val="auto"/>
              </w:rPr>
              <w:t>190.0%</w:t>
            </w:r>
          </w:p>
        </w:tc>
      </w:tr>
      <w:tr>
        <w:trPr>
          <w:trHeight w:val="50"/>
        </w:trPr>
        <w:tc>
          <w:tcPr>
            <w:tcW w:w="700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700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940" w:type="dxa"/>
            <w:vAlign w:val="bottom"/>
          </w:tcPr>
          <w:p>
            <w:pPr>
              <w:jc w:val="right"/>
              <w:ind w:right="246"/>
              <w:spacing w:after="0"/>
              <w:rPr>
                <w:sz w:val="20"/>
                <w:szCs w:val="20"/>
                <w:color w:val="auto"/>
              </w:rPr>
            </w:pPr>
            <w:r>
              <w:rPr>
                <w:rFonts w:ascii="Arial" w:cs="Arial" w:eastAsia="Arial" w:hAnsi="Arial"/>
                <w:sz w:val="15"/>
                <w:szCs w:val="15"/>
                <w:color w:val="auto"/>
              </w:rPr>
              <w:t>760,000</w:t>
            </w:r>
          </w:p>
        </w:tc>
        <w:tc>
          <w:tcPr>
            <w:tcW w:w="1620" w:type="dxa"/>
            <w:vAlign w:val="bottom"/>
          </w:tcPr>
          <w:p>
            <w:pPr>
              <w:jc w:val="right"/>
              <w:ind w:right="106"/>
              <w:spacing w:after="0"/>
              <w:rPr>
                <w:sz w:val="20"/>
                <w:szCs w:val="20"/>
                <w:color w:val="auto"/>
              </w:rPr>
            </w:pPr>
            <w:r>
              <w:rPr>
                <w:rFonts w:ascii="Arial" w:cs="Arial" w:eastAsia="Arial" w:hAnsi="Arial"/>
                <w:sz w:val="15"/>
                <w:szCs w:val="15"/>
                <w:color w:val="auto"/>
              </w:rPr>
              <w:t>38.0%</w:t>
            </w:r>
          </w:p>
        </w:tc>
      </w:tr>
      <w:tr>
        <w:trPr>
          <w:trHeight w:val="50"/>
        </w:trPr>
        <w:tc>
          <w:tcPr>
            <w:tcW w:w="700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305"/>
        </w:trPr>
        <w:tc>
          <w:tcPr>
            <w:tcW w:w="7000" w:type="dxa"/>
            <w:vAlign w:val="bottom"/>
          </w:tcPr>
          <w:p>
            <w:pPr>
              <w:spacing w:after="0"/>
              <w:rPr>
                <w:sz w:val="20"/>
                <w:szCs w:val="20"/>
                <w:color w:val="auto"/>
              </w:rPr>
            </w:pPr>
            <w:r>
              <w:rPr>
                <w:rFonts w:ascii="Arial" w:cs="Arial" w:eastAsia="Arial" w:hAnsi="Arial"/>
                <w:sz w:val="15"/>
                <w:szCs w:val="15"/>
                <w:color w:val="5D89B4"/>
              </w:rPr>
              <w:t xml:space="preserve">Long-Term Equity Awards. </w:t>
            </w:r>
            <w:r>
              <w:rPr>
                <w:rFonts w:ascii="Arial" w:cs="Arial" w:eastAsia="Arial" w:hAnsi="Arial"/>
                <w:sz w:val="15"/>
                <w:szCs w:val="15"/>
                <w:color w:val="000000"/>
              </w:rPr>
              <w:t>In 2020, Mr. Prising received three types of long-term equity grants:</w:t>
            </w:r>
          </w:p>
        </w:tc>
        <w:tc>
          <w:tcPr>
            <w:tcW w:w="19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60" w:lineRule="exact"/>
        <w:rPr>
          <w:sz w:val="20"/>
          <w:szCs w:val="20"/>
          <w:color w:val="auto"/>
        </w:rPr>
      </w:pPr>
    </w:p>
    <w:p>
      <w:pPr>
        <w:ind w:left="200" w:hanging="196"/>
        <w:spacing w:after="0"/>
        <w:tabs>
          <w:tab w:leader="none" w:pos="2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Approximately 60% were PSUs, that can be earned over three years based on OPMP goals.</w:t>
      </w:r>
    </w:p>
    <w:p>
      <w:pPr>
        <w:spacing w:after="0" w:line="68" w:lineRule="exact"/>
        <w:rPr>
          <w:rFonts w:ascii="Arial" w:cs="Arial" w:eastAsia="Arial" w:hAnsi="Arial"/>
          <w:sz w:val="15"/>
          <w:szCs w:val="15"/>
          <w:color w:val="auto"/>
        </w:rPr>
      </w:pPr>
    </w:p>
    <w:p>
      <w:pPr>
        <w:ind w:left="200" w:hanging="196"/>
        <w:spacing w:after="0"/>
        <w:tabs>
          <w:tab w:leader="none" w:pos="2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Approximately 20% were stock options that vest over a four-year period.</w:t>
      </w:r>
    </w:p>
    <w:p>
      <w:pPr>
        <w:spacing w:after="0" w:line="68" w:lineRule="exact"/>
        <w:rPr>
          <w:rFonts w:ascii="Arial" w:cs="Arial" w:eastAsia="Arial" w:hAnsi="Arial"/>
          <w:sz w:val="15"/>
          <w:szCs w:val="15"/>
          <w:color w:val="auto"/>
        </w:rPr>
      </w:pPr>
    </w:p>
    <w:p>
      <w:pPr>
        <w:ind w:left="200" w:hanging="196"/>
        <w:spacing w:after="0"/>
        <w:tabs>
          <w:tab w:leader="none" w:pos="2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Approximately 20% were restricted stock units (“RSUs”) that cliff vest in full after three years.</w:t>
      </w:r>
    </w:p>
    <w:p>
      <w:pPr>
        <w:spacing w:after="0" w:line="309" w:lineRule="exact"/>
        <w:rPr>
          <w:sz w:val="20"/>
          <w:szCs w:val="20"/>
          <w:color w:val="auto"/>
        </w:rPr>
      </w:pPr>
    </w:p>
    <w:p>
      <w:pPr>
        <w:ind w:right="460"/>
        <w:spacing w:after="0" w:line="232" w:lineRule="auto"/>
        <w:rPr>
          <w:sz w:val="20"/>
          <w:szCs w:val="20"/>
          <w:color w:val="auto"/>
        </w:rPr>
      </w:pPr>
      <w:r>
        <w:rPr>
          <w:rFonts w:ascii="Arial" w:cs="Arial" w:eastAsia="Arial" w:hAnsi="Arial"/>
          <w:sz w:val="15"/>
          <w:szCs w:val="15"/>
          <w:color w:val="5D89B4"/>
        </w:rPr>
        <w:t xml:space="preserve">Realizable Pay. </w:t>
      </w:r>
      <w:r>
        <w:rPr>
          <w:rFonts w:ascii="Arial" w:cs="Arial" w:eastAsia="Arial" w:hAnsi="Arial"/>
          <w:sz w:val="15"/>
          <w:szCs w:val="15"/>
          <w:color w:val="000000"/>
        </w:rPr>
        <w:t>We calculate realizable pay for Mr. Prising to illustrate the impact of Company performance and stock price on compensation granted or</w:t>
      </w:r>
      <w:r>
        <w:rPr>
          <w:rFonts w:ascii="Arial" w:cs="Arial" w:eastAsia="Arial" w:hAnsi="Arial"/>
          <w:sz w:val="15"/>
          <w:szCs w:val="15"/>
          <w:color w:val="5D89B4"/>
        </w:rPr>
        <w:t xml:space="preserve"> </w:t>
      </w:r>
      <w:r>
        <w:rPr>
          <w:rFonts w:ascii="Arial" w:cs="Arial" w:eastAsia="Arial" w:hAnsi="Arial"/>
          <w:sz w:val="15"/>
          <w:szCs w:val="15"/>
          <w:color w:val="000000"/>
        </w:rPr>
        <w:t>awarded to him during the year. This is a technique to show the year-end value of the CEO’s compensation package, which is different from the Summary Compensation Table requirement.</w:t>
      </w:r>
    </w:p>
    <w:p>
      <w:pPr>
        <w:spacing w:after="0" w:line="128" w:lineRule="exact"/>
        <w:rPr>
          <w:sz w:val="20"/>
          <w:szCs w:val="20"/>
          <w:color w:val="auto"/>
        </w:rPr>
      </w:pPr>
    </w:p>
    <w:p>
      <w:pPr>
        <w:ind w:right="260"/>
        <w:spacing w:after="0" w:line="230" w:lineRule="auto"/>
        <w:rPr>
          <w:sz w:val="20"/>
          <w:szCs w:val="20"/>
          <w:color w:val="auto"/>
        </w:rPr>
      </w:pPr>
      <w:r>
        <w:rPr>
          <w:rFonts w:ascii="Arial" w:cs="Arial" w:eastAsia="Arial" w:hAnsi="Arial"/>
          <w:sz w:val="15"/>
          <w:szCs w:val="15"/>
          <w:color w:val="auto"/>
        </w:rPr>
        <w:t>The Company’s below-threshold financial performance due to COVID-19, coupled with the decline in the stock price during the year (from $97.10 to $90.18), resulted in Mr. Prising’s calculated realizable pay being $9.6 million for 2020. In this calculation, Mr. Prising’s grant of PSUs in 2020 is valued at target levels, even though target is now unlikely to be achieved. This compares to $11.9 million of total compensation shown in the Summary Compensation Table using SEC reporting methodology. It also reflects a 26% decrease from his realizable pay for 2019.</w:t>
      </w:r>
    </w:p>
    <w:p>
      <w:pPr>
        <w:spacing w:after="0" w:line="128" w:lineRule="exact"/>
        <w:rPr>
          <w:sz w:val="20"/>
          <w:szCs w:val="20"/>
          <w:color w:val="auto"/>
        </w:rPr>
      </w:pPr>
    </w:p>
    <w:p>
      <w:pPr>
        <w:ind w:right="240"/>
        <w:spacing w:after="0" w:line="230" w:lineRule="auto"/>
        <w:rPr>
          <w:sz w:val="20"/>
          <w:szCs w:val="20"/>
          <w:color w:val="auto"/>
        </w:rPr>
      </w:pPr>
      <w:r>
        <w:rPr>
          <w:rFonts w:ascii="Arial" w:cs="Arial" w:eastAsia="Arial" w:hAnsi="Arial"/>
          <w:sz w:val="15"/>
          <w:szCs w:val="15"/>
          <w:color w:val="auto"/>
        </w:rPr>
        <w:t>COVID-19 adversely impacted the value of the PSUs granted in 2020, which were premised on projections and goals set in February 2020, before the onset of the pandemic. Based on performance to date against those goals, the likely value of the 2020 PSU grants is $ 0. We have supplementally calculated Realizable Pay on this basis, showing no shares being earned. In this calculation, Mr. Prising’s realizable pay for 2020 is $3.8 million. See page 45 for further details.</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CEO Realizable Pay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2235200</wp:posOffset>
            </wp:positionV>
            <wp:extent cx="69297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180"/>
        <w:spacing w:after="0"/>
        <w:tabs>
          <w:tab w:leader="none" w:pos="5820" w:val="left"/>
        </w:tabs>
        <w:rPr>
          <w:sz w:val="20"/>
          <w:szCs w:val="20"/>
          <w:color w:val="auto"/>
        </w:rPr>
      </w:pPr>
      <w:r>
        <w:rPr>
          <w:rFonts w:ascii="Arial" w:cs="Arial" w:eastAsia="Arial" w:hAnsi="Arial"/>
          <w:sz w:val="20"/>
          <w:szCs w:val="20"/>
          <w:b w:val="1"/>
          <w:bCs w:val="1"/>
          <w:color w:val="5D89B4"/>
        </w:rPr>
        <w:t>27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-117475</wp:posOffset>
            </wp:positionV>
            <wp:extent cx="934085" cy="169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40"/>
          </w:cols>
          <w:pgMar w:left="660" w:top="1164" w:right="49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934200" cy="511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34200" cy="5116830"/>
                    </a:xfrm>
                    <a:prstGeom prst="rect">
                      <a:avLst/>
                    </a:prstGeom>
                    <a:noFill/>
                  </pic:spPr>
                </pic:pic>
              </a:graphicData>
            </a:graphic>
          </wp:anchor>
        </w:drawing>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Key Compensation and Governance Policies</w:t>
      </w:r>
    </w:p>
    <w:p>
      <w:pPr>
        <w:spacing w:after="0" w:line="224" w:lineRule="exact"/>
        <w:rPr>
          <w:sz w:val="20"/>
          <w:szCs w:val="20"/>
          <w:color w:val="auto"/>
        </w:rPr>
      </w:pPr>
    </w:p>
    <w:p>
      <w:pPr>
        <w:ind w:left="180"/>
        <w:spacing w:after="0" w:line="237" w:lineRule="auto"/>
        <w:rPr>
          <w:sz w:val="20"/>
          <w:szCs w:val="20"/>
          <w:color w:val="auto"/>
        </w:rPr>
      </w:pPr>
      <w:r>
        <w:rPr>
          <w:rFonts w:ascii="Arial" w:cs="Arial" w:eastAsia="Arial" w:hAnsi="Arial"/>
          <w:sz w:val="15"/>
          <w:szCs w:val="15"/>
          <w:color w:val="auto"/>
        </w:rPr>
        <w:t>The Committee continually reviews the Company’s executive compensation program to maintain compensation practices that are in the best interests of our shareholders. Some of our key policies are summarized below:</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32"/>
          <w:szCs w:val="32"/>
          <w:b w:val="1"/>
          <w:bCs w:val="1"/>
          <w:color w:val="5D89B4"/>
        </w:rPr>
        <w:t>What We Do</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tie executive pay to performance.</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set challenging performance objectives that align with company performance.</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appropriately balance short-term and long-term incentives.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have caps on the potential payouts under the PSU grants and our annual incentive program.</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use double triggers in our severance agreements and our equity awards.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maintain significant stock ownership guidelines for our NEOs.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have a clawback policy for our cash incentive and equity awards.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Committee engages an independent compensation consultant.</w:t>
      </w:r>
    </w:p>
    <w:p>
      <w:pPr>
        <w:spacing w:after="0" w:line="122" w:lineRule="exact"/>
        <w:rPr>
          <w:sz w:val="20"/>
          <w:szCs w:val="20"/>
          <w:color w:val="auto"/>
        </w:rPr>
      </w:pPr>
    </w:p>
    <w:p>
      <w:pPr>
        <w:ind w:left="920" w:right="500"/>
        <w:spacing w:after="0" w:line="237" w:lineRule="auto"/>
        <w:rPr>
          <w:sz w:val="20"/>
          <w:szCs w:val="20"/>
          <w:color w:val="auto"/>
        </w:rPr>
      </w:pPr>
      <w:r>
        <w:rPr>
          <w:rFonts w:ascii="Arial" w:cs="Arial" w:eastAsia="Arial" w:hAnsi="Arial"/>
          <w:sz w:val="15"/>
          <w:szCs w:val="15"/>
          <w:color w:val="auto"/>
        </w:rPr>
        <w:t>We use appropriate peer groups when establishing compensation which the Committee devotes considerable effort in re-evaluating on an annual basis.</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regularly reach out to leading shareholders and their advisory firms to discuss our governance and executive compensation.</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32"/>
          <w:szCs w:val="32"/>
          <w:b w:val="1"/>
          <w:bCs w:val="1"/>
          <w:color w:val="5D89B4"/>
        </w:rPr>
        <w:t>What We Don’t Do</w:t>
      </w:r>
    </w:p>
    <w:p>
      <w:pPr>
        <w:spacing w:after="0" w:line="173" w:lineRule="exact"/>
        <w:rPr>
          <w:sz w:val="20"/>
          <w:szCs w:val="20"/>
          <w:color w:val="auto"/>
        </w:rPr>
      </w:pPr>
    </w:p>
    <w:p>
      <w:pPr>
        <w:jc w:val="both"/>
        <w:ind w:left="920" w:right="620"/>
        <w:spacing w:after="0" w:line="230" w:lineRule="auto"/>
        <w:rPr>
          <w:sz w:val="20"/>
          <w:szCs w:val="20"/>
          <w:color w:val="auto"/>
        </w:rPr>
      </w:pPr>
      <w:r>
        <w:rPr>
          <w:rFonts w:ascii="Arial" w:cs="Arial" w:eastAsia="Arial" w:hAnsi="Arial"/>
          <w:sz w:val="15"/>
          <w:szCs w:val="15"/>
          <w:color w:val="auto"/>
        </w:rPr>
        <w:t>We do not use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business climate, with fluctuations in stock price that are often de-coupled from the fundamentals of our business.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provide tax gross up payments for any amounts considered excess parachute payments.</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pay dividends on PSUs and only pay dividend equivalents on RSUs if and when they vest.</w:t>
      </w:r>
    </w:p>
    <w:p>
      <w:pPr>
        <w:spacing w:after="0" w:line="95" w:lineRule="exact"/>
        <w:rPr>
          <w:sz w:val="20"/>
          <w:szCs w:val="20"/>
          <w:color w:val="auto"/>
        </w:rPr>
      </w:pPr>
    </w:p>
    <w:p>
      <w:pPr>
        <w:ind w:left="920" w:right="480"/>
        <w:spacing w:after="0" w:line="237" w:lineRule="auto"/>
        <w:rPr>
          <w:sz w:val="20"/>
          <w:szCs w:val="20"/>
          <w:color w:val="auto"/>
        </w:rPr>
      </w:pPr>
      <w:r>
        <w:rPr>
          <w:rFonts w:ascii="Arial" w:cs="Arial" w:eastAsia="Arial" w:hAnsi="Arial"/>
          <w:sz w:val="15"/>
          <w:szCs w:val="15"/>
          <w:color w:val="auto"/>
        </w:rPr>
        <w:t>We do not encourage undue risk taking in our compensation plans. By using varied financial metrics and setting caps on potential payouts the company mitigates undue risk taking.</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permit the repricing of stock options without prior shareholder approval, except in connection with a transaction.</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allow hedging or pledging of ManpowerGroup stock.</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provide excessive perquisites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69297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28</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620"/>
          </w:cols>
          <w:pgMar w:left="480" w:top="1165" w:right="79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ManpowerGroup Compensation Principles</w:t>
      </w:r>
    </w:p>
    <w:p>
      <w:pPr>
        <w:spacing w:after="0" w:line="139" w:lineRule="exact"/>
        <w:rPr>
          <w:sz w:val="20"/>
          <w:szCs w:val="20"/>
          <w:color w:val="auto"/>
        </w:rPr>
      </w:pPr>
    </w:p>
    <w:p>
      <w:pPr>
        <w:ind w:right="620"/>
        <w:spacing w:after="0" w:line="237" w:lineRule="auto"/>
        <w:rPr>
          <w:sz w:val="20"/>
          <w:szCs w:val="20"/>
          <w:color w:val="auto"/>
        </w:rPr>
      </w:pPr>
      <w:r>
        <w:rPr>
          <w:rFonts w:ascii="Arial" w:cs="Arial" w:eastAsia="Arial" w:hAnsi="Arial"/>
          <w:sz w:val="15"/>
          <w:szCs w:val="15"/>
          <w:color w:val="auto"/>
        </w:rPr>
        <w:t>Our Committee is guided by a series of principles, listed below. Within the framework of these principles, the Committee considers governance trends, the competitive market, corporate, business unit and individual results, and various individual factors.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ManpowerGroup’s executive compensation guiding principles are to:</w:t>
      </w:r>
    </w:p>
    <w:p>
      <w:pPr>
        <w:spacing w:after="0" w:line="50" w:lineRule="exact"/>
        <w:rPr>
          <w:sz w:val="20"/>
          <w:szCs w:val="20"/>
          <w:color w:val="auto"/>
        </w:rPr>
      </w:pPr>
    </w:p>
    <w:p>
      <w:pPr>
        <w:ind w:left="220" w:right="140" w:hanging="213"/>
        <w:spacing w:after="0" w:line="241"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Pay for results: </w:t>
      </w:r>
      <w:r>
        <w:rPr>
          <w:rFonts w:ascii="Arial" w:cs="Arial" w:eastAsia="Arial" w:hAnsi="Arial"/>
          <w:sz w:val="15"/>
          <w:szCs w:val="15"/>
          <w:color w:val="000000"/>
        </w:rPr>
        <w:t>We tie a significant portion of compensation to the achievement of Company and business unit goals as well as to recognize individual</w:t>
      </w:r>
      <w:r>
        <w:rPr>
          <w:rFonts w:ascii="Arial" w:cs="Arial" w:eastAsia="Arial" w:hAnsi="Arial"/>
          <w:sz w:val="15"/>
          <w:szCs w:val="15"/>
          <w:b w:val="1"/>
          <w:bCs w:val="1"/>
          <w:color w:val="5D89B4"/>
        </w:rPr>
        <w:t xml:space="preserve"> </w:t>
      </w:r>
      <w:r>
        <w:rPr>
          <w:rFonts w:ascii="Arial" w:cs="Arial" w:eastAsia="Arial" w:hAnsi="Arial"/>
          <w:sz w:val="15"/>
          <w:szCs w:val="15"/>
          <w:color w:val="000000"/>
        </w:rPr>
        <w:t>accomplishments that contribute to success. For example, in 2020, approximately 60% of the CEO’s and 57% of the CFO’s target compensation, respectively, was tied to short- and long-term financial performance goals.</w:t>
      </w:r>
    </w:p>
    <w:p>
      <w:pPr>
        <w:spacing w:after="0" w:line="42" w:lineRule="exact"/>
        <w:rPr>
          <w:rFonts w:ascii="Arial" w:cs="Arial" w:eastAsia="Arial" w:hAnsi="Arial"/>
          <w:sz w:val="15"/>
          <w:szCs w:val="15"/>
          <w:color w:val="auto"/>
        </w:rPr>
      </w:pPr>
    </w:p>
    <w:p>
      <w:pPr>
        <w:ind w:left="220" w:right="20" w:hanging="213"/>
        <w:spacing w:after="0" w:line="241"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Not pay for failure: </w:t>
      </w:r>
      <w:r>
        <w:rPr>
          <w:rFonts w:ascii="Arial" w:cs="Arial" w:eastAsia="Arial" w:hAnsi="Arial"/>
          <w:sz w:val="15"/>
          <w:szCs w:val="15"/>
          <w:color w:val="000000"/>
        </w:rPr>
        <w:t>We set threshold goals for each performance-based incentive element of our executive compensation program. The Committee believes</w:t>
      </w:r>
      <w:r>
        <w:rPr>
          <w:rFonts w:ascii="Arial" w:cs="Arial" w:eastAsia="Arial" w:hAnsi="Arial"/>
          <w:sz w:val="15"/>
          <w:szCs w:val="15"/>
          <w:b w:val="1"/>
          <w:bCs w:val="1"/>
          <w:color w:val="5D89B4"/>
        </w:rPr>
        <w:t xml:space="preserve"> </w:t>
      </w:r>
      <w:r>
        <w:rPr>
          <w:rFonts w:ascii="Arial" w:cs="Arial" w:eastAsia="Arial" w:hAnsi="Arial"/>
          <w:sz w:val="15"/>
          <w:szCs w:val="15"/>
          <w:color w:val="000000"/>
        </w:rPr>
        <w:t>these threshold goals are the lowest acceptable levels at which it is appropriate for the NEOs to receive an award. If the threshold level is not met, NEOs do not receive a payout related to that performance measure.</w:t>
      </w:r>
    </w:p>
    <w:p>
      <w:pPr>
        <w:spacing w:after="0" w:line="42" w:lineRule="exact"/>
        <w:rPr>
          <w:rFonts w:ascii="Arial" w:cs="Arial" w:eastAsia="Arial" w:hAnsi="Arial"/>
          <w:sz w:val="15"/>
          <w:szCs w:val="15"/>
          <w:color w:val="auto"/>
        </w:rPr>
      </w:pPr>
    </w:p>
    <w:p>
      <w:pPr>
        <w:ind w:left="220" w:right="60" w:hanging="213"/>
        <w:spacing w:after="0" w:line="234"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Align with shareholder interests: </w:t>
      </w:r>
      <w:r>
        <w:rPr>
          <w:rFonts w:ascii="Arial" w:cs="Arial" w:eastAsia="Arial" w:hAnsi="Arial"/>
          <w:sz w:val="15"/>
          <w:szCs w:val="15"/>
          <w:color w:val="000000"/>
        </w:rPr>
        <w:t>The Committee sets performance goals and chooses compensation elements that closely align executives’ interests with</w:t>
      </w:r>
      <w:r>
        <w:rPr>
          <w:rFonts w:ascii="Arial" w:cs="Arial" w:eastAsia="Arial" w:hAnsi="Arial"/>
          <w:sz w:val="15"/>
          <w:szCs w:val="15"/>
          <w:b w:val="1"/>
          <w:bCs w:val="1"/>
          <w:color w:val="5D89B4"/>
        </w:rPr>
        <w:t xml:space="preserve"> </w:t>
      </w:r>
      <w:r>
        <w:rPr>
          <w:rFonts w:ascii="Arial" w:cs="Arial" w:eastAsia="Arial" w:hAnsi="Arial"/>
          <w:sz w:val="15"/>
          <w:szCs w:val="15"/>
          <w:color w:val="000000"/>
        </w:rPr>
        <w:t>those of shareholders. For example, PSUs, which make up approximately 45% of target compensation for the CEO and 40% for the CFO, respectively, are tied to operating profit margin, which we believe helps to drive enterprise value. Stock options and RSUs are directly aligned with shareholders’ economic interests as the ultimate value the NEOs realize is dependent upon the value of our stock. In addition, a substantial portion of the annual cash incentive awards paid to our CEO and CFO is based on achievement of EPS, ROIC and Revenue goals for the year.</w:t>
      </w:r>
    </w:p>
    <w:p>
      <w:pPr>
        <w:spacing w:after="0" w:line="41" w:lineRule="exact"/>
        <w:rPr>
          <w:rFonts w:ascii="Arial" w:cs="Arial" w:eastAsia="Arial" w:hAnsi="Arial"/>
          <w:sz w:val="15"/>
          <w:szCs w:val="15"/>
          <w:color w:val="auto"/>
        </w:rPr>
      </w:pPr>
    </w:p>
    <w:p>
      <w:pPr>
        <w:ind w:left="220" w:hanging="213"/>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Balance cash and equity: </w:t>
      </w:r>
      <w:r>
        <w:rPr>
          <w:rFonts w:ascii="Arial" w:cs="Arial" w:eastAsia="Arial" w:hAnsi="Arial"/>
          <w:sz w:val="15"/>
          <w:szCs w:val="15"/>
          <w:color w:val="000000"/>
        </w:rPr>
        <w:t>We balance the mix of cash and equity compensation to align compensation to both long- and short-term results of the Company.</w:t>
      </w:r>
    </w:p>
    <w:p>
      <w:pPr>
        <w:spacing w:after="0" w:line="68" w:lineRule="exact"/>
        <w:rPr>
          <w:rFonts w:ascii="Arial" w:cs="Arial" w:eastAsia="Arial" w:hAnsi="Arial"/>
          <w:sz w:val="15"/>
          <w:szCs w:val="15"/>
          <w:color w:val="auto"/>
        </w:rPr>
      </w:pPr>
    </w:p>
    <w:p>
      <w:pPr>
        <w:ind w:left="220" w:right="40" w:hanging="213"/>
        <w:spacing w:after="0" w:line="241"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Use internal and external performance reference points: </w:t>
      </w:r>
      <w:r>
        <w:rPr>
          <w:rFonts w:ascii="Arial" w:cs="Arial" w:eastAsia="Arial" w:hAnsi="Arial"/>
          <w:sz w:val="15"/>
          <w:szCs w:val="15"/>
          <w:color w:val="000000"/>
        </w:rPr>
        <w:t>We evaluate the elements of our compensation program against appropriate comparator company</w:t>
      </w:r>
      <w:r>
        <w:rPr>
          <w:rFonts w:ascii="Arial" w:cs="Arial" w:eastAsia="Arial" w:hAnsi="Arial"/>
          <w:sz w:val="15"/>
          <w:szCs w:val="15"/>
          <w:b w:val="1"/>
          <w:bCs w:val="1"/>
          <w:color w:val="5D89B4"/>
        </w:rPr>
        <w:t xml:space="preserve"> </w:t>
      </w:r>
      <w:r>
        <w:rPr>
          <w:rFonts w:ascii="Arial" w:cs="Arial" w:eastAsia="Arial" w:hAnsi="Arial"/>
          <w:sz w:val="15"/>
          <w:szCs w:val="15"/>
          <w:color w:val="000000"/>
        </w:rPr>
        <w:t>practices as well as other executives within the Company. However, identifying our competitive market is a challenge. See page 35 for further information regarding our competitive market.</w:t>
      </w:r>
    </w:p>
    <w:p>
      <w:pPr>
        <w:spacing w:after="0" w:line="42" w:lineRule="exact"/>
        <w:rPr>
          <w:rFonts w:ascii="Arial" w:cs="Arial" w:eastAsia="Arial" w:hAnsi="Arial"/>
          <w:sz w:val="15"/>
          <w:szCs w:val="15"/>
          <w:color w:val="auto"/>
        </w:rPr>
      </w:pPr>
    </w:p>
    <w:p>
      <w:pPr>
        <w:jc w:val="both"/>
        <w:ind w:left="220" w:right="160" w:hanging="213"/>
        <w:spacing w:after="0" w:line="241"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Recognize the cyclical nature of our business: </w:t>
      </w:r>
      <w:r>
        <w:rPr>
          <w:rFonts w:ascii="Arial" w:cs="Arial" w:eastAsia="Arial" w:hAnsi="Arial"/>
          <w:sz w:val="15"/>
          <w:szCs w:val="15"/>
          <w:color w:val="000000"/>
        </w:rPr>
        <w:t>Our business is highly cyclical, and our financial results are impacted by global economic cycles, which are</w:t>
      </w:r>
      <w:r>
        <w:rPr>
          <w:rFonts w:ascii="Arial" w:cs="Arial" w:eastAsia="Arial" w:hAnsi="Arial"/>
          <w:sz w:val="15"/>
          <w:szCs w:val="15"/>
          <w:b w:val="1"/>
          <w:bCs w:val="1"/>
          <w:color w:val="5D89B4"/>
        </w:rPr>
        <w:t xml:space="preserve"> </w:t>
      </w:r>
      <w:r>
        <w:rPr>
          <w:rFonts w:ascii="Arial" w:cs="Arial" w:eastAsia="Arial" w:hAnsi="Arial"/>
          <w:sz w:val="15"/>
          <w:szCs w:val="15"/>
          <w:color w:val="000000"/>
        </w:rPr>
        <w:t>difficult to predict. In determining executive compensation, the Committee tries to strike an appropriate balance between fixed and variable pay, and to create meaningful incentives at all points in an economic cycle.</w:t>
      </w:r>
    </w:p>
    <w:p>
      <w:pPr>
        <w:spacing w:after="0" w:line="42" w:lineRule="exact"/>
        <w:rPr>
          <w:rFonts w:ascii="Arial" w:cs="Arial" w:eastAsia="Arial" w:hAnsi="Arial"/>
          <w:sz w:val="15"/>
          <w:szCs w:val="15"/>
          <w:color w:val="auto"/>
        </w:rPr>
      </w:pPr>
    </w:p>
    <w:p>
      <w:pPr>
        <w:ind w:left="220" w:right="140" w:hanging="213"/>
        <w:spacing w:after="0" w:line="241"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Pay competitively: </w:t>
      </w:r>
      <w:r>
        <w:rPr>
          <w:rFonts w:ascii="Arial" w:cs="Arial" w:eastAsia="Arial" w:hAnsi="Arial"/>
          <w:sz w:val="15"/>
          <w:szCs w:val="15"/>
          <w:color w:val="000000"/>
        </w:rPr>
        <w:t>In order for ManpowerGroup to be successful, we need senior executives who have the capability and experience to operate in a global</w:t>
      </w:r>
      <w:r>
        <w:rPr>
          <w:rFonts w:ascii="Arial" w:cs="Arial" w:eastAsia="Arial" w:hAnsi="Arial"/>
          <w:sz w:val="15"/>
          <w:szCs w:val="15"/>
          <w:b w:val="1"/>
          <w:bCs w:val="1"/>
          <w:color w:val="5D89B4"/>
        </w:rPr>
        <w:t xml:space="preserve"> </w:t>
      </w:r>
      <w:r>
        <w:rPr>
          <w:rFonts w:ascii="Arial" w:cs="Arial" w:eastAsia="Arial" w:hAnsi="Arial"/>
          <w:sz w:val="15"/>
          <w:szCs w:val="15"/>
          <w:color w:val="000000"/>
        </w:rPr>
        <w:t>and complex environment. The Committee believes it must provide pay opportunities to the NEOs that are competitive in order to attract and retain executives of this caliber.</w:t>
      </w:r>
    </w:p>
    <w:p>
      <w:pPr>
        <w:spacing w:after="0" w:line="42" w:lineRule="exact"/>
        <w:rPr>
          <w:rFonts w:ascii="Arial" w:cs="Arial" w:eastAsia="Arial" w:hAnsi="Arial"/>
          <w:sz w:val="15"/>
          <w:szCs w:val="15"/>
          <w:color w:val="auto"/>
        </w:rPr>
      </w:pPr>
    </w:p>
    <w:p>
      <w:pPr>
        <w:ind w:left="220" w:right="640" w:hanging="213"/>
        <w:spacing w:after="0" w:line="260"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Attract and retain executives: </w:t>
      </w:r>
      <w:r>
        <w:rPr>
          <w:rFonts w:ascii="Arial" w:cs="Arial" w:eastAsia="Arial" w:hAnsi="Arial"/>
          <w:sz w:val="15"/>
          <w:szCs w:val="15"/>
          <w:color w:val="000000"/>
        </w:rPr>
        <w:t>The Company benchmarks its compensation program for the NEOs so that the structure and pay opportunities remain</w:t>
      </w:r>
      <w:r>
        <w:rPr>
          <w:rFonts w:ascii="Arial" w:cs="Arial" w:eastAsia="Arial" w:hAnsi="Arial"/>
          <w:sz w:val="15"/>
          <w:szCs w:val="15"/>
          <w:b w:val="1"/>
          <w:bCs w:val="1"/>
          <w:color w:val="5D89B4"/>
        </w:rPr>
        <w:t xml:space="preserve"> </w:t>
      </w:r>
      <w:r>
        <w:rPr>
          <w:rFonts w:ascii="Arial" w:cs="Arial" w:eastAsia="Arial" w:hAnsi="Arial"/>
          <w:sz w:val="15"/>
          <w:szCs w:val="15"/>
          <w:color w:val="000000"/>
        </w:rPr>
        <w:t>competitive in order to attract and retain executives.</w:t>
      </w:r>
    </w:p>
    <w:p>
      <w:pPr>
        <w:spacing w:after="0" w:line="27" w:lineRule="exact"/>
        <w:rPr>
          <w:rFonts w:ascii="Arial" w:cs="Arial" w:eastAsia="Arial" w:hAnsi="Arial"/>
          <w:sz w:val="15"/>
          <w:szCs w:val="15"/>
          <w:color w:val="auto"/>
        </w:rPr>
      </w:pPr>
    </w:p>
    <w:p>
      <w:pPr>
        <w:ind w:left="220" w:right="100" w:hanging="213"/>
        <w:spacing w:after="0" w:line="236"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Assure total compensation is affordable: </w:t>
      </w:r>
      <w:r>
        <w:rPr>
          <w:rFonts w:ascii="Arial" w:cs="Arial" w:eastAsia="Arial" w:hAnsi="Arial"/>
          <w:sz w:val="15"/>
          <w:szCs w:val="15"/>
          <w:color w:val="000000"/>
        </w:rPr>
        <w:t>Our NEOs’ compensation is variable year-over-year, which means compensation is higher when financial</w:t>
      </w:r>
      <w:r>
        <w:rPr>
          <w:rFonts w:ascii="Arial" w:cs="Arial" w:eastAsia="Arial" w:hAnsi="Arial"/>
          <w:sz w:val="15"/>
          <w:szCs w:val="15"/>
          <w:b w:val="1"/>
          <w:bCs w:val="1"/>
          <w:color w:val="5D89B4"/>
        </w:rPr>
        <w:t xml:space="preserve"> </w:t>
      </w:r>
      <w:r>
        <w:rPr>
          <w:rFonts w:ascii="Arial" w:cs="Arial" w:eastAsia="Arial" w:hAnsi="Arial"/>
          <w:sz w:val="15"/>
          <w:szCs w:val="15"/>
          <w:color w:val="000000"/>
        </w:rPr>
        <w:t>objectives are achieved, and incremental compensation is more affordable for the Company and compensation is lower when financial results decline, and it is less affordable for the Company. In addition, payouts under the annual cash incentive plan and the PSUs are capped at the outstanding performance levels, which make the maximum cost predictable and ensures affordability.</w:t>
      </w:r>
    </w:p>
    <w:p>
      <w:pPr>
        <w:spacing w:after="0" w:line="43" w:lineRule="exact"/>
        <w:rPr>
          <w:rFonts w:ascii="Arial" w:cs="Arial" w:eastAsia="Arial" w:hAnsi="Arial"/>
          <w:sz w:val="15"/>
          <w:szCs w:val="15"/>
          <w:color w:val="auto"/>
        </w:rPr>
      </w:pPr>
    </w:p>
    <w:p>
      <w:pPr>
        <w:ind w:left="220" w:right="260" w:hanging="213"/>
        <w:spacing w:after="0" w:line="260"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5D89B4"/>
        </w:rPr>
        <w:t xml:space="preserve">Clearly communicate plans so that they are understood: </w:t>
      </w:r>
      <w:r>
        <w:rPr>
          <w:rFonts w:ascii="Arial" w:cs="Arial" w:eastAsia="Arial" w:hAnsi="Arial"/>
          <w:sz w:val="15"/>
          <w:szCs w:val="15"/>
          <w:color w:val="000000"/>
        </w:rPr>
        <w:t>We clearly communicate to each NEO their specific goals, targets and objectives to ensure our</w:t>
      </w:r>
      <w:r>
        <w:rPr>
          <w:rFonts w:ascii="Arial" w:cs="Arial" w:eastAsia="Arial" w:hAnsi="Arial"/>
          <w:sz w:val="15"/>
          <w:szCs w:val="15"/>
          <w:b w:val="1"/>
          <w:bCs w:val="1"/>
          <w:color w:val="5D89B4"/>
        </w:rPr>
        <w:t xml:space="preserve"> </w:t>
      </w:r>
      <w:r>
        <w:rPr>
          <w:rFonts w:ascii="Arial" w:cs="Arial" w:eastAsia="Arial" w:hAnsi="Arial"/>
          <w:sz w:val="15"/>
          <w:szCs w:val="15"/>
          <w:color w:val="000000"/>
        </w:rPr>
        <w:t>executives are focused on achieving the financial and operational results that the Committee believes will best promote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9"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5910580" cy="13925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10580"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760"/>
        <w:spacing w:after="0"/>
        <w:rPr>
          <w:sz w:val="20"/>
          <w:szCs w:val="20"/>
          <w:color w:val="auto"/>
        </w:rPr>
      </w:pPr>
      <w:r>
        <w:rPr>
          <w:rFonts w:ascii="Arial" w:cs="Arial" w:eastAsia="Arial" w:hAnsi="Arial"/>
          <w:sz w:val="14"/>
          <w:szCs w:val="14"/>
          <w:color w:val="auto"/>
        </w:rPr>
        <w:t>ManpowerGroup held a non-binding shareholder advisory vote at its 2020 Annual Meeting of Shareholders to approve the compensation of ManpowerGroup’s NEOs, also known as “Say on Pay.” This shareholder resolution was approved by approximately 91% of the votes cast. This was the seventh consecutive year we received a say on pay result above 90%, which we believe demonstrates our shareholders’ satisfaction with the alignment of our NEOs’ compensation with the Company’s performance. In some years, this result has been as high as 98%. Accordingly, we have not made significant changes to the compensation program for 2020 in response to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-974090</wp:posOffset>
            </wp:positionV>
            <wp:extent cx="2963545" cy="18091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96354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Shareholder Engagement</w:t>
      </w:r>
    </w:p>
    <w:p>
      <w:pPr>
        <w:spacing w:after="0" w:line="139"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We believe that shareholder engagement is an important part of our governance practices. Over the past five years, we have enhanced our shareholder outreach program, to better understand our investors’ perspectives on our compensation philosophies and our governance structure, and to answer their questions. These efforts are conducted by members of executive management, and over time have included:</w:t>
      </w:r>
    </w:p>
    <w:p>
      <w:pPr>
        <w:spacing w:after="0" w:line="128" w:lineRule="exact"/>
        <w:rPr>
          <w:sz w:val="20"/>
          <w:szCs w:val="20"/>
          <w:color w:val="auto"/>
        </w:rPr>
      </w:pPr>
    </w:p>
    <w:p>
      <w:pPr>
        <w:ind w:left="220" w:hanging="213"/>
        <w:spacing w:after="0"/>
        <w:tabs>
          <w:tab w:leader="none" w:pos="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Contacting our top shareholders, representing more than 50% of our shares.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Meeting with shareholders representing approximately 40% of our shares.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Presenting shareholder feedback to the Committee as well as the nominating and governance committee.</w:t>
      </w:r>
    </w:p>
    <w:p>
      <w:pPr>
        <w:spacing w:after="0" w:line="135"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The Committee evaluated this feedback, as well as our say on pay voting results (91% in 2020 and 95% in 2019), among other factors in developing our executive compensation programs as discussed in this CD&amp;A. Similarly, our nominating and governance committee has reviewed the feedback concerning our governance practices in developing our governance policies, including our approach to board refreshment.</w:t>
      </w:r>
    </w:p>
    <w:p>
      <w:pPr>
        <w:spacing w:after="0" w:line="128"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Additionally, our executive management team, primarily through our Chairman and CEO and Executive Vice President and CFO, regularly engage in dialogue with our shareholders through our quarterly earnings calls, investor meetings and conferences, and other channels for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30</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5" w:right="539" w:bottom="1440" w:gutter="0" w:footer="0" w:header="0"/>
        </w:sectPr>
      </w:pPr>
    </w:p>
    <w:bookmarkStart w:id="42" w:name="page43"/>
    <w:bookmarkEnd w:id="42"/>
    <w:p>
      <w:pPr>
        <w:ind w:left="734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Compensation Elements</w:t>
      </w:r>
    </w:p>
    <w:p>
      <w:pPr>
        <w:spacing w:after="0" w:line="139"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The following are the main elements used by ManpowerGroup in its compensation program in 2020 along with key decisions by the Committee related to those elements: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80" w:type="dxa"/>
            <w:vAlign w:val="bottom"/>
            <w:tcBorders>
              <w:top w:val="single" w:sz="8" w:color="BFBFBF"/>
              <w:left w:val="single" w:sz="8" w:color="BFBFBF"/>
              <w:bottom w:val="single" w:sz="8" w:color="EAEAEA"/>
            </w:tcBorders>
            <w:shd w:val="clear" w:color="auto" w:fill="EAEAEA"/>
          </w:tcPr>
          <w:p>
            <w:pPr>
              <w:ind w:left="240"/>
              <w:spacing w:after="0"/>
              <w:rPr>
                <w:sz w:val="20"/>
                <w:szCs w:val="20"/>
                <w:color w:val="auto"/>
              </w:rPr>
            </w:pPr>
            <w:r>
              <w:rPr>
                <w:rFonts w:ascii="Arial" w:cs="Arial" w:eastAsia="Arial" w:hAnsi="Arial"/>
                <w:sz w:val="12"/>
                <w:szCs w:val="12"/>
                <w:b w:val="1"/>
                <w:bCs w:val="1"/>
                <w:color w:val="5D89B4"/>
              </w:rPr>
              <w:t>COMPENSATION ELEMENT</w:t>
            </w:r>
          </w:p>
        </w:tc>
        <w:tc>
          <w:tcPr>
            <w:tcW w:w="2960" w:type="dxa"/>
            <w:vAlign w:val="bottom"/>
            <w:tcBorders>
              <w:top w:val="single" w:sz="8" w:color="BFBFBF"/>
              <w:bottom w:val="single" w:sz="8" w:color="EAEAEA"/>
            </w:tcBorders>
            <w:shd w:val="clear" w:color="auto" w:fill="EAEAEA"/>
          </w:tcPr>
          <w:p>
            <w:pPr>
              <w:ind w:left="100"/>
              <w:spacing w:after="0"/>
              <w:rPr>
                <w:sz w:val="20"/>
                <w:szCs w:val="20"/>
                <w:color w:val="auto"/>
              </w:rPr>
            </w:pPr>
            <w:r>
              <w:rPr>
                <w:rFonts w:ascii="Arial" w:cs="Arial" w:eastAsia="Arial" w:hAnsi="Arial"/>
                <w:sz w:val="12"/>
                <w:szCs w:val="12"/>
                <w:b w:val="1"/>
                <w:bCs w:val="1"/>
                <w:color w:val="5D89B4"/>
              </w:rPr>
              <w:t>KEY CHARACTERISTICS</w:t>
            </w:r>
          </w:p>
        </w:tc>
        <w:tc>
          <w:tcPr>
            <w:tcW w:w="2940" w:type="dxa"/>
            <w:vAlign w:val="bottom"/>
            <w:tcBorders>
              <w:top w:val="single" w:sz="8" w:color="BFBFBF"/>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OBJECTIVE AND DETERMINATION</w:t>
            </w:r>
          </w:p>
        </w:tc>
        <w:tc>
          <w:tcPr>
            <w:tcW w:w="2960" w:type="dxa"/>
            <w:vAlign w:val="bottom"/>
            <w:tcBorders>
              <w:top w:val="single" w:sz="8" w:color="BFBFBF"/>
              <w:bottom w:val="single" w:sz="8" w:color="EAEAEA"/>
              <w:right w:val="single" w:sz="8" w:color="BFBFBF"/>
            </w:tcBorders>
            <w:shd w:val="clear" w:color="auto" w:fill="EAEAEA"/>
          </w:tcPr>
          <w:p>
            <w:pPr>
              <w:ind w:left="100"/>
              <w:spacing w:after="0"/>
              <w:rPr>
                <w:sz w:val="20"/>
                <w:szCs w:val="20"/>
                <w:color w:val="auto"/>
              </w:rPr>
            </w:pPr>
            <w:r>
              <w:rPr>
                <w:rFonts w:ascii="Arial" w:cs="Arial" w:eastAsia="Arial" w:hAnsi="Arial"/>
                <w:sz w:val="12"/>
                <w:szCs w:val="12"/>
                <w:b w:val="1"/>
                <w:bCs w:val="1"/>
                <w:color w:val="5D89B4"/>
              </w:rPr>
              <w:t>2020 DECISIONS</w:t>
            </w:r>
          </w:p>
        </w:tc>
        <w:tc>
          <w:tcPr>
            <w:tcW w:w="0" w:type="dxa"/>
            <w:vAlign w:val="bottom"/>
          </w:tcPr>
          <w:p>
            <w:pPr>
              <w:spacing w:after="0"/>
              <w:rPr>
                <w:sz w:val="1"/>
                <w:szCs w:val="1"/>
                <w:color w:val="auto"/>
              </w:rPr>
            </w:pPr>
          </w:p>
        </w:tc>
      </w:tr>
      <w:tr>
        <w:trPr>
          <w:trHeight w:val="232"/>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Base Salary</w:t>
            </w:r>
          </w:p>
        </w:tc>
        <w:tc>
          <w:tcPr>
            <w:tcW w:w="2960" w:type="dxa"/>
            <w:vAlign w:val="bottom"/>
          </w:tcPr>
          <w:p>
            <w:pPr>
              <w:ind w:left="100"/>
              <w:spacing w:after="0"/>
              <w:rPr>
                <w:sz w:val="20"/>
                <w:szCs w:val="20"/>
                <w:color w:val="auto"/>
              </w:rPr>
            </w:pPr>
            <w:r>
              <w:rPr>
                <w:rFonts w:ascii="Arial" w:cs="Arial" w:eastAsia="Arial" w:hAnsi="Arial"/>
                <w:sz w:val="14"/>
                <w:szCs w:val="14"/>
                <w:color w:val="auto"/>
              </w:rPr>
              <w:t>Fixed compensation for performing the core</w:t>
            </w:r>
          </w:p>
        </w:tc>
        <w:tc>
          <w:tcPr>
            <w:tcW w:w="2940" w:type="dxa"/>
            <w:vAlign w:val="bottom"/>
          </w:tcPr>
          <w:p>
            <w:pPr>
              <w:ind w:left="80"/>
              <w:spacing w:after="0"/>
              <w:rPr>
                <w:sz w:val="20"/>
                <w:szCs w:val="20"/>
                <w:color w:val="auto"/>
              </w:rPr>
            </w:pPr>
            <w:r>
              <w:rPr>
                <w:rFonts w:ascii="Arial" w:cs="Arial" w:eastAsia="Arial" w:hAnsi="Arial"/>
                <w:sz w:val="14"/>
                <w:szCs w:val="14"/>
                <w:color w:val="auto"/>
              </w:rPr>
              <w:t>Provide fixed compensation for performing</w:t>
            </w: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None of the NEOs received an increase in</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areas of responsibility in amounts that are</w:t>
            </w:r>
          </w:p>
        </w:tc>
        <w:tc>
          <w:tcPr>
            <w:tcW w:w="2940" w:type="dxa"/>
            <w:vAlign w:val="bottom"/>
          </w:tcPr>
          <w:p>
            <w:pPr>
              <w:ind w:left="80"/>
              <w:spacing w:after="0"/>
              <w:rPr>
                <w:sz w:val="20"/>
                <w:szCs w:val="20"/>
                <w:color w:val="auto"/>
              </w:rPr>
            </w:pPr>
            <w:r>
              <w:rPr>
                <w:rFonts w:ascii="Arial" w:cs="Arial" w:eastAsia="Arial" w:hAnsi="Arial"/>
                <w:sz w:val="14"/>
                <w:szCs w:val="14"/>
                <w:color w:val="auto"/>
              </w:rPr>
              <w:t>the core areas of responsibility of the NEO.</w:t>
            </w: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base salary in 2020.</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competitive in the markets in which we</w:t>
            </w:r>
          </w:p>
        </w:tc>
        <w:tc>
          <w:tcPr>
            <w:tcW w:w="2940" w:type="dxa"/>
            <w:vAlign w:val="bottom"/>
          </w:tcPr>
          <w:p>
            <w:pPr>
              <w:ind w:left="80"/>
              <w:spacing w:after="0"/>
              <w:rPr>
                <w:sz w:val="20"/>
                <w:szCs w:val="20"/>
                <w:color w:val="auto"/>
              </w:rPr>
            </w:pPr>
            <w:r>
              <w:rPr>
                <w:rFonts w:ascii="Arial" w:cs="Arial" w:eastAsia="Arial" w:hAnsi="Arial"/>
                <w:sz w:val="14"/>
                <w:szCs w:val="14"/>
                <w:color w:val="auto"/>
              </w:rPr>
              <w:t>These are reviewed annually and adjusted</w:t>
            </w:r>
          </w:p>
        </w:tc>
        <w:tc>
          <w:tcPr>
            <w:tcW w:w="2960" w:type="dxa"/>
            <w:vAlign w:val="bottom"/>
            <w:tcBorders>
              <w:right w:val="single" w:sz="8" w:color="BFBFBF"/>
            </w:tcBorders>
            <w:vMerge w:val="restart"/>
          </w:tcPr>
          <w:p>
            <w:pPr>
              <w:ind w:left="100"/>
              <w:spacing w:after="0"/>
              <w:rPr>
                <w:sz w:val="20"/>
                <w:szCs w:val="20"/>
                <w:color w:val="auto"/>
              </w:rPr>
            </w:pPr>
            <w:r>
              <w:rPr>
                <w:rFonts w:ascii="Arial" w:cs="Arial" w:eastAsia="Arial" w:hAnsi="Arial"/>
                <w:sz w:val="14"/>
                <w:szCs w:val="14"/>
                <w:color w:val="auto"/>
              </w:rPr>
              <w:t>Additionally, each of the NEOs agreed to a</w:t>
            </w:r>
          </w:p>
        </w:tc>
        <w:tc>
          <w:tcPr>
            <w:tcW w:w="0" w:type="dxa"/>
            <w:vAlign w:val="bottom"/>
          </w:tcPr>
          <w:p>
            <w:pPr>
              <w:spacing w:after="0"/>
              <w:rPr>
                <w:sz w:val="1"/>
                <w:szCs w:val="1"/>
                <w:color w:val="auto"/>
              </w:rPr>
            </w:pPr>
          </w:p>
        </w:tc>
      </w:tr>
      <w:tr>
        <w:trPr>
          <w:trHeight w:val="80"/>
        </w:trPr>
        <w:tc>
          <w:tcPr>
            <w:tcW w:w="2080" w:type="dxa"/>
            <w:vAlign w:val="bottom"/>
            <w:tcBorders>
              <w:left w:val="single" w:sz="8" w:color="BFBFBF"/>
            </w:tcBorders>
          </w:tcPr>
          <w:p>
            <w:pPr>
              <w:spacing w:after="0"/>
              <w:rPr>
                <w:sz w:val="6"/>
                <w:szCs w:val="6"/>
                <w:color w:val="auto"/>
              </w:rPr>
            </w:pPr>
          </w:p>
        </w:tc>
        <w:tc>
          <w:tcPr>
            <w:tcW w:w="2960" w:type="dxa"/>
            <w:vAlign w:val="bottom"/>
            <w:vMerge w:val="restart"/>
          </w:tcPr>
          <w:p>
            <w:pPr>
              <w:ind w:left="100"/>
              <w:spacing w:after="0"/>
              <w:rPr>
                <w:sz w:val="20"/>
                <w:szCs w:val="20"/>
                <w:color w:val="auto"/>
              </w:rPr>
            </w:pPr>
            <w:r>
              <w:rPr>
                <w:rFonts w:ascii="Arial" w:cs="Arial" w:eastAsia="Arial" w:hAnsi="Arial"/>
                <w:sz w:val="14"/>
                <w:szCs w:val="14"/>
                <w:color w:val="auto"/>
              </w:rPr>
              <w:t>operate.</w:t>
            </w:r>
          </w:p>
        </w:tc>
        <w:tc>
          <w:tcPr>
            <w:tcW w:w="2940" w:type="dxa"/>
            <w:vAlign w:val="bottom"/>
            <w:vMerge w:val="restart"/>
          </w:tcPr>
          <w:p>
            <w:pPr>
              <w:ind w:left="80"/>
              <w:spacing w:after="0"/>
              <w:rPr>
                <w:sz w:val="20"/>
                <w:szCs w:val="20"/>
                <w:color w:val="auto"/>
              </w:rPr>
            </w:pPr>
            <w:r>
              <w:rPr>
                <w:rFonts w:ascii="Arial" w:cs="Arial" w:eastAsia="Arial" w:hAnsi="Arial"/>
                <w:sz w:val="14"/>
                <w:szCs w:val="14"/>
                <w:color w:val="auto"/>
              </w:rPr>
              <w:t>when appropriate.</w:t>
            </w:r>
          </w:p>
        </w:tc>
        <w:tc>
          <w:tcPr>
            <w:tcW w:w="2960" w:type="dxa"/>
            <w:vAlign w:val="bottom"/>
            <w:tcBorders>
              <w:right w:val="single" w:sz="8" w:color="BFBFB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BFBFBF"/>
            </w:tcBorders>
          </w:tcPr>
          <w:p>
            <w:pPr>
              <w:spacing w:after="0"/>
              <w:rPr>
                <w:sz w:val="7"/>
                <w:szCs w:val="7"/>
                <w:color w:val="auto"/>
              </w:rPr>
            </w:pPr>
          </w:p>
        </w:tc>
        <w:tc>
          <w:tcPr>
            <w:tcW w:w="29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2960" w:type="dxa"/>
            <w:vAlign w:val="bottom"/>
            <w:tcBorders>
              <w:right w:val="single" w:sz="8" w:color="BFBFBF"/>
            </w:tcBorders>
            <w:vMerge w:val="restart"/>
          </w:tcPr>
          <w:p>
            <w:pPr>
              <w:ind w:left="100"/>
              <w:spacing w:after="0"/>
              <w:rPr>
                <w:sz w:val="20"/>
                <w:szCs w:val="20"/>
                <w:color w:val="auto"/>
              </w:rPr>
            </w:pPr>
            <w:r>
              <w:rPr>
                <w:rFonts w:ascii="Arial" w:cs="Arial" w:eastAsia="Arial" w:hAnsi="Arial"/>
                <w:sz w:val="14"/>
                <w:szCs w:val="14"/>
                <w:color w:val="auto"/>
              </w:rPr>
              <w:t>temporary reduction in their base salary for</w:t>
            </w:r>
          </w:p>
        </w:tc>
        <w:tc>
          <w:tcPr>
            <w:tcW w:w="0" w:type="dxa"/>
            <w:vAlign w:val="bottom"/>
          </w:tcPr>
          <w:p>
            <w:pPr>
              <w:spacing w:after="0"/>
              <w:rPr>
                <w:sz w:val="1"/>
                <w:szCs w:val="1"/>
                <w:color w:val="auto"/>
              </w:rPr>
            </w:pPr>
          </w:p>
        </w:tc>
      </w:tr>
      <w:tr>
        <w:trPr>
          <w:trHeight w:val="70"/>
        </w:trPr>
        <w:tc>
          <w:tcPr>
            <w:tcW w:w="2080" w:type="dxa"/>
            <w:vAlign w:val="bottom"/>
            <w:tcBorders>
              <w:left w:val="single" w:sz="8" w:color="BFBFBF"/>
            </w:tcBorders>
          </w:tcPr>
          <w:p>
            <w:pPr>
              <w:spacing w:after="0"/>
              <w:rPr>
                <w:sz w:val="6"/>
                <w:szCs w:val="6"/>
                <w:color w:val="auto"/>
              </w:rPr>
            </w:pPr>
          </w:p>
        </w:tc>
        <w:tc>
          <w:tcPr>
            <w:tcW w:w="29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960" w:type="dxa"/>
            <w:vAlign w:val="bottom"/>
            <w:tcBorders>
              <w:right w:val="single" w:sz="8" w:color="BFBFB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BFBFBF"/>
            </w:tcBorders>
          </w:tcPr>
          <w:p>
            <w:pPr>
              <w:spacing w:after="0"/>
              <w:rPr>
                <w:sz w:val="14"/>
                <w:szCs w:val="14"/>
                <w:color w:val="auto"/>
              </w:rPr>
            </w:pPr>
          </w:p>
        </w:tc>
        <w:tc>
          <w:tcPr>
            <w:tcW w:w="2960" w:type="dxa"/>
            <w:vAlign w:val="bottom"/>
          </w:tcPr>
          <w:p>
            <w:pPr>
              <w:spacing w:after="0"/>
              <w:rPr>
                <w:sz w:val="14"/>
                <w:szCs w:val="14"/>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Factors used to determine base salaries:</w:t>
            </w: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a period that began in April and ended in</w:t>
            </w:r>
          </w:p>
        </w:tc>
        <w:tc>
          <w:tcPr>
            <w:tcW w:w="0" w:type="dxa"/>
            <w:vAlign w:val="bottom"/>
          </w:tcPr>
          <w:p>
            <w:pPr>
              <w:spacing w:after="0"/>
              <w:rPr>
                <w:sz w:val="1"/>
                <w:szCs w:val="1"/>
                <w:color w:val="auto"/>
              </w:rPr>
            </w:pPr>
          </w:p>
        </w:tc>
      </w:tr>
      <w:tr>
        <w:trPr>
          <w:trHeight w:val="152"/>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40" w:type="dxa"/>
            <w:vAlign w:val="bottom"/>
            <w:vMerge w:val="restart"/>
          </w:tcPr>
          <w:p>
            <w:pPr>
              <w:ind w:left="80"/>
              <w:spacing w:after="0"/>
              <w:rPr>
                <w:sz w:val="20"/>
                <w:szCs w:val="20"/>
                <w:color w:val="auto"/>
              </w:rPr>
            </w:pPr>
            <w:r>
              <w:rPr>
                <w:rFonts w:ascii="Arial" w:cs="Arial" w:eastAsia="Arial" w:hAnsi="Arial"/>
                <w:sz w:val="14"/>
                <w:szCs w:val="14"/>
                <w:color w:val="auto"/>
              </w:rPr>
              <w:t>• NEO’s experience, skill, and performance.</w:t>
            </w:r>
          </w:p>
        </w:tc>
        <w:tc>
          <w:tcPr>
            <w:tcW w:w="2960" w:type="dxa"/>
            <w:vAlign w:val="bottom"/>
            <w:tcBorders>
              <w:right w:val="single" w:sz="8" w:color="BFBFBF"/>
            </w:tcBorders>
          </w:tcPr>
          <w:p>
            <w:pPr>
              <w:ind w:left="100"/>
              <w:spacing w:after="0" w:line="152" w:lineRule="exact"/>
              <w:rPr>
                <w:sz w:val="20"/>
                <w:szCs w:val="20"/>
                <w:color w:val="auto"/>
              </w:rPr>
            </w:pPr>
            <w:r>
              <w:rPr>
                <w:rFonts w:ascii="Arial" w:cs="Arial" w:eastAsia="Arial" w:hAnsi="Arial"/>
                <w:sz w:val="14"/>
                <w:szCs w:val="14"/>
                <w:color w:val="auto"/>
              </w:rPr>
              <w:t>August. This reduction was 30% in the case</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of Mr. Prising and 15% in the case of Mr.</w:t>
            </w:r>
          </w:p>
        </w:tc>
        <w:tc>
          <w:tcPr>
            <w:tcW w:w="0" w:type="dxa"/>
            <w:vAlign w:val="bottom"/>
          </w:tcPr>
          <w:p>
            <w:pPr>
              <w:spacing w:after="0"/>
              <w:rPr>
                <w:sz w:val="1"/>
                <w:szCs w:val="1"/>
                <w:color w:val="auto"/>
              </w:rPr>
            </w:pPr>
          </w:p>
        </w:tc>
      </w:tr>
      <w:tr>
        <w:trPr>
          <w:trHeight w:val="169"/>
        </w:trPr>
        <w:tc>
          <w:tcPr>
            <w:tcW w:w="2080" w:type="dxa"/>
            <w:vAlign w:val="bottom"/>
            <w:tcBorders>
              <w:left w:val="single" w:sz="8" w:color="BFBFBF"/>
            </w:tcBorders>
          </w:tcPr>
          <w:p>
            <w:pPr>
              <w:spacing w:after="0"/>
              <w:rPr>
                <w:sz w:val="14"/>
                <w:szCs w:val="14"/>
                <w:color w:val="auto"/>
              </w:rPr>
            </w:pPr>
          </w:p>
        </w:tc>
        <w:tc>
          <w:tcPr>
            <w:tcW w:w="2960" w:type="dxa"/>
            <w:vAlign w:val="bottom"/>
          </w:tcPr>
          <w:p>
            <w:pPr>
              <w:spacing w:after="0"/>
              <w:rPr>
                <w:sz w:val="14"/>
                <w:szCs w:val="14"/>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 The breadth of the NEO’s responsibilities.</w:t>
            </w: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McGinnis, Ms. Nettles and Mr. Buchband.</w:t>
            </w:r>
          </w:p>
        </w:tc>
        <w:tc>
          <w:tcPr>
            <w:tcW w:w="0" w:type="dxa"/>
            <w:vAlign w:val="bottom"/>
          </w:tcPr>
          <w:p>
            <w:pPr>
              <w:spacing w:after="0"/>
              <w:rPr>
                <w:sz w:val="1"/>
                <w:szCs w:val="1"/>
                <w:color w:val="auto"/>
              </w:rPr>
            </w:pPr>
          </w:p>
        </w:tc>
      </w:tr>
      <w:tr>
        <w:trPr>
          <w:trHeight w:val="152"/>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40" w:type="dxa"/>
            <w:vAlign w:val="bottom"/>
            <w:vMerge w:val="restart"/>
          </w:tcPr>
          <w:p>
            <w:pPr>
              <w:ind w:left="80"/>
              <w:spacing w:after="0"/>
              <w:rPr>
                <w:sz w:val="20"/>
                <w:szCs w:val="20"/>
                <w:color w:val="auto"/>
              </w:rPr>
            </w:pPr>
            <w:r>
              <w:rPr>
                <w:rFonts w:ascii="Arial" w:cs="Arial" w:eastAsia="Arial" w:hAnsi="Arial"/>
                <w:sz w:val="14"/>
                <w:szCs w:val="14"/>
                <w:color w:val="auto"/>
              </w:rPr>
              <w:t>• Internal equity among other NEOs.</w:t>
            </w:r>
          </w:p>
        </w:tc>
        <w:tc>
          <w:tcPr>
            <w:tcW w:w="2960" w:type="dxa"/>
            <w:vAlign w:val="bottom"/>
            <w:tcBorders>
              <w:right w:val="single" w:sz="8" w:color="BFBFBF"/>
            </w:tcBorders>
          </w:tcPr>
          <w:p>
            <w:pPr>
              <w:ind w:left="100"/>
              <w:spacing w:after="0" w:line="152" w:lineRule="exact"/>
              <w:rPr>
                <w:sz w:val="20"/>
                <w:szCs w:val="20"/>
                <w:color w:val="auto"/>
              </w:rPr>
            </w:pPr>
            <w:r>
              <w:rPr>
                <w:rFonts w:ascii="Arial" w:cs="Arial" w:eastAsia="Arial" w:hAnsi="Arial"/>
                <w:sz w:val="14"/>
                <w:szCs w:val="14"/>
                <w:color w:val="auto"/>
              </w:rPr>
              <w:t>Ms. Swan had retired from the Company</w:t>
            </w: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tcPr>
          <w:p>
            <w:pPr>
              <w:spacing w:after="0"/>
              <w:rPr>
                <w:sz w:val="14"/>
                <w:szCs w:val="14"/>
                <w:color w:val="auto"/>
              </w:rPr>
            </w:pPr>
          </w:p>
        </w:tc>
        <w:tc>
          <w:tcPr>
            <w:tcW w:w="296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prior to this date.</w:t>
            </w:r>
          </w:p>
        </w:tc>
        <w:tc>
          <w:tcPr>
            <w:tcW w:w="0" w:type="dxa"/>
            <w:vAlign w:val="bottom"/>
          </w:tcPr>
          <w:p>
            <w:pPr>
              <w:spacing w:after="0"/>
              <w:rPr>
                <w:sz w:val="1"/>
                <w:szCs w:val="1"/>
                <w:color w:val="auto"/>
              </w:rPr>
            </w:pPr>
          </w:p>
        </w:tc>
      </w:tr>
      <w:tr>
        <w:trPr>
          <w:trHeight w:val="201"/>
        </w:trPr>
        <w:tc>
          <w:tcPr>
            <w:tcW w:w="2080" w:type="dxa"/>
            <w:vAlign w:val="bottom"/>
            <w:tcBorders>
              <w:left w:val="single" w:sz="8" w:color="BFBFBF"/>
            </w:tcBorders>
          </w:tcPr>
          <w:p>
            <w:pPr>
              <w:spacing w:after="0"/>
              <w:rPr>
                <w:sz w:val="17"/>
                <w:szCs w:val="17"/>
                <w:color w:val="auto"/>
              </w:rPr>
            </w:pPr>
          </w:p>
        </w:tc>
        <w:tc>
          <w:tcPr>
            <w:tcW w:w="2960" w:type="dxa"/>
            <w:vAlign w:val="bottom"/>
          </w:tcPr>
          <w:p>
            <w:pPr>
              <w:spacing w:after="0"/>
              <w:rPr>
                <w:sz w:val="17"/>
                <w:szCs w:val="17"/>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 Pay relative to market.</w:t>
            </w:r>
          </w:p>
        </w:tc>
        <w:tc>
          <w:tcPr>
            <w:tcW w:w="296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80" w:type="dxa"/>
            <w:vAlign w:val="bottom"/>
            <w:tcBorders>
              <w:left w:val="single" w:sz="8" w:color="BFBFBF"/>
              <w:bottom w:val="single" w:sz="8" w:color="5D89B4"/>
            </w:tcBorders>
          </w:tcPr>
          <w:p>
            <w:pPr>
              <w:spacing w:after="0"/>
              <w:rPr>
                <w:sz w:val="9"/>
                <w:szCs w:val="9"/>
                <w:color w:val="auto"/>
              </w:rPr>
            </w:pPr>
          </w:p>
        </w:tc>
        <w:tc>
          <w:tcPr>
            <w:tcW w:w="2960" w:type="dxa"/>
            <w:vAlign w:val="bottom"/>
            <w:tcBorders>
              <w:bottom w:val="single" w:sz="8" w:color="5D89B4"/>
            </w:tcBorders>
          </w:tcPr>
          <w:p>
            <w:pPr>
              <w:spacing w:after="0"/>
              <w:rPr>
                <w:sz w:val="9"/>
                <w:szCs w:val="9"/>
                <w:color w:val="auto"/>
              </w:rPr>
            </w:pPr>
          </w:p>
        </w:tc>
        <w:tc>
          <w:tcPr>
            <w:tcW w:w="2940" w:type="dxa"/>
            <w:vAlign w:val="bottom"/>
            <w:tcBorders>
              <w:bottom w:val="single" w:sz="8" w:color="5D89B4"/>
            </w:tcBorders>
          </w:tcPr>
          <w:p>
            <w:pPr>
              <w:spacing w:after="0"/>
              <w:rPr>
                <w:sz w:val="9"/>
                <w:szCs w:val="9"/>
                <w:color w:val="auto"/>
              </w:rPr>
            </w:pPr>
          </w:p>
        </w:tc>
        <w:tc>
          <w:tcPr>
            <w:tcW w:w="2960" w:type="dxa"/>
            <w:vAlign w:val="bottom"/>
            <w:tcBorders>
              <w:bottom w:val="single" w:sz="8" w:color="5D89B4"/>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080" w:type="dxa"/>
            <w:vAlign w:val="bottom"/>
            <w:tcBorders>
              <w:left w:val="single" w:sz="8" w:color="BFBFBF"/>
            </w:tcBorders>
            <w:shd w:val="clear" w:color="auto" w:fill="EAEAEA"/>
          </w:tcPr>
          <w:p>
            <w:pPr>
              <w:ind w:left="240"/>
              <w:spacing w:after="0"/>
              <w:rPr>
                <w:sz w:val="20"/>
                <w:szCs w:val="20"/>
                <w:color w:val="auto"/>
              </w:rPr>
            </w:pPr>
            <w:r>
              <w:rPr>
                <w:rFonts w:ascii="Arial" w:cs="Arial" w:eastAsia="Arial" w:hAnsi="Arial"/>
                <w:sz w:val="14"/>
                <w:szCs w:val="14"/>
                <w:b w:val="1"/>
                <w:bCs w:val="1"/>
                <w:color w:val="auto"/>
              </w:rPr>
              <w:t>Annual Incentive Award</w:t>
            </w: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Variable compensation payable in cash</w:t>
            </w: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Motivate and reward NEOs for achievement</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None of the NEOs received a payout related</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based on performance against annually</w:t>
            </w: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of key strategic, operational and financial</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to the 2020 financial metrics of EPS, ROIC</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established goals and assessment of</w:t>
            </w: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measures over the year.</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and Revenue because the levels achieved</w:t>
            </w: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individual performance.</w:t>
            </w:r>
          </w:p>
        </w:tc>
        <w:tc>
          <w:tcPr>
            <w:tcW w:w="294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Measures used to determine annual</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were below the threshold levels in 2020.</w:t>
            </w:r>
          </w:p>
        </w:tc>
        <w:tc>
          <w:tcPr>
            <w:tcW w:w="0" w:type="dxa"/>
            <w:vAlign w:val="bottom"/>
          </w:tcPr>
          <w:p>
            <w:pPr>
              <w:spacing w:after="0"/>
              <w:rPr>
                <w:sz w:val="1"/>
                <w:szCs w:val="1"/>
                <w:color w:val="auto"/>
              </w:rPr>
            </w:pPr>
          </w:p>
        </w:tc>
      </w:tr>
      <w:tr>
        <w:trPr>
          <w:trHeight w:val="110"/>
        </w:trPr>
        <w:tc>
          <w:tcPr>
            <w:tcW w:w="2080" w:type="dxa"/>
            <w:vAlign w:val="bottom"/>
            <w:tcBorders>
              <w:left w:val="single" w:sz="8" w:color="BFBFBF"/>
            </w:tcBorders>
            <w:shd w:val="clear" w:color="auto" w:fill="EAEAEA"/>
          </w:tcPr>
          <w:p>
            <w:pPr>
              <w:spacing w:after="0"/>
              <w:rPr>
                <w:sz w:val="9"/>
                <w:szCs w:val="9"/>
                <w:color w:val="auto"/>
              </w:rPr>
            </w:pPr>
          </w:p>
        </w:tc>
        <w:tc>
          <w:tcPr>
            <w:tcW w:w="2960" w:type="dxa"/>
            <w:vAlign w:val="bottom"/>
            <w:shd w:val="clear" w:color="auto" w:fill="EAEAEA"/>
          </w:tcPr>
          <w:p>
            <w:pPr>
              <w:spacing w:after="0"/>
              <w:rPr>
                <w:sz w:val="9"/>
                <w:szCs w:val="9"/>
                <w:color w:val="auto"/>
              </w:rPr>
            </w:pPr>
          </w:p>
        </w:tc>
        <w:tc>
          <w:tcPr>
            <w:tcW w:w="2940" w:type="dxa"/>
            <w:vAlign w:val="bottom"/>
            <w:vMerge w:val="continue"/>
            <w:shd w:val="clear" w:color="auto" w:fill="EAEAEA"/>
          </w:tcPr>
          <w:p>
            <w:pPr>
              <w:spacing w:after="0"/>
              <w:rPr>
                <w:sz w:val="9"/>
                <w:szCs w:val="9"/>
                <w:color w:val="auto"/>
              </w:rPr>
            </w:pPr>
          </w:p>
        </w:tc>
        <w:tc>
          <w:tcPr>
            <w:tcW w:w="2960" w:type="dxa"/>
            <w:vAlign w:val="bottom"/>
            <w:tcBorders>
              <w:right w:val="single" w:sz="8" w:color="BFBFBF"/>
            </w:tcBorders>
            <w:vMerge w:val="restart"/>
            <w:shd w:val="clear" w:color="auto" w:fill="EAEAEA"/>
          </w:tcPr>
          <w:p>
            <w:pPr>
              <w:ind w:left="100"/>
              <w:spacing w:after="0"/>
              <w:rPr>
                <w:sz w:val="20"/>
                <w:szCs w:val="20"/>
                <w:color w:val="auto"/>
              </w:rPr>
            </w:pPr>
            <w:r>
              <w:rPr>
                <w:rFonts w:ascii="Arial" w:cs="Arial" w:eastAsia="Arial" w:hAnsi="Arial"/>
                <w:sz w:val="14"/>
                <w:szCs w:val="14"/>
                <w:color w:val="auto"/>
              </w:rPr>
              <w:t>• Each of the NEOs received a percentage</w:t>
            </w:r>
          </w:p>
        </w:tc>
        <w:tc>
          <w:tcPr>
            <w:tcW w:w="0" w:type="dxa"/>
            <w:vAlign w:val="bottom"/>
          </w:tcPr>
          <w:p>
            <w:pPr>
              <w:spacing w:after="0"/>
              <w:rPr>
                <w:sz w:val="1"/>
                <w:szCs w:val="1"/>
                <w:color w:val="auto"/>
              </w:rPr>
            </w:pPr>
          </w:p>
        </w:tc>
      </w:tr>
      <w:tr>
        <w:trPr>
          <w:trHeight w:val="129"/>
        </w:trPr>
        <w:tc>
          <w:tcPr>
            <w:tcW w:w="2080" w:type="dxa"/>
            <w:vAlign w:val="bottom"/>
            <w:tcBorders>
              <w:left w:val="single" w:sz="8" w:color="BFBFBF"/>
            </w:tcBorders>
            <w:shd w:val="clear" w:color="auto" w:fill="EAEAEA"/>
          </w:tcPr>
          <w:p>
            <w:pPr>
              <w:spacing w:after="0"/>
              <w:rPr>
                <w:sz w:val="11"/>
                <w:szCs w:val="11"/>
                <w:color w:val="auto"/>
              </w:rPr>
            </w:pPr>
          </w:p>
        </w:tc>
        <w:tc>
          <w:tcPr>
            <w:tcW w:w="2960" w:type="dxa"/>
            <w:vAlign w:val="bottom"/>
            <w:shd w:val="clear" w:color="auto" w:fill="EAEAEA"/>
          </w:tcPr>
          <w:p>
            <w:pPr>
              <w:spacing w:after="0"/>
              <w:rPr>
                <w:sz w:val="11"/>
                <w:szCs w:val="11"/>
                <w:color w:val="auto"/>
              </w:rPr>
            </w:pPr>
          </w:p>
        </w:tc>
        <w:tc>
          <w:tcPr>
            <w:tcW w:w="2940" w:type="dxa"/>
            <w:vAlign w:val="bottom"/>
            <w:shd w:val="clear" w:color="auto" w:fill="EAEAEA"/>
          </w:tcPr>
          <w:p>
            <w:pPr>
              <w:ind w:left="80"/>
              <w:spacing w:after="0" w:line="129" w:lineRule="exact"/>
              <w:rPr>
                <w:sz w:val="20"/>
                <w:szCs w:val="20"/>
                <w:color w:val="auto"/>
              </w:rPr>
            </w:pPr>
            <w:r>
              <w:rPr>
                <w:rFonts w:ascii="Arial" w:cs="Arial" w:eastAsia="Arial" w:hAnsi="Arial"/>
                <w:sz w:val="14"/>
                <w:szCs w:val="14"/>
                <w:color w:val="auto"/>
              </w:rPr>
              <w:t>incentive for NEOs in 2020:</w:t>
            </w:r>
          </w:p>
        </w:tc>
        <w:tc>
          <w:tcPr>
            <w:tcW w:w="2960" w:type="dxa"/>
            <w:vAlign w:val="bottom"/>
            <w:tcBorders>
              <w:right w:val="single" w:sz="8" w:color="BFBFBF"/>
            </w:tcBorders>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 The annual incentives for the NEOs were</w:t>
            </w:r>
          </w:p>
        </w:tc>
        <w:tc>
          <w:tcPr>
            <w:tcW w:w="2960" w:type="dxa"/>
            <w:vAlign w:val="bottom"/>
            <w:tcBorders>
              <w:right w:val="single" w:sz="8" w:color="BFBFBF"/>
            </w:tcBorders>
            <w:shd w:val="clear" w:color="auto" w:fill="EAEAEA"/>
          </w:tcPr>
          <w:p>
            <w:pPr>
              <w:ind w:left="240"/>
              <w:spacing w:after="0" w:line="152" w:lineRule="exact"/>
              <w:rPr>
                <w:sz w:val="20"/>
                <w:szCs w:val="20"/>
                <w:color w:val="auto"/>
              </w:rPr>
            </w:pPr>
            <w:r>
              <w:rPr>
                <w:rFonts w:ascii="Arial" w:cs="Arial" w:eastAsia="Arial" w:hAnsi="Arial"/>
                <w:sz w:val="14"/>
                <w:szCs w:val="14"/>
                <w:color w:val="auto"/>
              </w:rPr>
              <w:t>of their incentive for achieving a specified</w:t>
            </w:r>
          </w:p>
        </w:tc>
        <w:tc>
          <w:tcPr>
            <w:tcW w:w="0" w:type="dxa"/>
            <w:vAlign w:val="bottom"/>
          </w:tcPr>
          <w:p>
            <w:pPr>
              <w:spacing w:after="0"/>
              <w:rPr>
                <w:sz w:val="1"/>
                <w:szCs w:val="1"/>
                <w:color w:val="auto"/>
              </w:rPr>
            </w:pPr>
          </w:p>
        </w:tc>
      </w:tr>
      <w:tr>
        <w:trPr>
          <w:trHeight w:val="129"/>
        </w:trPr>
        <w:tc>
          <w:tcPr>
            <w:tcW w:w="2080" w:type="dxa"/>
            <w:vAlign w:val="bottom"/>
            <w:tcBorders>
              <w:left w:val="single" w:sz="8" w:color="BFBFBF"/>
            </w:tcBorders>
            <w:shd w:val="clear" w:color="auto" w:fill="EAEAEA"/>
          </w:tcPr>
          <w:p>
            <w:pPr>
              <w:spacing w:after="0"/>
              <w:rPr>
                <w:sz w:val="11"/>
                <w:szCs w:val="11"/>
                <w:color w:val="auto"/>
              </w:rPr>
            </w:pPr>
          </w:p>
        </w:tc>
        <w:tc>
          <w:tcPr>
            <w:tcW w:w="2960" w:type="dxa"/>
            <w:vAlign w:val="bottom"/>
            <w:shd w:val="clear" w:color="auto" w:fill="EAEAEA"/>
          </w:tcPr>
          <w:p>
            <w:pPr>
              <w:spacing w:after="0"/>
              <w:rPr>
                <w:sz w:val="11"/>
                <w:szCs w:val="11"/>
                <w:color w:val="auto"/>
              </w:rPr>
            </w:pPr>
          </w:p>
        </w:tc>
        <w:tc>
          <w:tcPr>
            <w:tcW w:w="2940" w:type="dxa"/>
            <w:vAlign w:val="bottom"/>
            <w:vMerge w:val="continue"/>
            <w:shd w:val="clear" w:color="auto" w:fill="EAEAEA"/>
          </w:tcPr>
          <w:p>
            <w:pPr>
              <w:spacing w:after="0"/>
              <w:rPr>
                <w:sz w:val="11"/>
                <w:szCs w:val="11"/>
                <w:color w:val="auto"/>
              </w:rPr>
            </w:pPr>
          </w:p>
        </w:tc>
        <w:tc>
          <w:tcPr>
            <w:tcW w:w="2960" w:type="dxa"/>
            <w:vAlign w:val="bottom"/>
            <w:tcBorders>
              <w:right w:val="single" w:sz="8" w:color="BFBFBF"/>
            </w:tcBorders>
            <w:shd w:val="clear" w:color="auto" w:fill="EAEAEA"/>
          </w:tcPr>
          <w:p>
            <w:pPr>
              <w:ind w:left="240"/>
              <w:spacing w:after="0" w:line="129" w:lineRule="exact"/>
              <w:rPr>
                <w:sz w:val="20"/>
                <w:szCs w:val="20"/>
                <w:color w:val="auto"/>
              </w:rPr>
            </w:pPr>
            <w:r>
              <w:rPr>
                <w:rFonts w:ascii="Arial" w:cs="Arial" w:eastAsia="Arial" w:hAnsi="Arial"/>
                <w:sz w:val="14"/>
                <w:szCs w:val="14"/>
                <w:color w:val="auto"/>
              </w:rPr>
              <w:t>level of their individual operating</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made under the Annual Incentive Plan</w:t>
            </w:r>
          </w:p>
        </w:tc>
        <w:tc>
          <w:tcPr>
            <w:tcW w:w="2960" w:type="dxa"/>
            <w:vAlign w:val="bottom"/>
            <w:tcBorders>
              <w:right w:val="single" w:sz="8" w:color="BFBFBF"/>
            </w:tcBorders>
            <w:shd w:val="clear" w:color="auto" w:fill="EAEAEA"/>
          </w:tcPr>
          <w:p>
            <w:pPr>
              <w:ind w:left="240"/>
              <w:spacing w:after="0"/>
              <w:rPr>
                <w:sz w:val="20"/>
                <w:szCs w:val="20"/>
                <w:color w:val="auto"/>
              </w:rPr>
            </w:pPr>
            <w:r>
              <w:rPr>
                <w:rFonts w:ascii="Arial" w:cs="Arial" w:eastAsia="Arial" w:hAnsi="Arial"/>
                <w:sz w:val="14"/>
                <w:szCs w:val="14"/>
                <w:color w:val="auto"/>
              </w:rPr>
              <w:t>objectives.</w:t>
            </w:r>
          </w:p>
        </w:tc>
        <w:tc>
          <w:tcPr>
            <w:tcW w:w="0" w:type="dxa"/>
            <w:vAlign w:val="bottom"/>
          </w:tcPr>
          <w:p>
            <w:pPr>
              <w:spacing w:after="0"/>
              <w:rPr>
                <w:sz w:val="1"/>
                <w:szCs w:val="1"/>
                <w:color w:val="auto"/>
              </w:rPr>
            </w:pPr>
          </w:p>
        </w:tc>
      </w:tr>
      <w:tr>
        <w:trPr>
          <w:trHeight w:val="152"/>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line="152" w:lineRule="exact"/>
              <w:rPr>
                <w:sz w:val="20"/>
                <w:szCs w:val="20"/>
                <w:color w:val="auto"/>
              </w:rPr>
            </w:pPr>
            <w:r>
              <w:rPr>
                <w:rFonts w:ascii="Arial" w:cs="Arial" w:eastAsia="Arial" w:hAnsi="Arial"/>
                <w:sz w:val="14"/>
                <w:szCs w:val="14"/>
                <w:color w:val="auto"/>
              </w:rPr>
              <w:t>(“Incentive Plan”). The Incentive Plan</w:t>
            </w:r>
          </w:p>
        </w:tc>
        <w:tc>
          <w:tcPr>
            <w:tcW w:w="2960" w:type="dxa"/>
            <w:vAlign w:val="bottom"/>
            <w:tcBorders>
              <w:right w:val="single" w:sz="8" w:color="BFBFBF"/>
            </w:tcBorders>
            <w:vMerge w:val="restart"/>
            <w:shd w:val="clear" w:color="auto" w:fill="EAEAEA"/>
          </w:tcPr>
          <w:p>
            <w:pPr>
              <w:ind w:left="100"/>
              <w:spacing w:after="0"/>
              <w:rPr>
                <w:sz w:val="20"/>
                <w:szCs w:val="20"/>
                <w:color w:val="auto"/>
              </w:rPr>
            </w:pPr>
            <w:r>
              <w:rPr>
                <w:rFonts w:ascii="Arial" w:cs="Arial" w:eastAsia="Arial" w:hAnsi="Arial"/>
                <w:sz w:val="14"/>
                <w:szCs w:val="14"/>
                <w:color w:val="auto"/>
              </w:rPr>
              <w:t>Ms. Swan retired from the Company in</w:t>
            </w:r>
          </w:p>
        </w:tc>
        <w:tc>
          <w:tcPr>
            <w:tcW w:w="0" w:type="dxa"/>
            <w:vAlign w:val="bottom"/>
          </w:tcPr>
          <w:p>
            <w:pPr>
              <w:spacing w:after="0"/>
              <w:rPr>
                <w:sz w:val="1"/>
                <w:szCs w:val="1"/>
                <w:color w:val="auto"/>
              </w:rPr>
            </w:pPr>
          </w:p>
        </w:tc>
      </w:tr>
      <w:tr>
        <w:trPr>
          <w:trHeight w:val="129"/>
        </w:trPr>
        <w:tc>
          <w:tcPr>
            <w:tcW w:w="2080" w:type="dxa"/>
            <w:vAlign w:val="bottom"/>
            <w:tcBorders>
              <w:left w:val="single" w:sz="8" w:color="BFBFBF"/>
            </w:tcBorders>
            <w:shd w:val="clear" w:color="auto" w:fill="EAEAEA"/>
          </w:tcPr>
          <w:p>
            <w:pPr>
              <w:spacing w:after="0"/>
              <w:rPr>
                <w:sz w:val="11"/>
                <w:szCs w:val="11"/>
                <w:color w:val="auto"/>
              </w:rPr>
            </w:pPr>
          </w:p>
        </w:tc>
        <w:tc>
          <w:tcPr>
            <w:tcW w:w="2960" w:type="dxa"/>
            <w:vAlign w:val="bottom"/>
            <w:shd w:val="clear" w:color="auto" w:fill="EAEAEA"/>
          </w:tcPr>
          <w:p>
            <w:pPr>
              <w:spacing w:after="0"/>
              <w:rPr>
                <w:sz w:val="11"/>
                <w:szCs w:val="11"/>
                <w:color w:val="auto"/>
              </w:rPr>
            </w:pPr>
          </w:p>
        </w:tc>
        <w:tc>
          <w:tcPr>
            <w:tcW w:w="2940" w:type="dxa"/>
            <w:vAlign w:val="bottom"/>
            <w:shd w:val="clear" w:color="auto" w:fill="EAEAEA"/>
          </w:tcPr>
          <w:p>
            <w:pPr>
              <w:ind w:left="220"/>
              <w:spacing w:after="0" w:line="129" w:lineRule="exact"/>
              <w:rPr>
                <w:sz w:val="20"/>
                <w:szCs w:val="20"/>
                <w:color w:val="auto"/>
              </w:rPr>
            </w:pPr>
            <w:r>
              <w:rPr>
                <w:rFonts w:ascii="Arial" w:cs="Arial" w:eastAsia="Arial" w:hAnsi="Arial"/>
                <w:sz w:val="14"/>
                <w:szCs w:val="14"/>
                <w:color w:val="auto"/>
              </w:rPr>
              <w:t>provides for the payment of annual cash</w:t>
            </w:r>
          </w:p>
        </w:tc>
        <w:tc>
          <w:tcPr>
            <w:tcW w:w="2960" w:type="dxa"/>
            <w:vAlign w:val="bottom"/>
            <w:tcBorders>
              <w:right w:val="single" w:sz="8" w:color="BFBFBF"/>
            </w:tcBorders>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rewards to a participant based on the</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March 2020 and did not participate in the</w:t>
            </w:r>
          </w:p>
        </w:tc>
        <w:tc>
          <w:tcPr>
            <w:tcW w:w="0" w:type="dxa"/>
            <w:vAlign w:val="bottom"/>
          </w:tcPr>
          <w:p>
            <w:pPr>
              <w:spacing w:after="0"/>
              <w:rPr>
                <w:sz w:val="1"/>
                <w:szCs w:val="1"/>
                <w:color w:val="auto"/>
              </w:rPr>
            </w:pPr>
          </w:p>
        </w:tc>
      </w:tr>
      <w:tr>
        <w:trPr>
          <w:trHeight w:val="192"/>
        </w:trPr>
        <w:tc>
          <w:tcPr>
            <w:tcW w:w="2080" w:type="dxa"/>
            <w:vAlign w:val="bottom"/>
            <w:tcBorders>
              <w:left w:val="single" w:sz="8" w:color="BFBFBF"/>
            </w:tcBorders>
            <w:shd w:val="clear" w:color="auto" w:fill="EAEAEA"/>
          </w:tcPr>
          <w:p>
            <w:pPr>
              <w:spacing w:after="0"/>
              <w:rPr>
                <w:sz w:val="16"/>
                <w:szCs w:val="16"/>
                <w:color w:val="auto"/>
              </w:rPr>
            </w:pPr>
          </w:p>
        </w:tc>
        <w:tc>
          <w:tcPr>
            <w:tcW w:w="2960" w:type="dxa"/>
            <w:vAlign w:val="bottom"/>
            <w:shd w:val="clear" w:color="auto" w:fill="EAEAEA"/>
          </w:tcPr>
          <w:p>
            <w:pPr>
              <w:spacing w:after="0"/>
              <w:rPr>
                <w:sz w:val="16"/>
                <w:szCs w:val="16"/>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Company’s attainment of one or more</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annual incentive plan for 2020.</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performance metrics and operating</w:t>
            </w:r>
          </w:p>
        </w:tc>
        <w:tc>
          <w:tcPr>
            <w:tcW w:w="296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objectives established for that participant</w:t>
            </w:r>
          </w:p>
        </w:tc>
        <w:tc>
          <w:tcPr>
            <w:tcW w:w="296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for the relevant year. The maximum</w:t>
            </w:r>
          </w:p>
        </w:tc>
        <w:tc>
          <w:tcPr>
            <w:tcW w:w="296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individual limit in any year under the</w:t>
            </w:r>
          </w:p>
        </w:tc>
        <w:tc>
          <w:tcPr>
            <w:tcW w:w="296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Incentive Plan is $5 million.</w:t>
            </w:r>
          </w:p>
        </w:tc>
        <w:tc>
          <w:tcPr>
            <w:tcW w:w="2960" w:type="dxa"/>
            <w:vAlign w:val="bottom"/>
            <w:tcBorders>
              <w:right w:val="single" w:sz="8" w:color="BFBFBF"/>
            </w:tcBorders>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80" w:type="dxa"/>
            <w:vAlign w:val="bottom"/>
            <w:tcBorders>
              <w:left w:val="single" w:sz="8" w:color="BFBFBF"/>
            </w:tcBorders>
            <w:shd w:val="clear" w:color="auto" w:fill="EAEAEA"/>
          </w:tcPr>
          <w:p>
            <w:pPr>
              <w:spacing w:after="0"/>
              <w:rPr>
                <w:sz w:val="20"/>
                <w:szCs w:val="20"/>
                <w:color w:val="auto"/>
              </w:rPr>
            </w:pPr>
          </w:p>
        </w:tc>
        <w:tc>
          <w:tcPr>
            <w:tcW w:w="2960" w:type="dxa"/>
            <w:vAlign w:val="bottom"/>
            <w:shd w:val="clear" w:color="auto" w:fill="EAEAEA"/>
          </w:tcPr>
          <w:p>
            <w:pPr>
              <w:spacing w:after="0"/>
              <w:rPr>
                <w:sz w:val="20"/>
                <w:szCs w:val="20"/>
                <w:color w:val="auto"/>
              </w:rPr>
            </w:pP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 The performance metrics used to</w:t>
            </w:r>
          </w:p>
        </w:tc>
        <w:tc>
          <w:tcPr>
            <w:tcW w:w="2960" w:type="dxa"/>
            <w:vAlign w:val="bottom"/>
            <w:tcBorders>
              <w:right w:val="single" w:sz="8" w:color="BFBFBF"/>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determine NEOs annual incentive were</w:t>
            </w:r>
          </w:p>
        </w:tc>
        <w:tc>
          <w:tcPr>
            <w:tcW w:w="296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EPS, ROIC and Revenue for all NEOs.</w:t>
            </w:r>
          </w:p>
        </w:tc>
        <w:tc>
          <w:tcPr>
            <w:tcW w:w="2960" w:type="dxa"/>
            <w:vAlign w:val="bottom"/>
            <w:tcBorders>
              <w:right w:val="single" w:sz="8" w:color="BFBFBF"/>
            </w:tcBorders>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80" w:type="dxa"/>
            <w:vAlign w:val="bottom"/>
            <w:tcBorders>
              <w:left w:val="single" w:sz="8" w:color="BFBFBF"/>
              <w:bottom w:val="single" w:sz="8" w:color="BFBFBF"/>
            </w:tcBorders>
            <w:shd w:val="clear" w:color="auto" w:fill="EAEAEA"/>
          </w:tcPr>
          <w:p>
            <w:pPr>
              <w:spacing w:after="0"/>
              <w:rPr>
                <w:sz w:val="9"/>
                <w:szCs w:val="9"/>
                <w:color w:val="auto"/>
              </w:rPr>
            </w:pPr>
          </w:p>
        </w:tc>
        <w:tc>
          <w:tcPr>
            <w:tcW w:w="2960" w:type="dxa"/>
            <w:vAlign w:val="bottom"/>
            <w:tcBorders>
              <w:bottom w:val="single" w:sz="8" w:color="BFBFBF"/>
            </w:tcBorders>
            <w:shd w:val="clear" w:color="auto" w:fill="EAEAEA"/>
          </w:tcPr>
          <w:p>
            <w:pPr>
              <w:spacing w:after="0"/>
              <w:rPr>
                <w:sz w:val="9"/>
                <w:szCs w:val="9"/>
                <w:color w:val="auto"/>
              </w:rPr>
            </w:pPr>
          </w:p>
        </w:tc>
        <w:tc>
          <w:tcPr>
            <w:tcW w:w="2940" w:type="dxa"/>
            <w:vAlign w:val="bottom"/>
            <w:tcBorders>
              <w:bottom w:val="single" w:sz="8" w:color="BFBFBF"/>
            </w:tcBorders>
            <w:shd w:val="clear" w:color="auto" w:fill="EAEAEA"/>
          </w:tcPr>
          <w:p>
            <w:pPr>
              <w:spacing w:after="0"/>
              <w:rPr>
                <w:sz w:val="9"/>
                <w:szCs w:val="9"/>
                <w:color w:val="auto"/>
              </w:rPr>
            </w:pPr>
          </w:p>
        </w:tc>
        <w:tc>
          <w:tcPr>
            <w:tcW w:w="2960" w:type="dxa"/>
            <w:vAlign w:val="bottom"/>
            <w:tcBorders>
              <w:bottom w:val="single" w:sz="8" w:color="BFBFBF"/>
              <w:right w:val="single" w:sz="8" w:color="BFBFBF"/>
            </w:tcBorders>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80" w:type="dxa"/>
            <w:vAlign w:val="bottom"/>
            <w:tcBorders>
              <w:bottom w:val="single" w:sz="8" w:color="5D89B4"/>
            </w:tcBorders>
          </w:tcPr>
          <w:p>
            <w:pPr>
              <w:spacing w:after="0"/>
              <w:rPr>
                <w:sz w:val="14"/>
                <w:szCs w:val="14"/>
                <w:color w:val="auto"/>
              </w:rPr>
            </w:pPr>
          </w:p>
        </w:tc>
        <w:tc>
          <w:tcPr>
            <w:tcW w:w="2960" w:type="dxa"/>
            <w:vAlign w:val="bottom"/>
            <w:tcBorders>
              <w:bottom w:val="single" w:sz="8" w:color="5D89B4"/>
            </w:tcBorders>
          </w:tcPr>
          <w:p>
            <w:pPr>
              <w:spacing w:after="0"/>
              <w:rPr>
                <w:sz w:val="14"/>
                <w:szCs w:val="14"/>
                <w:color w:val="auto"/>
              </w:rPr>
            </w:pPr>
          </w:p>
        </w:tc>
        <w:tc>
          <w:tcPr>
            <w:tcW w:w="2940" w:type="dxa"/>
            <w:vAlign w:val="bottom"/>
            <w:tcBorders>
              <w:bottom w:val="single" w:sz="8" w:color="5D89B4"/>
            </w:tcBorders>
          </w:tcPr>
          <w:p>
            <w:pPr>
              <w:spacing w:after="0"/>
              <w:rPr>
                <w:sz w:val="14"/>
                <w:szCs w:val="14"/>
                <w:color w:val="auto"/>
              </w:rPr>
            </w:pPr>
          </w:p>
        </w:tc>
        <w:tc>
          <w:tcPr>
            <w:tcW w:w="296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40"/>
          </w:cols>
          <w:pgMar w:left="480" w:top="1165" w:right="47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938010" cy="49764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38010" cy="497649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shd w:val="clear" w:color="auto" w:fill="EAEAEA"/>
          </w:tcPr>
          <w:p>
            <w:pPr>
              <w:ind w:left="240"/>
              <w:spacing w:after="0"/>
              <w:rPr>
                <w:sz w:val="20"/>
                <w:szCs w:val="20"/>
                <w:color w:val="auto"/>
              </w:rPr>
            </w:pPr>
            <w:r>
              <w:rPr>
                <w:rFonts w:ascii="Arial" w:cs="Arial" w:eastAsia="Arial" w:hAnsi="Arial"/>
                <w:sz w:val="12"/>
                <w:szCs w:val="12"/>
                <w:b w:val="1"/>
                <w:bCs w:val="1"/>
                <w:color w:val="5D89B4"/>
              </w:rPr>
              <w:t>COMPENSATION ELEMENT</w:t>
            </w:r>
          </w:p>
        </w:tc>
        <w:tc>
          <w:tcPr>
            <w:tcW w:w="2320" w:type="dxa"/>
            <w:vAlign w:val="bottom"/>
            <w:shd w:val="clear" w:color="auto" w:fill="EAEAEA"/>
          </w:tcPr>
          <w:p>
            <w:pPr>
              <w:ind w:left="100"/>
              <w:spacing w:after="0"/>
              <w:rPr>
                <w:sz w:val="20"/>
                <w:szCs w:val="20"/>
                <w:color w:val="auto"/>
              </w:rPr>
            </w:pPr>
            <w:r>
              <w:rPr>
                <w:rFonts w:ascii="Arial" w:cs="Arial" w:eastAsia="Arial" w:hAnsi="Arial"/>
                <w:sz w:val="12"/>
                <w:szCs w:val="12"/>
                <w:b w:val="1"/>
                <w:bCs w:val="1"/>
                <w:color w:val="5D89B4"/>
              </w:rPr>
              <w:t>KEY CHARACTERISTICS</w:t>
            </w:r>
          </w:p>
        </w:tc>
        <w:tc>
          <w:tcPr>
            <w:tcW w:w="3240" w:type="dxa"/>
            <w:vAlign w:val="bottom"/>
            <w:shd w:val="clear" w:color="auto" w:fill="EAEAEA"/>
          </w:tcPr>
          <w:p>
            <w:pPr>
              <w:ind w:left="720"/>
              <w:spacing w:after="0"/>
              <w:rPr>
                <w:sz w:val="20"/>
                <w:szCs w:val="20"/>
                <w:color w:val="auto"/>
              </w:rPr>
            </w:pPr>
            <w:r>
              <w:rPr>
                <w:rFonts w:ascii="Arial" w:cs="Arial" w:eastAsia="Arial" w:hAnsi="Arial"/>
                <w:sz w:val="12"/>
                <w:szCs w:val="12"/>
                <w:b w:val="1"/>
                <w:bCs w:val="1"/>
                <w:color w:val="5D89B4"/>
              </w:rPr>
              <w:t>OBJECTIVE AND DETERMINATION</w:t>
            </w:r>
          </w:p>
        </w:tc>
        <w:tc>
          <w:tcPr>
            <w:tcW w:w="3280" w:type="dxa"/>
            <w:vAlign w:val="bottom"/>
            <w:shd w:val="clear" w:color="auto" w:fill="EAEAEA"/>
          </w:tcPr>
          <w:p>
            <w:pPr>
              <w:ind w:left="440"/>
              <w:spacing w:after="0"/>
              <w:rPr>
                <w:sz w:val="20"/>
                <w:szCs w:val="20"/>
                <w:color w:val="auto"/>
              </w:rPr>
            </w:pPr>
            <w:r>
              <w:rPr>
                <w:rFonts w:ascii="Arial" w:cs="Arial" w:eastAsia="Arial" w:hAnsi="Arial"/>
                <w:sz w:val="12"/>
                <w:szCs w:val="12"/>
                <w:b w:val="1"/>
                <w:bCs w:val="1"/>
                <w:color w:val="5D89B4"/>
              </w:rPr>
              <w:t>2020 DECISIONS</w:t>
            </w:r>
          </w:p>
        </w:tc>
      </w:tr>
      <w:tr>
        <w:trPr>
          <w:trHeight w:val="58"/>
        </w:trPr>
        <w:tc>
          <w:tcPr>
            <w:tcW w:w="2080" w:type="dxa"/>
            <w:vAlign w:val="bottom"/>
            <w:shd w:val="clear" w:color="auto" w:fill="EAEAEA"/>
          </w:tcPr>
          <w:p>
            <w:pPr>
              <w:spacing w:after="0"/>
              <w:rPr>
                <w:sz w:val="5"/>
                <w:szCs w:val="5"/>
                <w:color w:val="auto"/>
              </w:rPr>
            </w:pPr>
          </w:p>
        </w:tc>
        <w:tc>
          <w:tcPr>
            <w:tcW w:w="2320" w:type="dxa"/>
            <w:vAlign w:val="bottom"/>
            <w:shd w:val="clear" w:color="auto" w:fill="EAEAEA"/>
          </w:tcPr>
          <w:p>
            <w:pPr>
              <w:spacing w:after="0"/>
              <w:rPr>
                <w:sz w:val="5"/>
                <w:szCs w:val="5"/>
                <w:color w:val="auto"/>
              </w:rPr>
            </w:pPr>
          </w:p>
        </w:tc>
        <w:tc>
          <w:tcPr>
            <w:tcW w:w="3240" w:type="dxa"/>
            <w:vAlign w:val="bottom"/>
            <w:shd w:val="clear" w:color="auto" w:fill="EAEAEA"/>
          </w:tcPr>
          <w:p>
            <w:pPr>
              <w:spacing w:after="0"/>
              <w:rPr>
                <w:sz w:val="5"/>
                <w:szCs w:val="5"/>
                <w:color w:val="auto"/>
              </w:rPr>
            </w:pPr>
          </w:p>
        </w:tc>
        <w:tc>
          <w:tcPr>
            <w:tcW w:w="3280" w:type="dxa"/>
            <w:vAlign w:val="bottom"/>
            <w:shd w:val="clear" w:color="auto" w:fill="EAEAEA"/>
          </w:tcPr>
          <w:p>
            <w:pPr>
              <w:spacing w:after="0"/>
              <w:rPr>
                <w:sz w:val="5"/>
                <w:szCs w:val="5"/>
                <w:color w:val="auto"/>
              </w:rPr>
            </w:pPr>
          </w:p>
        </w:tc>
      </w:tr>
    </w:tbl>
    <w:p>
      <w:pPr>
        <w:spacing w:after="0" w:line="53" w:lineRule="exact"/>
        <w:rPr>
          <w:sz w:val="20"/>
          <w:szCs w:val="20"/>
          <w:color w:val="auto"/>
        </w:rPr>
      </w:pPr>
    </w:p>
    <w:p>
      <w:pPr>
        <w:sectPr>
          <w:pgSz w:w="11900" w:h="16838" w:orient="portrait"/>
          <w:cols w:equalWidth="0" w:num="1">
            <w:col w:w="10920"/>
          </w:cols>
          <w:pgMar w:left="480" w:top="1165" w:right="499" w:bottom="1440" w:gutter="0" w:footer="0" w:header="0"/>
        </w:sectPr>
      </w:pPr>
    </w:p>
    <w:p>
      <w:pPr>
        <w:ind w:left="240"/>
        <w:spacing w:after="0"/>
        <w:tabs>
          <w:tab w:leader="none" w:pos="2160" w:val="left"/>
        </w:tabs>
        <w:rPr>
          <w:sz w:val="20"/>
          <w:szCs w:val="20"/>
          <w:color w:val="auto"/>
        </w:rPr>
      </w:pPr>
      <w:r>
        <w:rPr>
          <w:rFonts w:ascii="Arial" w:cs="Arial" w:eastAsia="Arial" w:hAnsi="Arial"/>
          <w:sz w:val="14"/>
          <w:szCs w:val="14"/>
          <w:b w:val="1"/>
          <w:bCs w:val="1"/>
          <w:color w:val="auto"/>
        </w:rPr>
        <w:t>PSUs</w:t>
      </w:r>
      <w:r>
        <w:rPr>
          <w:sz w:val="20"/>
          <w:szCs w:val="20"/>
          <w:color w:val="auto"/>
        </w:rPr>
        <w:tab/>
      </w:r>
      <w:r>
        <w:rPr>
          <w:rFonts w:ascii="Arial" w:cs="Arial" w:eastAsia="Arial" w:hAnsi="Arial"/>
          <w:sz w:val="14"/>
          <w:szCs w:val="14"/>
          <w:color w:val="auto"/>
        </w:rPr>
        <w:t>Variable compensation payable in shares of</w:t>
      </w:r>
    </w:p>
    <w:p>
      <w:pPr>
        <w:spacing w:after="0" w:line="18"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stock.</w:t>
      </w:r>
    </w:p>
    <w:p>
      <w:pPr>
        <w:spacing w:after="0" w:line="119"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The PSUs vest based on achievement of a</w:t>
      </w:r>
    </w:p>
    <w:p>
      <w:pPr>
        <w:ind w:left="2180"/>
        <w:spacing w:after="0"/>
        <w:rPr>
          <w:sz w:val="20"/>
          <w:szCs w:val="20"/>
          <w:color w:val="auto"/>
        </w:rPr>
      </w:pPr>
      <w:r>
        <w:rPr>
          <w:rFonts w:ascii="Arial" w:cs="Arial" w:eastAsia="Arial" w:hAnsi="Arial"/>
          <w:sz w:val="14"/>
          <w:szCs w:val="14"/>
          <w:color w:val="auto"/>
        </w:rPr>
        <w:t>pre-established performance metric over a</w:t>
      </w:r>
    </w:p>
    <w:p>
      <w:pPr>
        <w:ind w:left="2180"/>
        <w:spacing w:after="0"/>
        <w:rPr>
          <w:sz w:val="20"/>
          <w:szCs w:val="20"/>
          <w:color w:val="auto"/>
        </w:rPr>
      </w:pPr>
      <w:r>
        <w:rPr>
          <w:rFonts w:ascii="Arial" w:cs="Arial" w:eastAsia="Arial" w:hAnsi="Arial"/>
          <w:sz w:val="14"/>
          <w:szCs w:val="14"/>
          <w:color w:val="auto"/>
        </w:rPr>
        <w:t>period of time. If goals are not met, shares</w:t>
      </w:r>
    </w:p>
    <w:p>
      <w:pPr>
        <w:ind w:left="2180"/>
        <w:spacing w:after="0"/>
        <w:rPr>
          <w:sz w:val="20"/>
          <w:szCs w:val="20"/>
          <w:color w:val="auto"/>
        </w:rPr>
      </w:pPr>
      <w:r>
        <w:rPr>
          <w:rFonts w:ascii="Arial" w:cs="Arial" w:eastAsia="Arial" w:hAnsi="Arial"/>
          <w:sz w:val="14"/>
          <w:szCs w:val="14"/>
          <w:color w:val="auto"/>
        </w:rPr>
        <w:t>are not received.</w:t>
      </w:r>
    </w:p>
    <w:p>
      <w:pPr>
        <w:spacing w:after="0" w:line="20" w:lineRule="exact"/>
        <w:rPr>
          <w:sz w:val="20"/>
          <w:szCs w:val="20"/>
          <w:color w:val="auto"/>
        </w:rPr>
      </w:pPr>
      <w:r>
        <w:rPr>
          <w:sz w:val="20"/>
          <w:szCs w:val="20"/>
          <w:color w:val="auto"/>
        </w:rPr>
        <w:br w:type="column"/>
      </w:r>
    </w:p>
    <w:p>
      <w:pPr>
        <w:ind w:right="60"/>
        <w:spacing w:after="0" w:line="242" w:lineRule="auto"/>
        <w:rPr>
          <w:sz w:val="20"/>
          <w:szCs w:val="20"/>
          <w:color w:val="auto"/>
        </w:rPr>
      </w:pPr>
      <w:r>
        <w:rPr>
          <w:rFonts w:ascii="Arial" w:cs="Arial" w:eastAsia="Arial" w:hAnsi="Arial"/>
          <w:sz w:val="14"/>
          <w:szCs w:val="14"/>
          <w:color w:val="auto"/>
        </w:rPr>
        <w:t>Motivate and reward NEOs for performance against long-term financial objectives to align the interests of the NEOs with long-term shareholder value. Target amount awarded is determined based on job scope, market practice and individual performance.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Measures used to determine PSUs earned:</w:t>
      </w:r>
    </w:p>
    <w:p>
      <w:pPr>
        <w:spacing w:after="0" w:line="80" w:lineRule="exact"/>
        <w:rPr>
          <w:sz w:val="20"/>
          <w:szCs w:val="20"/>
          <w:color w:val="auto"/>
        </w:rPr>
      </w:pPr>
    </w:p>
    <w:p>
      <w:pPr>
        <w:ind w:left="140" w:right="180" w:hanging="130"/>
        <w:spacing w:after="0" w:line="244" w:lineRule="auto"/>
        <w:tabs>
          <w:tab w:leader="none" w:pos="94"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threshold level of average OPMP must be achieved during the 2020-2022 performance period to receive any PSU vesting.</w:t>
      </w:r>
    </w:p>
    <w:p>
      <w:pPr>
        <w:spacing w:after="0" w:line="67" w:lineRule="exact"/>
        <w:rPr>
          <w:rFonts w:ascii="Arial" w:cs="Arial" w:eastAsia="Arial" w:hAnsi="Arial"/>
          <w:sz w:val="14"/>
          <w:szCs w:val="14"/>
          <w:color w:val="auto"/>
        </w:rPr>
      </w:pPr>
    </w:p>
    <w:p>
      <w:pPr>
        <w:ind w:left="140" w:right="40" w:hanging="130"/>
        <w:spacing w:after="0" w:line="244" w:lineRule="auto"/>
        <w:tabs>
          <w:tab w:leader="none" w:pos="102" w:val="left"/>
        </w:tabs>
        <w:numPr>
          <w:ilvl w:val="0"/>
          <w:numId w:val="45"/>
        </w:numPr>
        <w:rPr>
          <w:rFonts w:ascii="Arial" w:cs="Arial" w:eastAsia="Arial" w:hAnsi="Arial"/>
          <w:sz w:val="14"/>
          <w:szCs w:val="14"/>
          <w:color w:val="auto"/>
        </w:rPr>
      </w:pPr>
      <w:r>
        <w:rPr>
          <w:rFonts w:ascii="Arial" w:cs="Arial" w:eastAsia="Arial" w:hAnsi="Arial"/>
          <w:sz w:val="14"/>
          <w:szCs w:val="14"/>
          <w:color w:val="auto"/>
        </w:rPr>
        <w:t>Payout levels for threshold, target and outstanding results are determined, and the actual payout percentage is calculated by interpolation.</w:t>
      </w:r>
    </w:p>
    <w:p>
      <w:pPr>
        <w:spacing w:after="0" w:line="67" w:lineRule="exact"/>
        <w:rPr>
          <w:rFonts w:ascii="Arial" w:cs="Arial" w:eastAsia="Arial" w:hAnsi="Arial"/>
          <w:sz w:val="14"/>
          <w:szCs w:val="14"/>
          <w:color w:val="auto"/>
        </w:rPr>
      </w:pPr>
    </w:p>
    <w:p>
      <w:pPr>
        <w:jc w:val="both"/>
        <w:ind w:left="140" w:right="140" w:hanging="130"/>
        <w:spacing w:after="0" w:line="242" w:lineRule="auto"/>
        <w:tabs>
          <w:tab w:leader="none" w:pos="102" w:val="left"/>
        </w:tabs>
        <w:numPr>
          <w:ilvl w:val="0"/>
          <w:numId w:val="45"/>
        </w:numPr>
        <w:rPr>
          <w:rFonts w:ascii="Arial" w:cs="Arial" w:eastAsia="Arial" w:hAnsi="Arial"/>
          <w:sz w:val="14"/>
          <w:szCs w:val="14"/>
          <w:color w:val="auto"/>
        </w:rPr>
      </w:pPr>
      <w:r>
        <w:rPr>
          <w:rFonts w:ascii="Arial" w:cs="Arial" w:eastAsia="Arial" w:hAnsi="Arial"/>
          <w:sz w:val="14"/>
          <w:szCs w:val="14"/>
          <w:color w:val="auto"/>
        </w:rPr>
        <w:t>However, if average operating profit does not meet a certain pre-determined dollar “gate” over the 2020-2022 performance period, NEOs will not receive more than 100% of the target level payout.</w:t>
      </w:r>
    </w:p>
    <w:p>
      <w:pPr>
        <w:spacing w:after="0" w:line="70" w:lineRule="exact"/>
        <w:rPr>
          <w:rFonts w:ascii="Arial" w:cs="Arial" w:eastAsia="Arial" w:hAnsi="Arial"/>
          <w:sz w:val="14"/>
          <w:szCs w:val="14"/>
          <w:color w:val="auto"/>
        </w:rPr>
      </w:pPr>
    </w:p>
    <w:p>
      <w:pPr>
        <w:ind w:left="140" w:hanging="130"/>
        <w:spacing w:after="0"/>
        <w:tabs>
          <w:tab w:leader="none" w:pos="99"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PSUs granted in 2020 include a modifier to the final PSU payout that can increase or decrease the final payout by up to 30%. At the end of the three-year performance period, the Committee will assess the achievement of pre-established strategic growth objectives and increase or decrease the final payout percentage by up to 30%. The total payout cannot be below threshold or exceed outstanding levels.</w:t>
      </w:r>
    </w:p>
    <w:p>
      <w:pPr>
        <w:spacing w:after="0" w:line="20" w:lineRule="exact"/>
        <w:rPr>
          <w:sz w:val="20"/>
          <w:szCs w:val="20"/>
          <w:color w:val="auto"/>
        </w:rPr>
      </w:pPr>
      <w:r>
        <w:rPr>
          <w:sz w:val="20"/>
          <w:szCs w:val="20"/>
          <w:color w:val="auto"/>
        </w:rPr>
        <w:br w:type="column"/>
      </w:r>
    </w:p>
    <w:p>
      <w:pPr>
        <w:ind w:right="40"/>
        <w:spacing w:after="0" w:line="242" w:lineRule="auto"/>
        <w:rPr>
          <w:sz w:val="20"/>
          <w:szCs w:val="20"/>
          <w:color w:val="auto"/>
        </w:rPr>
      </w:pPr>
      <w:r>
        <w:rPr>
          <w:rFonts w:ascii="Arial" w:cs="Arial" w:eastAsia="Arial" w:hAnsi="Arial"/>
          <w:sz w:val="14"/>
          <w:szCs w:val="14"/>
          <w:color w:val="auto"/>
        </w:rPr>
        <w:t>In 2020, PSUs represented approximately 60% of the total long-term equity incentive grants awarded to all of the NEOs, except for Ms. Swan who retired from the Company in March 2020 and did not receive PSUs.</w:t>
      </w:r>
    </w:p>
    <w:p>
      <w:pPr>
        <w:spacing w:after="0" w:line="71" w:lineRule="exact"/>
        <w:rPr>
          <w:sz w:val="20"/>
          <w:szCs w:val="20"/>
          <w:color w:val="auto"/>
        </w:rPr>
      </w:pPr>
    </w:p>
    <w:p>
      <w:pPr>
        <w:ind w:left="140" w:right="40" w:hanging="135"/>
        <w:spacing w:after="0" w:line="242" w:lineRule="auto"/>
        <w:tabs>
          <w:tab w:leader="none" w:pos="102"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addition, following the three-year performance period that ended on December 31, 2020, the NEOs earned the threshold level payout for PSUs granted in 2018.</w:t>
      </w:r>
    </w:p>
    <w:p>
      <w:pPr>
        <w:spacing w:after="0" w:line="3766" w:lineRule="exact"/>
        <w:rPr>
          <w:sz w:val="20"/>
          <w:szCs w:val="20"/>
          <w:color w:val="auto"/>
        </w:rPr>
      </w:pPr>
    </w:p>
    <w:p>
      <w:pPr>
        <w:sectPr>
          <w:pgSz w:w="11900" w:h="16838" w:orient="portrait"/>
          <w:cols w:equalWidth="0" w:num="3">
            <w:col w:w="4940" w:space="180"/>
            <w:col w:w="2840" w:space="120"/>
            <w:col w:w="2840"/>
          </w:cols>
          <w:pgMar w:left="480" w:top="1165" w:right="49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shd w:val="clear" w:color="auto" w:fill="EAEAEA"/>
          </w:tcPr>
          <w:p>
            <w:pPr>
              <w:ind w:left="240"/>
              <w:spacing w:after="0"/>
              <w:rPr>
                <w:sz w:val="20"/>
                <w:szCs w:val="20"/>
                <w:color w:val="auto"/>
              </w:rPr>
            </w:pPr>
            <w:r>
              <w:rPr>
                <w:rFonts w:ascii="Arial" w:cs="Arial" w:eastAsia="Arial" w:hAnsi="Arial"/>
                <w:sz w:val="14"/>
                <w:szCs w:val="14"/>
                <w:b w:val="1"/>
                <w:bCs w:val="1"/>
                <w:color w:val="auto"/>
              </w:rPr>
              <w:t>RSUs</w:t>
            </w: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Variable compensation payable in shares of</w:t>
            </w: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RSUs cliff vest in full after three years and</w:t>
            </w:r>
          </w:p>
        </w:tc>
        <w:tc>
          <w:tcPr>
            <w:tcW w:w="2900" w:type="dxa"/>
            <w:vAlign w:val="bottom"/>
            <w:shd w:val="clear" w:color="auto" w:fill="EAEAEA"/>
          </w:tcPr>
          <w:p>
            <w:pPr>
              <w:ind w:left="60"/>
              <w:spacing w:after="0"/>
              <w:rPr>
                <w:sz w:val="20"/>
                <w:szCs w:val="20"/>
                <w:color w:val="auto"/>
              </w:rPr>
            </w:pPr>
            <w:r>
              <w:rPr>
                <w:rFonts w:ascii="Arial" w:cs="Arial" w:eastAsia="Arial" w:hAnsi="Arial"/>
                <w:sz w:val="14"/>
                <w:szCs w:val="14"/>
                <w:color w:val="auto"/>
              </w:rPr>
              <w:t>Approximately 20% of all of the NEOs’ long-</w:t>
            </w:r>
          </w:p>
        </w:tc>
        <w:tc>
          <w:tcPr>
            <w:tcW w:w="0" w:type="dxa"/>
            <w:vAlign w:val="bottom"/>
          </w:tcPr>
          <w:p>
            <w:pPr>
              <w:spacing w:after="0"/>
              <w:rPr>
                <w:sz w:val="1"/>
                <w:szCs w:val="1"/>
                <w:color w:val="auto"/>
              </w:rPr>
            </w:pPr>
          </w:p>
        </w:tc>
      </w:tr>
      <w:tr>
        <w:trPr>
          <w:trHeight w:val="160"/>
        </w:trPr>
        <w:tc>
          <w:tcPr>
            <w:tcW w:w="2080" w:type="dxa"/>
            <w:vAlign w:val="bottom"/>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stock. 100% of the RSUs vest on the third</w:t>
            </w: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are paid in stock.</w:t>
            </w:r>
          </w:p>
        </w:tc>
        <w:tc>
          <w:tcPr>
            <w:tcW w:w="2900" w:type="dxa"/>
            <w:vAlign w:val="bottom"/>
            <w:shd w:val="clear" w:color="auto" w:fill="EAEAEA"/>
          </w:tcPr>
          <w:p>
            <w:pPr>
              <w:ind w:left="60"/>
              <w:spacing w:after="0"/>
              <w:rPr>
                <w:sz w:val="20"/>
                <w:szCs w:val="20"/>
                <w:color w:val="auto"/>
              </w:rPr>
            </w:pPr>
            <w:r>
              <w:rPr>
                <w:rFonts w:ascii="Arial" w:cs="Arial" w:eastAsia="Arial" w:hAnsi="Arial"/>
                <w:sz w:val="14"/>
                <w:szCs w:val="14"/>
                <w:color w:val="auto"/>
              </w:rPr>
              <w:t>term equity incentive grants in 2020 were in</w:t>
            </w:r>
          </w:p>
        </w:tc>
        <w:tc>
          <w:tcPr>
            <w:tcW w:w="0" w:type="dxa"/>
            <w:vAlign w:val="bottom"/>
          </w:tcPr>
          <w:p>
            <w:pPr>
              <w:spacing w:after="0"/>
              <w:rPr>
                <w:sz w:val="1"/>
                <w:szCs w:val="1"/>
                <w:color w:val="auto"/>
              </w:rPr>
            </w:pPr>
          </w:p>
        </w:tc>
      </w:tr>
      <w:tr>
        <w:trPr>
          <w:trHeight w:val="160"/>
        </w:trPr>
        <w:tc>
          <w:tcPr>
            <w:tcW w:w="2080" w:type="dxa"/>
            <w:vAlign w:val="bottom"/>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anniversary date.</w:t>
            </w:r>
          </w:p>
        </w:tc>
        <w:tc>
          <w:tcPr>
            <w:tcW w:w="29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 Through stock price and dividend</w:t>
            </w:r>
          </w:p>
        </w:tc>
        <w:tc>
          <w:tcPr>
            <w:tcW w:w="2900" w:type="dxa"/>
            <w:vAlign w:val="bottom"/>
            <w:shd w:val="clear" w:color="auto" w:fill="EAEAEA"/>
          </w:tcPr>
          <w:p>
            <w:pPr>
              <w:ind w:left="60"/>
              <w:spacing w:after="0"/>
              <w:rPr>
                <w:sz w:val="20"/>
                <w:szCs w:val="20"/>
                <w:color w:val="auto"/>
              </w:rPr>
            </w:pPr>
            <w:r>
              <w:rPr>
                <w:rFonts w:ascii="Arial" w:cs="Arial" w:eastAsia="Arial" w:hAnsi="Arial"/>
                <w:sz w:val="14"/>
                <w:szCs w:val="14"/>
                <w:color w:val="auto"/>
              </w:rPr>
              <w:t>the form of RSUs, except for Ms. Swan who</w:t>
            </w:r>
          </w:p>
        </w:tc>
        <w:tc>
          <w:tcPr>
            <w:tcW w:w="0" w:type="dxa"/>
            <w:vAlign w:val="bottom"/>
          </w:tcPr>
          <w:p>
            <w:pPr>
              <w:spacing w:after="0"/>
              <w:rPr>
                <w:sz w:val="1"/>
                <w:szCs w:val="1"/>
                <w:color w:val="auto"/>
              </w:rPr>
            </w:pPr>
          </w:p>
        </w:tc>
      </w:tr>
      <w:tr>
        <w:trPr>
          <w:trHeight w:val="80"/>
        </w:trPr>
        <w:tc>
          <w:tcPr>
            <w:tcW w:w="2080" w:type="dxa"/>
            <w:vAlign w:val="bottom"/>
            <w:shd w:val="clear" w:color="auto" w:fill="EAEAEA"/>
          </w:tcPr>
          <w:p>
            <w:pPr>
              <w:spacing w:after="0"/>
              <w:rPr>
                <w:sz w:val="6"/>
                <w:szCs w:val="6"/>
                <w:color w:val="auto"/>
              </w:rPr>
            </w:pPr>
          </w:p>
        </w:tc>
        <w:tc>
          <w:tcPr>
            <w:tcW w:w="2960" w:type="dxa"/>
            <w:vAlign w:val="bottom"/>
            <w:shd w:val="clear" w:color="auto" w:fill="EAEAEA"/>
          </w:tcPr>
          <w:p>
            <w:pPr>
              <w:spacing w:after="0"/>
              <w:rPr>
                <w:sz w:val="6"/>
                <w:szCs w:val="6"/>
                <w:color w:val="auto"/>
              </w:rPr>
            </w:pPr>
          </w:p>
        </w:tc>
        <w:tc>
          <w:tcPr>
            <w:tcW w:w="2980" w:type="dxa"/>
            <w:vAlign w:val="bottom"/>
            <w:vMerge w:val="continue"/>
            <w:shd w:val="clear" w:color="auto" w:fill="EAEAEA"/>
          </w:tcPr>
          <w:p>
            <w:pPr>
              <w:spacing w:after="0"/>
              <w:rPr>
                <w:sz w:val="6"/>
                <w:szCs w:val="6"/>
                <w:color w:val="auto"/>
              </w:rPr>
            </w:pPr>
          </w:p>
        </w:tc>
        <w:tc>
          <w:tcPr>
            <w:tcW w:w="2900" w:type="dxa"/>
            <w:vAlign w:val="bottom"/>
            <w:vMerge w:val="restart"/>
            <w:shd w:val="clear" w:color="auto" w:fill="EAEAEA"/>
          </w:tcPr>
          <w:p>
            <w:pPr>
              <w:ind w:left="60"/>
              <w:spacing w:after="0"/>
              <w:rPr>
                <w:sz w:val="20"/>
                <w:szCs w:val="20"/>
                <w:color w:val="auto"/>
              </w:rPr>
            </w:pPr>
            <w:r>
              <w:rPr>
                <w:rFonts w:ascii="Arial" w:cs="Arial" w:eastAsia="Arial" w:hAnsi="Arial"/>
                <w:sz w:val="14"/>
                <w:szCs w:val="14"/>
                <w:color w:val="auto"/>
              </w:rPr>
              <w:t>retired from the Company in March 2020</w:t>
            </w:r>
          </w:p>
        </w:tc>
        <w:tc>
          <w:tcPr>
            <w:tcW w:w="0" w:type="dxa"/>
            <w:vAlign w:val="bottom"/>
          </w:tcPr>
          <w:p>
            <w:pPr>
              <w:spacing w:after="0"/>
              <w:rPr>
                <w:sz w:val="1"/>
                <w:szCs w:val="1"/>
                <w:color w:val="auto"/>
              </w:rPr>
            </w:pPr>
          </w:p>
        </w:tc>
      </w:tr>
      <w:tr>
        <w:trPr>
          <w:trHeight w:val="80"/>
        </w:trPr>
        <w:tc>
          <w:tcPr>
            <w:tcW w:w="2080" w:type="dxa"/>
            <w:vAlign w:val="bottom"/>
            <w:shd w:val="clear" w:color="auto" w:fill="EAEAEA"/>
          </w:tcPr>
          <w:p>
            <w:pPr>
              <w:spacing w:after="0"/>
              <w:rPr>
                <w:sz w:val="6"/>
                <w:szCs w:val="6"/>
                <w:color w:val="auto"/>
              </w:rPr>
            </w:pPr>
          </w:p>
        </w:tc>
        <w:tc>
          <w:tcPr>
            <w:tcW w:w="2960" w:type="dxa"/>
            <w:vAlign w:val="bottom"/>
            <w:shd w:val="clear" w:color="auto" w:fill="EAEAEA"/>
          </w:tcPr>
          <w:p>
            <w:pPr>
              <w:spacing w:after="0"/>
              <w:rPr>
                <w:sz w:val="6"/>
                <w:szCs w:val="6"/>
                <w:color w:val="auto"/>
              </w:rPr>
            </w:pPr>
          </w:p>
        </w:tc>
        <w:tc>
          <w:tcPr>
            <w:tcW w:w="2980" w:type="dxa"/>
            <w:vAlign w:val="bottom"/>
            <w:vMerge w:val="restart"/>
            <w:shd w:val="clear" w:color="auto" w:fill="EAEAEA"/>
          </w:tcPr>
          <w:p>
            <w:pPr>
              <w:ind w:left="220"/>
              <w:spacing w:after="0"/>
              <w:rPr>
                <w:sz w:val="20"/>
                <w:szCs w:val="20"/>
                <w:color w:val="auto"/>
              </w:rPr>
            </w:pPr>
            <w:r>
              <w:rPr>
                <w:rFonts w:ascii="Arial" w:cs="Arial" w:eastAsia="Arial" w:hAnsi="Arial"/>
                <w:sz w:val="14"/>
                <w:szCs w:val="14"/>
                <w:color w:val="auto"/>
              </w:rPr>
              <w:t>equivalents, RSUs directly align NEOs</w:t>
            </w:r>
          </w:p>
        </w:tc>
        <w:tc>
          <w:tcPr>
            <w:tcW w:w="2900" w:type="dxa"/>
            <w:vAlign w:val="bottom"/>
            <w:vMerge w:val="continue"/>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80" w:type="dxa"/>
            <w:vAlign w:val="bottom"/>
            <w:shd w:val="clear" w:color="auto" w:fill="EAEAEA"/>
          </w:tcPr>
          <w:p>
            <w:pPr>
              <w:spacing w:after="0"/>
              <w:rPr>
                <w:sz w:val="6"/>
                <w:szCs w:val="6"/>
                <w:color w:val="auto"/>
              </w:rPr>
            </w:pPr>
          </w:p>
        </w:tc>
        <w:tc>
          <w:tcPr>
            <w:tcW w:w="2960" w:type="dxa"/>
            <w:vAlign w:val="bottom"/>
            <w:shd w:val="clear" w:color="auto" w:fill="EAEAEA"/>
          </w:tcPr>
          <w:p>
            <w:pPr>
              <w:spacing w:after="0"/>
              <w:rPr>
                <w:sz w:val="6"/>
                <w:szCs w:val="6"/>
                <w:color w:val="auto"/>
              </w:rPr>
            </w:pPr>
          </w:p>
        </w:tc>
        <w:tc>
          <w:tcPr>
            <w:tcW w:w="2980" w:type="dxa"/>
            <w:vAlign w:val="bottom"/>
            <w:vMerge w:val="continue"/>
            <w:shd w:val="clear" w:color="auto" w:fill="EAEAEA"/>
          </w:tcPr>
          <w:p>
            <w:pPr>
              <w:spacing w:after="0"/>
              <w:rPr>
                <w:sz w:val="6"/>
                <w:szCs w:val="6"/>
                <w:color w:val="auto"/>
              </w:rPr>
            </w:pPr>
          </w:p>
        </w:tc>
        <w:tc>
          <w:tcPr>
            <w:tcW w:w="2900" w:type="dxa"/>
            <w:vAlign w:val="bottom"/>
            <w:vMerge w:val="restart"/>
            <w:shd w:val="clear" w:color="auto" w:fill="EAEAEA"/>
          </w:tcPr>
          <w:p>
            <w:pPr>
              <w:ind w:left="60"/>
              <w:spacing w:after="0"/>
              <w:rPr>
                <w:sz w:val="20"/>
                <w:szCs w:val="20"/>
                <w:color w:val="auto"/>
              </w:rPr>
            </w:pPr>
            <w:r>
              <w:rPr>
                <w:rFonts w:ascii="Arial" w:cs="Arial" w:eastAsia="Arial" w:hAnsi="Arial"/>
                <w:sz w:val="14"/>
                <w:szCs w:val="14"/>
                <w:color w:val="auto"/>
              </w:rPr>
              <w:t>and did not receive any RSUs.</w:t>
            </w:r>
          </w:p>
        </w:tc>
        <w:tc>
          <w:tcPr>
            <w:tcW w:w="0" w:type="dxa"/>
            <w:vAlign w:val="bottom"/>
          </w:tcPr>
          <w:p>
            <w:pPr>
              <w:spacing w:after="0"/>
              <w:rPr>
                <w:sz w:val="1"/>
                <w:szCs w:val="1"/>
                <w:color w:val="auto"/>
              </w:rPr>
            </w:pPr>
          </w:p>
        </w:tc>
      </w:tr>
      <w:tr>
        <w:trPr>
          <w:trHeight w:val="91"/>
        </w:trPr>
        <w:tc>
          <w:tcPr>
            <w:tcW w:w="2080" w:type="dxa"/>
            <w:vAlign w:val="bottom"/>
            <w:shd w:val="clear" w:color="auto" w:fill="EAEAEA"/>
          </w:tcPr>
          <w:p>
            <w:pPr>
              <w:spacing w:after="0"/>
              <w:rPr>
                <w:sz w:val="7"/>
                <w:szCs w:val="7"/>
                <w:color w:val="auto"/>
              </w:rPr>
            </w:pPr>
          </w:p>
        </w:tc>
        <w:tc>
          <w:tcPr>
            <w:tcW w:w="2960" w:type="dxa"/>
            <w:vAlign w:val="bottom"/>
            <w:shd w:val="clear" w:color="auto" w:fill="EAEAEA"/>
          </w:tcPr>
          <w:p>
            <w:pPr>
              <w:spacing w:after="0"/>
              <w:rPr>
                <w:sz w:val="7"/>
                <w:szCs w:val="7"/>
                <w:color w:val="auto"/>
              </w:rPr>
            </w:pPr>
          </w:p>
        </w:tc>
        <w:tc>
          <w:tcPr>
            <w:tcW w:w="2980" w:type="dxa"/>
            <w:vAlign w:val="bottom"/>
            <w:vMerge w:val="restart"/>
            <w:shd w:val="clear" w:color="auto" w:fill="EAEAEA"/>
          </w:tcPr>
          <w:p>
            <w:pPr>
              <w:ind w:left="220"/>
              <w:spacing w:after="0"/>
              <w:rPr>
                <w:sz w:val="20"/>
                <w:szCs w:val="20"/>
                <w:color w:val="auto"/>
              </w:rPr>
            </w:pPr>
            <w:r>
              <w:rPr>
                <w:rFonts w:ascii="Arial" w:cs="Arial" w:eastAsia="Arial" w:hAnsi="Arial"/>
                <w:sz w:val="14"/>
                <w:szCs w:val="14"/>
                <w:color w:val="auto"/>
              </w:rPr>
              <w:t>with the shareholders and add balance to</w:t>
            </w:r>
          </w:p>
        </w:tc>
        <w:tc>
          <w:tcPr>
            <w:tcW w:w="2900" w:type="dxa"/>
            <w:vAlign w:val="bottom"/>
            <w:vMerge w:val="continue"/>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80" w:type="dxa"/>
            <w:vAlign w:val="bottom"/>
            <w:shd w:val="clear" w:color="auto" w:fill="EAEAEA"/>
          </w:tcPr>
          <w:p>
            <w:pPr>
              <w:spacing w:after="0"/>
              <w:rPr>
                <w:sz w:val="6"/>
                <w:szCs w:val="6"/>
                <w:color w:val="auto"/>
              </w:rPr>
            </w:pPr>
          </w:p>
        </w:tc>
        <w:tc>
          <w:tcPr>
            <w:tcW w:w="2960" w:type="dxa"/>
            <w:vAlign w:val="bottom"/>
            <w:shd w:val="clear" w:color="auto" w:fill="EAEAEA"/>
          </w:tcPr>
          <w:p>
            <w:pPr>
              <w:spacing w:after="0"/>
              <w:rPr>
                <w:sz w:val="6"/>
                <w:szCs w:val="6"/>
                <w:color w:val="auto"/>
              </w:rPr>
            </w:pPr>
          </w:p>
        </w:tc>
        <w:tc>
          <w:tcPr>
            <w:tcW w:w="2980" w:type="dxa"/>
            <w:vAlign w:val="bottom"/>
            <w:vMerge w:val="continue"/>
            <w:shd w:val="clear" w:color="auto" w:fill="EAEAEA"/>
          </w:tcPr>
          <w:p>
            <w:pPr>
              <w:spacing w:after="0"/>
              <w:rPr>
                <w:sz w:val="6"/>
                <w:szCs w:val="6"/>
                <w:color w:val="auto"/>
              </w:rPr>
            </w:pPr>
          </w:p>
        </w:tc>
        <w:tc>
          <w:tcPr>
            <w:tcW w:w="290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220"/>
              <w:spacing w:after="0"/>
              <w:rPr>
                <w:sz w:val="20"/>
                <w:szCs w:val="20"/>
                <w:color w:val="auto"/>
              </w:rPr>
            </w:pPr>
            <w:r>
              <w:rPr>
                <w:rFonts w:ascii="Arial" w:cs="Arial" w:eastAsia="Arial" w:hAnsi="Arial"/>
                <w:sz w:val="14"/>
                <w:szCs w:val="14"/>
                <w:color w:val="auto"/>
              </w:rPr>
              <w:t>the compensation program as they provide</w:t>
            </w:r>
          </w:p>
        </w:tc>
        <w:tc>
          <w:tcPr>
            <w:tcW w:w="29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220"/>
              <w:spacing w:after="0"/>
              <w:rPr>
                <w:sz w:val="20"/>
                <w:szCs w:val="20"/>
                <w:color w:val="auto"/>
              </w:rPr>
            </w:pPr>
            <w:r>
              <w:rPr>
                <w:rFonts w:ascii="Arial" w:cs="Arial" w:eastAsia="Arial" w:hAnsi="Arial"/>
                <w:sz w:val="14"/>
                <w:szCs w:val="14"/>
                <w:color w:val="auto"/>
              </w:rPr>
              <w:t>both upside potential and downside risk</w:t>
            </w:r>
          </w:p>
        </w:tc>
        <w:tc>
          <w:tcPr>
            <w:tcW w:w="29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220"/>
              <w:spacing w:after="0"/>
              <w:rPr>
                <w:sz w:val="20"/>
                <w:szCs w:val="20"/>
                <w:color w:val="auto"/>
              </w:rPr>
            </w:pPr>
            <w:r>
              <w:rPr>
                <w:rFonts w:ascii="Arial" w:cs="Arial" w:eastAsia="Arial" w:hAnsi="Arial"/>
                <w:sz w:val="14"/>
                <w:szCs w:val="14"/>
                <w:color w:val="auto"/>
              </w:rPr>
              <w:t>and add an additional retention incentive.</w:t>
            </w:r>
          </w:p>
        </w:tc>
        <w:tc>
          <w:tcPr>
            <w:tcW w:w="29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220"/>
              <w:spacing w:after="0"/>
              <w:rPr>
                <w:sz w:val="20"/>
                <w:szCs w:val="20"/>
                <w:color w:val="auto"/>
              </w:rPr>
            </w:pPr>
            <w:r>
              <w:rPr>
                <w:rFonts w:ascii="Arial" w:cs="Arial" w:eastAsia="Arial" w:hAnsi="Arial"/>
                <w:sz w:val="14"/>
                <w:szCs w:val="14"/>
                <w:color w:val="auto"/>
              </w:rPr>
              <w:t>Amount awarded is determined based on</w:t>
            </w:r>
          </w:p>
        </w:tc>
        <w:tc>
          <w:tcPr>
            <w:tcW w:w="29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220"/>
              <w:spacing w:after="0"/>
              <w:rPr>
                <w:sz w:val="20"/>
                <w:szCs w:val="20"/>
                <w:color w:val="auto"/>
              </w:rPr>
            </w:pPr>
            <w:r>
              <w:rPr>
                <w:rFonts w:ascii="Arial" w:cs="Arial" w:eastAsia="Arial" w:hAnsi="Arial"/>
                <w:sz w:val="14"/>
                <w:szCs w:val="14"/>
                <w:color w:val="auto"/>
              </w:rPr>
              <w:t>job scope, market practice and individual</w:t>
            </w:r>
          </w:p>
        </w:tc>
        <w:tc>
          <w:tcPr>
            <w:tcW w:w="29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80" w:type="dxa"/>
            <w:vAlign w:val="bottom"/>
            <w:shd w:val="clear" w:color="auto" w:fill="EAEAEA"/>
          </w:tcPr>
          <w:p>
            <w:pPr>
              <w:ind w:left="220"/>
              <w:spacing w:after="0"/>
              <w:rPr>
                <w:sz w:val="20"/>
                <w:szCs w:val="20"/>
                <w:color w:val="auto"/>
              </w:rPr>
            </w:pPr>
            <w:r>
              <w:rPr>
                <w:rFonts w:ascii="Arial" w:cs="Arial" w:eastAsia="Arial" w:hAnsi="Arial"/>
                <w:sz w:val="14"/>
                <w:szCs w:val="14"/>
                <w:color w:val="auto"/>
              </w:rPr>
              <w:t>performance.</w:t>
            </w:r>
          </w:p>
        </w:tc>
        <w:tc>
          <w:tcPr>
            <w:tcW w:w="290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80" w:type="dxa"/>
            <w:vAlign w:val="bottom"/>
            <w:shd w:val="clear" w:color="auto" w:fill="EAEAEA"/>
          </w:tcPr>
          <w:p>
            <w:pPr>
              <w:spacing w:after="0"/>
              <w:rPr>
                <w:sz w:val="5"/>
                <w:szCs w:val="5"/>
                <w:color w:val="auto"/>
              </w:rPr>
            </w:pPr>
          </w:p>
        </w:tc>
        <w:tc>
          <w:tcPr>
            <w:tcW w:w="2960" w:type="dxa"/>
            <w:vAlign w:val="bottom"/>
            <w:shd w:val="clear" w:color="auto" w:fill="EAEAEA"/>
          </w:tcPr>
          <w:p>
            <w:pPr>
              <w:spacing w:after="0"/>
              <w:rPr>
                <w:sz w:val="5"/>
                <w:szCs w:val="5"/>
                <w:color w:val="auto"/>
              </w:rPr>
            </w:pPr>
          </w:p>
        </w:tc>
        <w:tc>
          <w:tcPr>
            <w:tcW w:w="2980" w:type="dxa"/>
            <w:vAlign w:val="bottom"/>
            <w:shd w:val="clear" w:color="auto" w:fill="EAEAEA"/>
          </w:tcPr>
          <w:p>
            <w:pPr>
              <w:spacing w:after="0"/>
              <w:rPr>
                <w:sz w:val="5"/>
                <w:szCs w:val="5"/>
                <w:color w:val="auto"/>
              </w:rPr>
            </w:pPr>
          </w:p>
        </w:tc>
        <w:tc>
          <w:tcPr>
            <w:tcW w:w="29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80" w:type="dxa"/>
            <w:vAlign w:val="bottom"/>
            <w:tcBorders>
              <w:bottom w:val="single" w:sz="8" w:color="5D89B4"/>
            </w:tcBorders>
          </w:tcPr>
          <w:p>
            <w:pPr>
              <w:spacing w:after="0"/>
              <w:rPr>
                <w:sz w:val="16"/>
                <w:szCs w:val="16"/>
                <w:color w:val="auto"/>
              </w:rPr>
            </w:pPr>
          </w:p>
        </w:tc>
        <w:tc>
          <w:tcPr>
            <w:tcW w:w="2960" w:type="dxa"/>
            <w:vAlign w:val="bottom"/>
            <w:tcBorders>
              <w:bottom w:val="single" w:sz="8" w:color="5D89B4"/>
            </w:tcBorders>
          </w:tcPr>
          <w:p>
            <w:pPr>
              <w:spacing w:after="0"/>
              <w:rPr>
                <w:sz w:val="16"/>
                <w:szCs w:val="16"/>
                <w:color w:val="auto"/>
              </w:rPr>
            </w:pPr>
          </w:p>
        </w:tc>
        <w:tc>
          <w:tcPr>
            <w:tcW w:w="2980" w:type="dxa"/>
            <w:vAlign w:val="bottom"/>
            <w:tcBorders>
              <w:bottom w:val="single" w:sz="8" w:color="5D89B4"/>
            </w:tcBorders>
          </w:tcPr>
          <w:p>
            <w:pPr>
              <w:spacing w:after="0"/>
              <w:rPr>
                <w:sz w:val="16"/>
                <w:szCs w:val="16"/>
                <w:color w:val="auto"/>
              </w:rPr>
            </w:pPr>
          </w:p>
        </w:tc>
        <w:tc>
          <w:tcPr>
            <w:tcW w:w="290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20" w:hanging="658"/>
        <w:spacing w:after="0"/>
        <w:tabs>
          <w:tab w:leader="none" w:pos="6020" w:val="left"/>
        </w:tabs>
        <w:numPr>
          <w:ilvl w:val="0"/>
          <w:numId w:val="47"/>
        </w:numPr>
        <w:rPr>
          <w:rFonts w:ascii="Arial" w:cs="Arial" w:eastAsia="Arial" w:hAnsi="Arial"/>
          <w:sz w:val="20"/>
          <w:szCs w:val="20"/>
          <w:b w:val="1"/>
          <w:bCs w:val="1"/>
          <w:color w:val="5D89B4"/>
        </w:rPr>
      </w:pP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type w:val="continuous"/>
        </w:sectPr>
      </w:pPr>
    </w:p>
    <w:bookmarkStart w:id="44" w:name="page45"/>
    <w:bookmarkEnd w:id="44"/>
    <w:p>
      <w:pPr>
        <w:ind w:left="734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80" w:type="dxa"/>
            <w:vAlign w:val="bottom"/>
            <w:tcBorders>
              <w:top w:val="single" w:sz="8" w:color="BFBFBF"/>
              <w:left w:val="single" w:sz="8" w:color="BFBFBF"/>
              <w:bottom w:val="single" w:sz="8" w:color="EAEAEA"/>
            </w:tcBorders>
            <w:shd w:val="clear" w:color="auto" w:fill="EAEAEA"/>
          </w:tcPr>
          <w:p>
            <w:pPr>
              <w:ind w:left="240"/>
              <w:spacing w:after="0"/>
              <w:rPr>
                <w:sz w:val="20"/>
                <w:szCs w:val="20"/>
                <w:color w:val="auto"/>
              </w:rPr>
            </w:pPr>
            <w:r>
              <w:rPr>
                <w:rFonts w:ascii="Arial" w:cs="Arial" w:eastAsia="Arial" w:hAnsi="Arial"/>
                <w:sz w:val="12"/>
                <w:szCs w:val="12"/>
                <w:b w:val="1"/>
                <w:bCs w:val="1"/>
                <w:color w:val="5D89B4"/>
              </w:rPr>
              <w:t>COMPENSATION ELEMENT</w:t>
            </w:r>
          </w:p>
        </w:tc>
        <w:tc>
          <w:tcPr>
            <w:tcW w:w="2960" w:type="dxa"/>
            <w:vAlign w:val="bottom"/>
            <w:tcBorders>
              <w:top w:val="single" w:sz="8" w:color="BFBFBF"/>
              <w:bottom w:val="single" w:sz="8" w:color="EAEAEA"/>
            </w:tcBorders>
            <w:shd w:val="clear" w:color="auto" w:fill="EAEAEA"/>
          </w:tcPr>
          <w:p>
            <w:pPr>
              <w:ind w:left="100"/>
              <w:spacing w:after="0"/>
              <w:rPr>
                <w:sz w:val="20"/>
                <w:szCs w:val="20"/>
                <w:color w:val="auto"/>
              </w:rPr>
            </w:pPr>
            <w:r>
              <w:rPr>
                <w:rFonts w:ascii="Arial" w:cs="Arial" w:eastAsia="Arial" w:hAnsi="Arial"/>
                <w:sz w:val="12"/>
                <w:szCs w:val="12"/>
                <w:b w:val="1"/>
                <w:bCs w:val="1"/>
                <w:color w:val="5D89B4"/>
              </w:rPr>
              <w:t>KEY CHARACTERISTICS</w:t>
            </w:r>
          </w:p>
        </w:tc>
        <w:tc>
          <w:tcPr>
            <w:tcW w:w="2980" w:type="dxa"/>
            <w:vAlign w:val="bottom"/>
            <w:tcBorders>
              <w:top w:val="single" w:sz="8" w:color="BFBFBF"/>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OBJECTIVE AND DETERMINATION</w:t>
            </w:r>
          </w:p>
        </w:tc>
        <w:tc>
          <w:tcPr>
            <w:tcW w:w="2920" w:type="dxa"/>
            <w:vAlign w:val="bottom"/>
            <w:tcBorders>
              <w:top w:val="single" w:sz="8" w:color="BFBFBF"/>
              <w:bottom w:val="single" w:sz="8" w:color="EAEAEA"/>
              <w:right w:val="single" w:sz="8" w:color="BFBFBF"/>
            </w:tcBorders>
            <w:shd w:val="clear" w:color="auto" w:fill="EAEAEA"/>
          </w:tcPr>
          <w:p>
            <w:pPr>
              <w:ind w:left="60"/>
              <w:spacing w:after="0"/>
              <w:rPr>
                <w:sz w:val="20"/>
                <w:szCs w:val="20"/>
                <w:color w:val="auto"/>
              </w:rPr>
            </w:pPr>
            <w:r>
              <w:rPr>
                <w:rFonts w:ascii="Arial" w:cs="Arial" w:eastAsia="Arial" w:hAnsi="Arial"/>
                <w:sz w:val="12"/>
                <w:szCs w:val="12"/>
                <w:b w:val="1"/>
                <w:bCs w:val="1"/>
                <w:color w:val="5D89B4"/>
              </w:rPr>
              <w:t>2020 DECISIONS</w:t>
            </w:r>
          </w:p>
        </w:tc>
      </w:tr>
      <w:tr>
        <w:trPr>
          <w:trHeight w:val="232"/>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Stock Options</w:t>
            </w:r>
          </w:p>
        </w:tc>
        <w:tc>
          <w:tcPr>
            <w:tcW w:w="2960" w:type="dxa"/>
            <w:vAlign w:val="bottom"/>
          </w:tcPr>
          <w:p>
            <w:pPr>
              <w:ind w:left="100"/>
              <w:spacing w:after="0"/>
              <w:rPr>
                <w:sz w:val="20"/>
                <w:szCs w:val="20"/>
                <w:color w:val="auto"/>
              </w:rPr>
            </w:pPr>
            <w:r>
              <w:rPr>
                <w:rFonts w:ascii="Arial" w:cs="Arial" w:eastAsia="Arial" w:hAnsi="Arial"/>
                <w:sz w:val="14"/>
                <w:szCs w:val="14"/>
                <w:color w:val="auto"/>
              </w:rPr>
              <w:t>Nonqualified stock options that expire in ten</w:t>
            </w:r>
          </w:p>
        </w:tc>
        <w:tc>
          <w:tcPr>
            <w:tcW w:w="2980" w:type="dxa"/>
            <w:vAlign w:val="bottom"/>
          </w:tcPr>
          <w:p>
            <w:pPr>
              <w:ind w:left="80"/>
              <w:spacing w:after="0"/>
              <w:rPr>
                <w:sz w:val="20"/>
                <w:szCs w:val="20"/>
                <w:color w:val="auto"/>
              </w:rPr>
            </w:pPr>
            <w:r>
              <w:rPr>
                <w:rFonts w:ascii="Arial" w:cs="Arial" w:eastAsia="Arial" w:hAnsi="Arial"/>
                <w:sz w:val="14"/>
                <w:szCs w:val="14"/>
                <w:color w:val="auto"/>
              </w:rPr>
              <w:t>Align the interests of the NEOs with long-</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Approximately 20% of all of the NEOs’ long-</w:t>
            </w: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years and become exercisable ratably over</w:t>
            </w:r>
          </w:p>
        </w:tc>
        <w:tc>
          <w:tcPr>
            <w:tcW w:w="2980" w:type="dxa"/>
            <w:vAlign w:val="bottom"/>
          </w:tcPr>
          <w:p>
            <w:pPr>
              <w:ind w:left="80"/>
              <w:spacing w:after="0"/>
              <w:rPr>
                <w:sz w:val="20"/>
                <w:szCs w:val="20"/>
                <w:color w:val="auto"/>
              </w:rPr>
            </w:pPr>
            <w:r>
              <w:rPr>
                <w:rFonts w:ascii="Arial" w:cs="Arial" w:eastAsia="Arial" w:hAnsi="Arial"/>
                <w:sz w:val="14"/>
                <w:szCs w:val="14"/>
                <w:color w:val="auto"/>
              </w:rPr>
              <w:t>term shareholder value as well as retain</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term equity incentive grants in 2020 were in</w:t>
            </w: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four years.</w:t>
            </w:r>
          </w:p>
        </w:tc>
        <w:tc>
          <w:tcPr>
            <w:tcW w:w="2980" w:type="dxa"/>
            <w:vAlign w:val="bottom"/>
          </w:tcPr>
          <w:p>
            <w:pPr>
              <w:ind w:left="80"/>
              <w:spacing w:after="0"/>
              <w:rPr>
                <w:sz w:val="20"/>
                <w:szCs w:val="20"/>
                <w:color w:val="auto"/>
              </w:rPr>
            </w:pPr>
            <w:r>
              <w:rPr>
                <w:rFonts w:ascii="Arial" w:cs="Arial" w:eastAsia="Arial" w:hAnsi="Arial"/>
                <w:sz w:val="14"/>
                <w:szCs w:val="14"/>
                <w:color w:val="auto"/>
              </w:rPr>
              <w:t>executive talent. Amount awarded is</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the form of stock options, except for</w:t>
            </w: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auto"/>
              </w:rPr>
              <w:t>determined based on job scope, market</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Ms. Swan who retired from the Company in</w:t>
            </w: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auto"/>
              </w:rPr>
              <w:t>practice and individual performance.</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March 2020 and did not receive stock</w:t>
            </w:r>
          </w:p>
        </w:tc>
      </w:tr>
      <w:tr>
        <w:trPr>
          <w:trHeight w:val="171"/>
        </w:trPr>
        <w:tc>
          <w:tcPr>
            <w:tcW w:w="2080" w:type="dxa"/>
            <w:vAlign w:val="bottom"/>
            <w:tcBorders>
              <w:left w:val="single" w:sz="8" w:color="BFBFBF"/>
            </w:tcBorders>
          </w:tcPr>
          <w:p>
            <w:pPr>
              <w:spacing w:after="0"/>
              <w:rPr>
                <w:sz w:val="14"/>
                <w:szCs w:val="14"/>
                <w:color w:val="auto"/>
              </w:rPr>
            </w:pPr>
          </w:p>
        </w:tc>
        <w:tc>
          <w:tcPr>
            <w:tcW w:w="2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options.</w:t>
            </w:r>
          </w:p>
        </w:tc>
      </w:tr>
      <w:tr>
        <w:trPr>
          <w:trHeight w:val="52"/>
        </w:trPr>
        <w:tc>
          <w:tcPr>
            <w:tcW w:w="2080" w:type="dxa"/>
            <w:vAlign w:val="bottom"/>
            <w:tcBorders>
              <w:left w:val="single" w:sz="8" w:color="BFBFBF"/>
              <w:bottom w:val="single" w:sz="8" w:color="5D89B4"/>
            </w:tcBorders>
          </w:tcPr>
          <w:p>
            <w:pPr>
              <w:spacing w:after="0"/>
              <w:rPr>
                <w:sz w:val="4"/>
                <w:szCs w:val="4"/>
                <w:color w:val="auto"/>
              </w:rPr>
            </w:pPr>
          </w:p>
        </w:tc>
        <w:tc>
          <w:tcPr>
            <w:tcW w:w="2960" w:type="dxa"/>
            <w:vAlign w:val="bottom"/>
            <w:tcBorders>
              <w:bottom w:val="single" w:sz="8" w:color="5D89B4"/>
            </w:tcBorders>
          </w:tcPr>
          <w:p>
            <w:pPr>
              <w:spacing w:after="0"/>
              <w:rPr>
                <w:sz w:val="4"/>
                <w:szCs w:val="4"/>
                <w:color w:val="auto"/>
              </w:rPr>
            </w:pPr>
          </w:p>
        </w:tc>
        <w:tc>
          <w:tcPr>
            <w:tcW w:w="2980" w:type="dxa"/>
            <w:vAlign w:val="bottom"/>
            <w:tcBorders>
              <w:bottom w:val="single" w:sz="8" w:color="5D89B4"/>
            </w:tcBorders>
          </w:tcPr>
          <w:p>
            <w:pPr>
              <w:spacing w:after="0"/>
              <w:rPr>
                <w:sz w:val="4"/>
                <w:szCs w:val="4"/>
                <w:color w:val="auto"/>
              </w:rPr>
            </w:pPr>
          </w:p>
        </w:tc>
        <w:tc>
          <w:tcPr>
            <w:tcW w:w="2920" w:type="dxa"/>
            <w:vAlign w:val="bottom"/>
            <w:tcBorders>
              <w:bottom w:val="single" w:sz="8" w:color="5D89B4"/>
              <w:right w:val="single" w:sz="8" w:color="BFBFBF"/>
            </w:tcBorders>
          </w:tcPr>
          <w:p>
            <w:pPr>
              <w:spacing w:after="0"/>
              <w:rPr>
                <w:sz w:val="4"/>
                <w:szCs w:val="4"/>
                <w:color w:val="auto"/>
              </w:rPr>
            </w:pPr>
          </w:p>
        </w:tc>
      </w:tr>
      <w:tr>
        <w:trPr>
          <w:trHeight w:val="212"/>
        </w:trPr>
        <w:tc>
          <w:tcPr>
            <w:tcW w:w="2080" w:type="dxa"/>
            <w:vAlign w:val="bottom"/>
            <w:tcBorders>
              <w:left w:val="single" w:sz="8" w:color="BFBFBF"/>
            </w:tcBorders>
            <w:shd w:val="clear" w:color="auto" w:fill="EAEAEA"/>
          </w:tcPr>
          <w:p>
            <w:pPr>
              <w:ind w:left="240"/>
              <w:spacing w:after="0"/>
              <w:rPr>
                <w:sz w:val="20"/>
                <w:szCs w:val="20"/>
                <w:color w:val="auto"/>
              </w:rPr>
            </w:pPr>
            <w:r>
              <w:rPr>
                <w:rFonts w:ascii="Arial" w:cs="Arial" w:eastAsia="Arial" w:hAnsi="Arial"/>
                <w:sz w:val="14"/>
                <w:szCs w:val="14"/>
                <w:b w:val="1"/>
                <w:bCs w:val="1"/>
                <w:color w:val="auto"/>
              </w:rPr>
              <w:t>Qualified Retirement Plans</w:t>
            </w: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Generally not available to NEOs.</w:t>
            </w: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No pension plan benefit in the United States.</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Mr. Buchband participated in the catch-up</w:t>
            </w: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Although we maintain a qualified 401(k) plan</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contribution under the 401(k) plan in 2020.</w:t>
            </w: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in the United States, our NEOs are not</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eligible to participate (except as described in</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the following sentence) because of</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limitations on participation by highly</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compensated employees under the rules</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governing such plans. NEOs are eligible to</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participate only in the first year of their</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employment (after which they are eligible to</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participate in the nonqualified savings plan)</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and in making catch-up contributions for</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individuals over the age of 50.</w:t>
            </w:r>
          </w:p>
        </w:tc>
        <w:tc>
          <w:tcPr>
            <w:tcW w:w="2920" w:type="dxa"/>
            <w:vAlign w:val="bottom"/>
            <w:tcBorders>
              <w:right w:val="single" w:sz="8" w:color="BFBFBF"/>
            </w:tcBorders>
            <w:shd w:val="clear" w:color="auto" w:fill="EAEAEA"/>
          </w:tcPr>
          <w:p>
            <w:pPr>
              <w:spacing w:after="0"/>
              <w:rPr>
                <w:sz w:val="14"/>
                <w:szCs w:val="14"/>
                <w:color w:val="auto"/>
              </w:rPr>
            </w:pPr>
          </w:p>
        </w:tc>
      </w:tr>
      <w:tr>
        <w:trPr>
          <w:trHeight w:val="65"/>
        </w:trPr>
        <w:tc>
          <w:tcPr>
            <w:tcW w:w="2080" w:type="dxa"/>
            <w:vAlign w:val="bottom"/>
            <w:tcBorders>
              <w:left w:val="single" w:sz="8" w:color="BFBFBF"/>
              <w:bottom w:val="single" w:sz="8" w:color="5D89B4"/>
            </w:tcBorders>
            <w:shd w:val="clear" w:color="auto" w:fill="EAEAEA"/>
          </w:tcPr>
          <w:p>
            <w:pPr>
              <w:spacing w:after="0"/>
              <w:rPr>
                <w:sz w:val="5"/>
                <w:szCs w:val="5"/>
                <w:color w:val="auto"/>
              </w:rPr>
            </w:pPr>
          </w:p>
        </w:tc>
        <w:tc>
          <w:tcPr>
            <w:tcW w:w="2960" w:type="dxa"/>
            <w:vAlign w:val="bottom"/>
            <w:tcBorders>
              <w:bottom w:val="single" w:sz="8" w:color="5D89B4"/>
            </w:tcBorders>
            <w:shd w:val="clear" w:color="auto" w:fill="EAEAEA"/>
          </w:tcPr>
          <w:p>
            <w:pPr>
              <w:spacing w:after="0"/>
              <w:rPr>
                <w:sz w:val="5"/>
                <w:szCs w:val="5"/>
                <w:color w:val="auto"/>
              </w:rPr>
            </w:pPr>
          </w:p>
        </w:tc>
        <w:tc>
          <w:tcPr>
            <w:tcW w:w="2980" w:type="dxa"/>
            <w:vAlign w:val="bottom"/>
            <w:tcBorders>
              <w:bottom w:val="single" w:sz="8" w:color="5D89B4"/>
            </w:tcBorders>
            <w:shd w:val="clear" w:color="auto" w:fill="EAEAEA"/>
          </w:tcPr>
          <w:p>
            <w:pPr>
              <w:spacing w:after="0"/>
              <w:rPr>
                <w:sz w:val="5"/>
                <w:szCs w:val="5"/>
                <w:color w:val="auto"/>
              </w:rPr>
            </w:pPr>
          </w:p>
        </w:tc>
        <w:tc>
          <w:tcPr>
            <w:tcW w:w="2920" w:type="dxa"/>
            <w:vAlign w:val="bottom"/>
            <w:tcBorders>
              <w:bottom w:val="single" w:sz="8" w:color="5D89B4"/>
              <w:right w:val="single" w:sz="8" w:color="BFBFBF"/>
            </w:tcBorders>
            <w:shd w:val="clear" w:color="auto" w:fill="EAEAEA"/>
          </w:tcPr>
          <w:p>
            <w:pPr>
              <w:spacing w:after="0"/>
              <w:rPr>
                <w:sz w:val="5"/>
                <w:szCs w:val="5"/>
                <w:color w:val="auto"/>
              </w:rPr>
            </w:pPr>
          </w:p>
        </w:tc>
      </w:tr>
      <w:tr>
        <w:trPr>
          <w:trHeight w:val="194"/>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Nonqualified Savings Plan</w:t>
            </w:r>
          </w:p>
        </w:tc>
        <w:tc>
          <w:tcPr>
            <w:tcW w:w="2960" w:type="dxa"/>
            <w:vAlign w:val="bottom"/>
          </w:tcPr>
          <w:p>
            <w:pPr>
              <w:ind w:left="100"/>
              <w:spacing w:after="0"/>
              <w:rPr>
                <w:sz w:val="20"/>
                <w:szCs w:val="20"/>
                <w:color w:val="auto"/>
              </w:rPr>
            </w:pPr>
            <w:r>
              <w:rPr>
                <w:rFonts w:ascii="Arial" w:cs="Arial" w:eastAsia="Arial" w:hAnsi="Arial"/>
                <w:sz w:val="14"/>
                <w:szCs w:val="14"/>
                <w:color w:val="auto"/>
              </w:rPr>
              <w:t>Similar to a 401(k) plan, however not as</w:t>
            </w:r>
          </w:p>
        </w:tc>
        <w:tc>
          <w:tcPr>
            <w:tcW w:w="2980" w:type="dxa"/>
            <w:vAlign w:val="bottom"/>
          </w:tcPr>
          <w:p>
            <w:pPr>
              <w:ind w:left="80"/>
              <w:spacing w:after="0"/>
              <w:rPr>
                <w:sz w:val="20"/>
                <w:szCs w:val="20"/>
                <w:color w:val="auto"/>
              </w:rPr>
            </w:pPr>
            <w:r>
              <w:rPr>
                <w:rFonts w:ascii="Arial" w:cs="Arial" w:eastAsia="Arial" w:hAnsi="Arial"/>
                <w:sz w:val="14"/>
                <w:szCs w:val="14"/>
                <w:color w:val="auto"/>
              </w:rPr>
              <w:t>Used to provide NEOs with reasonably</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All of the NEOs, except Ms. Nettles,</w:t>
            </w:r>
          </w:p>
        </w:tc>
      </w:tr>
      <w:tr>
        <w:trPr>
          <w:trHeight w:val="178"/>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(“NQSP”)</w:t>
            </w:r>
          </w:p>
        </w:tc>
        <w:tc>
          <w:tcPr>
            <w:tcW w:w="2960" w:type="dxa"/>
            <w:vAlign w:val="bottom"/>
          </w:tcPr>
          <w:p>
            <w:pPr>
              <w:ind w:left="100"/>
              <w:spacing w:after="0"/>
              <w:rPr>
                <w:sz w:val="20"/>
                <w:szCs w:val="20"/>
                <w:color w:val="auto"/>
              </w:rPr>
            </w:pPr>
            <w:r>
              <w:rPr>
                <w:rFonts w:ascii="Arial" w:cs="Arial" w:eastAsia="Arial" w:hAnsi="Arial"/>
                <w:sz w:val="14"/>
                <w:szCs w:val="14"/>
                <w:color w:val="auto"/>
              </w:rPr>
              <w:t>flexible in regard to timing of the payouts of</w:t>
            </w:r>
          </w:p>
        </w:tc>
        <w:tc>
          <w:tcPr>
            <w:tcW w:w="2980" w:type="dxa"/>
            <w:vAlign w:val="bottom"/>
          </w:tcPr>
          <w:p>
            <w:pPr>
              <w:ind w:left="80"/>
              <w:spacing w:after="0"/>
              <w:rPr>
                <w:sz w:val="20"/>
                <w:szCs w:val="20"/>
                <w:color w:val="auto"/>
              </w:rPr>
            </w:pPr>
            <w:r>
              <w:rPr>
                <w:rFonts w:ascii="Arial" w:cs="Arial" w:eastAsia="Arial" w:hAnsi="Arial"/>
                <w:sz w:val="14"/>
                <w:szCs w:val="14"/>
                <w:color w:val="auto"/>
              </w:rPr>
              <w:t>competitive benefits to those in the</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participated in the NQSP in 2020.</w:t>
            </w: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the retirement benefits for nonqualified</w:t>
            </w:r>
          </w:p>
        </w:tc>
        <w:tc>
          <w:tcPr>
            <w:tcW w:w="2980" w:type="dxa"/>
            <w:vAlign w:val="bottom"/>
          </w:tcPr>
          <w:p>
            <w:pPr>
              <w:ind w:left="80"/>
              <w:spacing w:after="0"/>
              <w:rPr>
                <w:sz w:val="20"/>
                <w:szCs w:val="20"/>
                <w:color w:val="auto"/>
              </w:rPr>
            </w:pPr>
            <w:r>
              <w:rPr>
                <w:rFonts w:ascii="Arial" w:cs="Arial" w:eastAsia="Arial" w:hAnsi="Arial"/>
                <w:sz w:val="14"/>
                <w:szCs w:val="14"/>
                <w:color w:val="auto"/>
              </w:rPr>
              <w:t>competitive market. NEOs are eligible to</w:t>
            </w:r>
          </w:p>
        </w:tc>
        <w:tc>
          <w:tcPr>
            <w:tcW w:w="2920" w:type="dxa"/>
            <w:vAlign w:val="bottom"/>
            <w:tcBorders>
              <w:right w:val="single" w:sz="8" w:color="BFBFBF"/>
            </w:tcBorders>
          </w:tcPr>
          <w:p>
            <w:pPr>
              <w:spacing w:after="0"/>
              <w:rPr>
                <w:sz w:val="13"/>
                <w:szCs w:val="13"/>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plans. These benefits are unsecured and</w:t>
            </w:r>
          </w:p>
        </w:tc>
        <w:tc>
          <w:tcPr>
            <w:tcW w:w="2980" w:type="dxa"/>
            <w:vAlign w:val="bottom"/>
          </w:tcPr>
          <w:p>
            <w:pPr>
              <w:ind w:left="80"/>
              <w:spacing w:after="0"/>
              <w:rPr>
                <w:sz w:val="20"/>
                <w:szCs w:val="20"/>
                <w:color w:val="auto"/>
              </w:rPr>
            </w:pPr>
            <w:r>
              <w:rPr>
                <w:rFonts w:ascii="Arial" w:cs="Arial" w:eastAsia="Arial" w:hAnsi="Arial"/>
                <w:sz w:val="14"/>
                <w:szCs w:val="14"/>
                <w:color w:val="auto"/>
              </w:rPr>
              <w:t>participate after the first year of employment.</w:t>
            </w:r>
          </w:p>
        </w:tc>
        <w:tc>
          <w:tcPr>
            <w:tcW w:w="2920" w:type="dxa"/>
            <w:vAlign w:val="bottom"/>
            <w:tcBorders>
              <w:right w:val="single" w:sz="8" w:color="BFBFBF"/>
            </w:tcBorders>
          </w:tcPr>
          <w:p>
            <w:pPr>
              <w:spacing w:after="0"/>
              <w:rPr>
                <w:sz w:val="13"/>
                <w:szCs w:val="13"/>
                <w:color w:val="auto"/>
              </w:rPr>
            </w:pPr>
          </w:p>
        </w:tc>
      </w:tr>
      <w:tr>
        <w:trPr>
          <w:trHeight w:val="171"/>
        </w:trPr>
        <w:tc>
          <w:tcPr>
            <w:tcW w:w="2080" w:type="dxa"/>
            <w:vAlign w:val="bottom"/>
            <w:tcBorders>
              <w:left w:val="single" w:sz="8" w:color="BFBFBF"/>
            </w:tcBorders>
          </w:tcPr>
          <w:p>
            <w:pPr>
              <w:spacing w:after="0"/>
              <w:rPr>
                <w:sz w:val="14"/>
                <w:szCs w:val="14"/>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subject to risk of forfeiture in bankruptcy.</w:t>
            </w:r>
          </w:p>
        </w:tc>
        <w:tc>
          <w:tcPr>
            <w:tcW w:w="2980" w:type="dxa"/>
            <w:vAlign w:val="bottom"/>
          </w:tcPr>
          <w:p>
            <w:pPr>
              <w:spacing w:after="0"/>
              <w:rPr>
                <w:sz w:val="14"/>
                <w:szCs w:val="14"/>
                <w:color w:val="auto"/>
              </w:rPr>
            </w:pPr>
          </w:p>
        </w:tc>
        <w:tc>
          <w:tcPr>
            <w:tcW w:w="2920" w:type="dxa"/>
            <w:vAlign w:val="bottom"/>
            <w:tcBorders>
              <w:right w:val="single" w:sz="8" w:color="BFBFBF"/>
            </w:tcBorders>
          </w:tcPr>
          <w:p>
            <w:pPr>
              <w:spacing w:after="0"/>
              <w:rPr>
                <w:sz w:val="14"/>
                <w:szCs w:val="14"/>
                <w:color w:val="auto"/>
              </w:rPr>
            </w:pPr>
          </w:p>
        </w:tc>
      </w:tr>
      <w:tr>
        <w:trPr>
          <w:trHeight w:val="52"/>
        </w:trPr>
        <w:tc>
          <w:tcPr>
            <w:tcW w:w="2080" w:type="dxa"/>
            <w:vAlign w:val="bottom"/>
            <w:tcBorders>
              <w:left w:val="single" w:sz="8" w:color="BFBFBF"/>
              <w:bottom w:val="single" w:sz="8" w:color="5D89B4"/>
            </w:tcBorders>
          </w:tcPr>
          <w:p>
            <w:pPr>
              <w:spacing w:after="0"/>
              <w:rPr>
                <w:sz w:val="4"/>
                <w:szCs w:val="4"/>
                <w:color w:val="auto"/>
              </w:rPr>
            </w:pPr>
          </w:p>
        </w:tc>
        <w:tc>
          <w:tcPr>
            <w:tcW w:w="2960" w:type="dxa"/>
            <w:vAlign w:val="bottom"/>
            <w:tcBorders>
              <w:bottom w:val="single" w:sz="8" w:color="5D89B4"/>
            </w:tcBorders>
          </w:tcPr>
          <w:p>
            <w:pPr>
              <w:spacing w:after="0"/>
              <w:rPr>
                <w:sz w:val="4"/>
                <w:szCs w:val="4"/>
                <w:color w:val="auto"/>
              </w:rPr>
            </w:pPr>
          </w:p>
        </w:tc>
        <w:tc>
          <w:tcPr>
            <w:tcW w:w="2980" w:type="dxa"/>
            <w:vAlign w:val="bottom"/>
            <w:tcBorders>
              <w:bottom w:val="single" w:sz="8" w:color="5D89B4"/>
            </w:tcBorders>
          </w:tcPr>
          <w:p>
            <w:pPr>
              <w:spacing w:after="0"/>
              <w:rPr>
                <w:sz w:val="4"/>
                <w:szCs w:val="4"/>
                <w:color w:val="auto"/>
              </w:rPr>
            </w:pPr>
          </w:p>
        </w:tc>
        <w:tc>
          <w:tcPr>
            <w:tcW w:w="2920" w:type="dxa"/>
            <w:vAlign w:val="bottom"/>
            <w:tcBorders>
              <w:bottom w:val="single" w:sz="8" w:color="5D89B4"/>
              <w:right w:val="single" w:sz="8" w:color="BFBFBF"/>
            </w:tcBorders>
          </w:tcPr>
          <w:p>
            <w:pPr>
              <w:spacing w:after="0"/>
              <w:rPr>
                <w:sz w:val="4"/>
                <w:szCs w:val="4"/>
                <w:color w:val="auto"/>
              </w:rPr>
            </w:pPr>
          </w:p>
        </w:tc>
      </w:tr>
      <w:tr>
        <w:trPr>
          <w:trHeight w:val="212"/>
        </w:trPr>
        <w:tc>
          <w:tcPr>
            <w:tcW w:w="2080" w:type="dxa"/>
            <w:vAlign w:val="bottom"/>
            <w:tcBorders>
              <w:left w:val="single" w:sz="8" w:color="BFBFBF"/>
            </w:tcBorders>
            <w:shd w:val="clear" w:color="auto" w:fill="EAEAEA"/>
          </w:tcPr>
          <w:p>
            <w:pPr>
              <w:ind w:left="240"/>
              <w:spacing w:after="0"/>
              <w:rPr>
                <w:sz w:val="20"/>
                <w:szCs w:val="20"/>
                <w:color w:val="auto"/>
              </w:rPr>
            </w:pPr>
            <w:r>
              <w:rPr>
                <w:rFonts w:ascii="Arial" w:cs="Arial" w:eastAsia="Arial" w:hAnsi="Arial"/>
                <w:sz w:val="14"/>
                <w:szCs w:val="14"/>
                <w:b w:val="1"/>
                <w:bCs w:val="1"/>
                <w:color w:val="auto"/>
              </w:rPr>
              <w:t>Career Shares</w:t>
            </w: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Used selectively by the Committee, taking</w:t>
            </w: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Used as an incentive in the form of RSUs to</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No grants of career shares were made to</w:t>
            </w: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into account what is most appropriate for a</w:t>
            </w: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attract and retain executives. The</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the NEOs in 2020.</w:t>
            </w: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NEO in view of the retention incentive</w:t>
            </w: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Committee considers each year whether to</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provided by the award. RSUs vest</w:t>
            </w:r>
          </w:p>
        </w:tc>
        <w:tc>
          <w:tcPr>
            <w:tcW w:w="2980" w:type="dxa"/>
            <w:vAlign w:val="bottom"/>
            <w:shd w:val="clear" w:color="auto" w:fill="EAEAEA"/>
          </w:tcPr>
          <w:p>
            <w:pPr>
              <w:ind w:left="80"/>
              <w:spacing w:after="0"/>
              <w:rPr>
                <w:sz w:val="20"/>
                <w:szCs w:val="20"/>
                <w:color w:val="auto"/>
              </w:rPr>
            </w:pPr>
            <w:r>
              <w:rPr>
                <w:rFonts w:ascii="Arial" w:cs="Arial" w:eastAsia="Arial" w:hAnsi="Arial"/>
                <w:sz w:val="14"/>
                <w:szCs w:val="14"/>
                <w:color w:val="auto"/>
              </w:rPr>
              <w:t>make any such grants and to whom.</w:t>
            </w:r>
          </w:p>
        </w:tc>
        <w:tc>
          <w:tcPr>
            <w:tcW w:w="2920" w:type="dxa"/>
            <w:vAlign w:val="bottom"/>
            <w:tcBorders>
              <w:right w:val="single" w:sz="8" w:color="BFBFBF"/>
            </w:tcBorders>
            <w:shd w:val="clear" w:color="auto" w:fill="EAEAEA"/>
          </w:tcPr>
          <w:p>
            <w:pPr>
              <w:spacing w:after="0"/>
              <w:rPr>
                <w:sz w:val="13"/>
                <w:szCs w:val="13"/>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completely on a single date several years</w:t>
            </w:r>
          </w:p>
        </w:tc>
        <w:tc>
          <w:tcPr>
            <w:tcW w:w="2980" w:type="dxa"/>
            <w:vAlign w:val="bottom"/>
            <w:shd w:val="clear" w:color="auto" w:fill="EAEAEA"/>
          </w:tcPr>
          <w:p>
            <w:pPr>
              <w:spacing w:after="0"/>
              <w:rPr>
                <w:sz w:val="13"/>
                <w:szCs w:val="13"/>
                <w:color w:val="auto"/>
              </w:rPr>
            </w:pPr>
          </w:p>
        </w:tc>
        <w:tc>
          <w:tcPr>
            <w:tcW w:w="2920" w:type="dxa"/>
            <w:vAlign w:val="bottom"/>
            <w:tcBorders>
              <w:right w:val="single" w:sz="8" w:color="BFBFBF"/>
            </w:tcBorders>
            <w:shd w:val="clear" w:color="auto" w:fill="EAEAEA"/>
          </w:tcPr>
          <w:p>
            <w:pPr>
              <w:spacing w:after="0"/>
              <w:rPr>
                <w:sz w:val="13"/>
                <w:szCs w:val="13"/>
                <w:color w:val="auto"/>
              </w:rPr>
            </w:pPr>
          </w:p>
        </w:tc>
      </w:tr>
      <w:tr>
        <w:trPr>
          <w:trHeight w:val="228"/>
        </w:trPr>
        <w:tc>
          <w:tcPr>
            <w:tcW w:w="2080" w:type="dxa"/>
            <w:vAlign w:val="bottom"/>
            <w:tcBorders>
              <w:left w:val="single" w:sz="8" w:color="BFBFBF"/>
              <w:bottom w:val="single" w:sz="8" w:color="EAEAEA"/>
            </w:tcBorders>
            <w:shd w:val="clear" w:color="auto" w:fill="EAEAEA"/>
          </w:tcPr>
          <w:p>
            <w:pPr>
              <w:spacing w:after="0"/>
              <w:rPr>
                <w:sz w:val="19"/>
                <w:szCs w:val="19"/>
                <w:color w:val="auto"/>
              </w:rPr>
            </w:pPr>
          </w:p>
        </w:tc>
        <w:tc>
          <w:tcPr>
            <w:tcW w:w="296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into the future.</w:t>
            </w:r>
          </w:p>
        </w:tc>
        <w:tc>
          <w:tcPr>
            <w:tcW w:w="2980" w:type="dxa"/>
            <w:vAlign w:val="bottom"/>
            <w:tcBorders>
              <w:bottom w:val="single" w:sz="8" w:color="EAEAEA"/>
            </w:tcBorders>
            <w:shd w:val="clear" w:color="auto" w:fill="EAEAEA"/>
          </w:tcPr>
          <w:p>
            <w:pPr>
              <w:spacing w:after="0"/>
              <w:rPr>
                <w:sz w:val="19"/>
                <w:szCs w:val="19"/>
                <w:color w:val="auto"/>
              </w:rPr>
            </w:pPr>
          </w:p>
        </w:tc>
        <w:tc>
          <w:tcPr>
            <w:tcW w:w="2920" w:type="dxa"/>
            <w:vAlign w:val="bottom"/>
            <w:tcBorders>
              <w:bottom w:val="single" w:sz="8" w:color="EAEAEA"/>
              <w:right w:val="single" w:sz="8" w:color="BFBFBF"/>
            </w:tcBorders>
            <w:shd w:val="clear" w:color="auto" w:fill="EAEAEA"/>
          </w:tcPr>
          <w:p>
            <w:pPr>
              <w:spacing w:after="0"/>
              <w:rPr>
                <w:sz w:val="19"/>
                <w:szCs w:val="19"/>
                <w:color w:val="auto"/>
              </w:rPr>
            </w:pPr>
          </w:p>
        </w:tc>
      </w:tr>
      <w:tr>
        <w:trPr>
          <w:trHeight w:val="212"/>
        </w:trPr>
        <w:tc>
          <w:tcPr>
            <w:tcW w:w="2080" w:type="dxa"/>
            <w:vAlign w:val="bottom"/>
            <w:tcBorders>
              <w:top w:val="single" w:sz="8" w:color="5D89B4"/>
              <w:left w:val="single" w:sz="8" w:color="BFBFBF"/>
            </w:tcBorders>
          </w:tcPr>
          <w:p>
            <w:pPr>
              <w:ind w:left="240"/>
              <w:spacing w:after="0"/>
              <w:rPr>
                <w:sz w:val="20"/>
                <w:szCs w:val="20"/>
                <w:color w:val="auto"/>
              </w:rPr>
            </w:pPr>
            <w:r>
              <w:rPr>
                <w:rFonts w:ascii="Arial" w:cs="Arial" w:eastAsia="Arial" w:hAnsi="Arial"/>
                <w:sz w:val="14"/>
                <w:szCs w:val="14"/>
                <w:b w:val="1"/>
                <w:bCs w:val="1"/>
                <w:color w:val="auto"/>
              </w:rPr>
              <w:t>Other Benefits</w:t>
            </w:r>
          </w:p>
        </w:tc>
        <w:tc>
          <w:tcPr>
            <w:tcW w:w="2960" w:type="dxa"/>
            <w:vAlign w:val="bottom"/>
            <w:tcBorders>
              <w:top w:val="single" w:sz="8" w:color="5D89B4"/>
            </w:tcBorders>
          </w:tcPr>
          <w:p>
            <w:pPr>
              <w:ind w:left="100"/>
              <w:spacing w:after="0"/>
              <w:rPr>
                <w:sz w:val="20"/>
                <w:szCs w:val="20"/>
                <w:color w:val="auto"/>
              </w:rPr>
            </w:pPr>
            <w:r>
              <w:rPr>
                <w:rFonts w:ascii="Arial" w:cs="Arial" w:eastAsia="Arial" w:hAnsi="Arial"/>
                <w:sz w:val="14"/>
                <w:szCs w:val="14"/>
                <w:color w:val="auto"/>
              </w:rPr>
              <w:t>Used to attract and retain talent needed in</w:t>
            </w:r>
          </w:p>
        </w:tc>
        <w:tc>
          <w:tcPr>
            <w:tcW w:w="2980" w:type="dxa"/>
            <w:vAlign w:val="bottom"/>
            <w:tcBorders>
              <w:top w:val="single" w:sz="8" w:color="5D89B4"/>
            </w:tcBorders>
          </w:tcPr>
          <w:p>
            <w:pPr>
              <w:ind w:left="80"/>
              <w:spacing w:after="0"/>
              <w:rPr>
                <w:sz w:val="20"/>
                <w:szCs w:val="20"/>
                <w:color w:val="auto"/>
              </w:rPr>
            </w:pPr>
            <w:r>
              <w:rPr>
                <w:rFonts w:ascii="Arial" w:cs="Arial" w:eastAsia="Arial" w:hAnsi="Arial"/>
                <w:sz w:val="14"/>
                <w:szCs w:val="14"/>
                <w:color w:val="auto"/>
              </w:rPr>
              <w:t>Additional benefits include financial planning</w:t>
            </w:r>
          </w:p>
        </w:tc>
        <w:tc>
          <w:tcPr>
            <w:tcW w:w="2920" w:type="dxa"/>
            <w:vAlign w:val="bottom"/>
            <w:tcBorders>
              <w:top w:val="single" w:sz="8" w:color="5D89B4"/>
              <w:right w:val="single" w:sz="8" w:color="BFBFBF"/>
            </w:tcBorders>
          </w:tcPr>
          <w:p>
            <w:pPr>
              <w:ind w:left="60"/>
              <w:spacing w:after="0"/>
              <w:rPr>
                <w:sz w:val="20"/>
                <w:szCs w:val="20"/>
                <w:color w:val="auto"/>
              </w:rPr>
            </w:pPr>
            <w:r>
              <w:rPr>
                <w:rFonts w:ascii="Arial" w:cs="Arial" w:eastAsia="Arial" w:hAnsi="Arial"/>
                <w:sz w:val="14"/>
                <w:szCs w:val="14"/>
                <w:color w:val="auto"/>
              </w:rPr>
              <w:t>Limited participation by the NEOs in these</w:t>
            </w: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the business.</w:t>
            </w:r>
          </w:p>
        </w:tc>
        <w:tc>
          <w:tcPr>
            <w:tcW w:w="2980" w:type="dxa"/>
            <w:vAlign w:val="bottom"/>
          </w:tcPr>
          <w:p>
            <w:pPr>
              <w:ind w:left="80"/>
              <w:spacing w:after="0"/>
              <w:rPr>
                <w:sz w:val="20"/>
                <w:szCs w:val="20"/>
                <w:color w:val="auto"/>
              </w:rPr>
            </w:pPr>
            <w:r>
              <w:rPr>
                <w:rFonts w:ascii="Arial" w:cs="Arial" w:eastAsia="Arial" w:hAnsi="Arial"/>
                <w:sz w:val="14"/>
                <w:szCs w:val="14"/>
                <w:color w:val="auto"/>
              </w:rPr>
              <w:t>reimbursement, broad-based automobile</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programs.</w:t>
            </w: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auto"/>
              </w:rPr>
              <w:t>benefits, selected benefits for expatriate</w:t>
            </w:r>
          </w:p>
        </w:tc>
        <w:tc>
          <w:tcPr>
            <w:tcW w:w="2920" w:type="dxa"/>
            <w:vAlign w:val="bottom"/>
            <w:tcBorders>
              <w:right w:val="single" w:sz="8" w:color="BFBFBF"/>
            </w:tcBorders>
          </w:tcPr>
          <w:p>
            <w:pPr>
              <w:spacing w:after="0"/>
              <w:rPr>
                <w:sz w:val="13"/>
                <w:szCs w:val="13"/>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auto"/>
              </w:rPr>
              <w:t>executives, participation in broad-based</w:t>
            </w:r>
          </w:p>
        </w:tc>
        <w:tc>
          <w:tcPr>
            <w:tcW w:w="2920" w:type="dxa"/>
            <w:vAlign w:val="bottom"/>
            <w:tcBorders>
              <w:right w:val="single" w:sz="8" w:color="BFBFBF"/>
            </w:tcBorders>
          </w:tcPr>
          <w:p>
            <w:pPr>
              <w:spacing w:after="0"/>
              <w:rPr>
                <w:sz w:val="13"/>
                <w:szCs w:val="13"/>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auto"/>
              </w:rPr>
              <w:t>employee benefit plans, and certain other</w:t>
            </w:r>
          </w:p>
        </w:tc>
        <w:tc>
          <w:tcPr>
            <w:tcW w:w="2920" w:type="dxa"/>
            <w:vAlign w:val="bottom"/>
            <w:tcBorders>
              <w:right w:val="single" w:sz="8" w:color="BFBFBF"/>
            </w:tcBorders>
          </w:tcPr>
          <w:p>
            <w:pPr>
              <w:spacing w:after="0"/>
              <w:rPr>
                <w:sz w:val="13"/>
                <w:szCs w:val="13"/>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auto"/>
              </w:rPr>
              <w:t>benefits required by local law or driven by</w:t>
            </w:r>
          </w:p>
        </w:tc>
        <w:tc>
          <w:tcPr>
            <w:tcW w:w="2920" w:type="dxa"/>
            <w:vAlign w:val="bottom"/>
            <w:tcBorders>
              <w:right w:val="single" w:sz="8" w:color="BFBFBF"/>
            </w:tcBorders>
          </w:tcPr>
          <w:p>
            <w:pPr>
              <w:spacing w:after="0"/>
              <w:rPr>
                <w:sz w:val="13"/>
                <w:szCs w:val="13"/>
                <w:color w:val="auto"/>
              </w:rPr>
            </w:pPr>
          </w:p>
        </w:tc>
      </w:tr>
      <w:tr>
        <w:trPr>
          <w:trHeight w:val="171"/>
        </w:trPr>
        <w:tc>
          <w:tcPr>
            <w:tcW w:w="2080" w:type="dxa"/>
            <w:vAlign w:val="bottom"/>
            <w:tcBorders>
              <w:left w:val="single" w:sz="8" w:color="BFBFBF"/>
            </w:tcBorders>
          </w:tcPr>
          <w:p>
            <w:pPr>
              <w:spacing w:after="0"/>
              <w:rPr>
                <w:sz w:val="14"/>
                <w:szCs w:val="14"/>
                <w:color w:val="auto"/>
              </w:rPr>
            </w:pPr>
          </w:p>
        </w:tc>
        <w:tc>
          <w:tcPr>
            <w:tcW w:w="2960" w:type="dxa"/>
            <w:vAlign w:val="bottom"/>
          </w:tcPr>
          <w:p>
            <w:pPr>
              <w:spacing w:after="0"/>
              <w:rPr>
                <w:sz w:val="14"/>
                <w:szCs w:val="14"/>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auto"/>
              </w:rPr>
              <w:t>local market practice.</w:t>
            </w:r>
          </w:p>
        </w:tc>
        <w:tc>
          <w:tcPr>
            <w:tcW w:w="2920" w:type="dxa"/>
            <w:vAlign w:val="bottom"/>
            <w:tcBorders>
              <w:right w:val="single" w:sz="8" w:color="BFBFBF"/>
            </w:tcBorders>
          </w:tcPr>
          <w:p>
            <w:pPr>
              <w:spacing w:after="0"/>
              <w:rPr>
                <w:sz w:val="14"/>
                <w:szCs w:val="14"/>
                <w:color w:val="auto"/>
              </w:rPr>
            </w:pPr>
          </w:p>
        </w:tc>
      </w:tr>
      <w:tr>
        <w:trPr>
          <w:trHeight w:val="52"/>
        </w:trPr>
        <w:tc>
          <w:tcPr>
            <w:tcW w:w="2080" w:type="dxa"/>
            <w:vAlign w:val="bottom"/>
            <w:tcBorders>
              <w:left w:val="single" w:sz="8" w:color="BFBFBF"/>
              <w:bottom w:val="single" w:sz="8" w:color="BFBFBF"/>
            </w:tcBorders>
          </w:tcPr>
          <w:p>
            <w:pPr>
              <w:spacing w:after="0"/>
              <w:rPr>
                <w:sz w:val="4"/>
                <w:szCs w:val="4"/>
                <w:color w:val="auto"/>
              </w:rPr>
            </w:pPr>
          </w:p>
        </w:tc>
        <w:tc>
          <w:tcPr>
            <w:tcW w:w="2960" w:type="dxa"/>
            <w:vAlign w:val="bottom"/>
            <w:tcBorders>
              <w:bottom w:val="single" w:sz="8" w:color="BFBFBF"/>
            </w:tcBorders>
          </w:tcPr>
          <w:p>
            <w:pPr>
              <w:spacing w:after="0"/>
              <w:rPr>
                <w:sz w:val="4"/>
                <w:szCs w:val="4"/>
                <w:color w:val="auto"/>
              </w:rPr>
            </w:pPr>
          </w:p>
        </w:tc>
        <w:tc>
          <w:tcPr>
            <w:tcW w:w="2980" w:type="dxa"/>
            <w:vAlign w:val="bottom"/>
            <w:tcBorders>
              <w:bottom w:val="single" w:sz="8" w:color="BFBFBF"/>
            </w:tcBorders>
          </w:tcPr>
          <w:p>
            <w:pPr>
              <w:spacing w:after="0"/>
              <w:rPr>
                <w:sz w:val="4"/>
                <w:szCs w:val="4"/>
                <w:color w:val="auto"/>
              </w:rPr>
            </w:pPr>
          </w:p>
        </w:tc>
        <w:tc>
          <w:tcPr>
            <w:tcW w:w="2920" w:type="dxa"/>
            <w:vAlign w:val="bottom"/>
            <w:tcBorders>
              <w:bottom w:val="single" w:sz="8" w:color="BFBFBF"/>
              <w:right w:val="single" w:sz="8" w:color="BFBFBF"/>
            </w:tcBorders>
          </w:tcPr>
          <w:p>
            <w:pPr>
              <w:spacing w:after="0"/>
              <w:rPr>
                <w:sz w:val="4"/>
                <w:szCs w:val="4"/>
                <w:color w:val="auto"/>
              </w:rPr>
            </w:pPr>
          </w:p>
        </w:tc>
      </w:tr>
      <w:tr>
        <w:trPr>
          <w:trHeight w:val="167"/>
        </w:trPr>
        <w:tc>
          <w:tcPr>
            <w:tcW w:w="2080" w:type="dxa"/>
            <w:vAlign w:val="bottom"/>
            <w:tcBorders>
              <w:bottom w:val="single" w:sz="8" w:color="5D89B4"/>
            </w:tcBorders>
          </w:tcPr>
          <w:p>
            <w:pPr>
              <w:spacing w:after="0"/>
              <w:rPr>
                <w:sz w:val="14"/>
                <w:szCs w:val="14"/>
                <w:color w:val="auto"/>
              </w:rPr>
            </w:pPr>
          </w:p>
        </w:tc>
        <w:tc>
          <w:tcPr>
            <w:tcW w:w="2960" w:type="dxa"/>
            <w:vAlign w:val="bottom"/>
            <w:tcBorders>
              <w:bottom w:val="single" w:sz="8" w:color="5D89B4"/>
            </w:tcBorders>
          </w:tcPr>
          <w:p>
            <w:pPr>
              <w:spacing w:after="0"/>
              <w:rPr>
                <w:sz w:val="14"/>
                <w:szCs w:val="14"/>
                <w:color w:val="auto"/>
              </w:rPr>
            </w:pPr>
          </w:p>
        </w:tc>
        <w:tc>
          <w:tcPr>
            <w:tcW w:w="2980" w:type="dxa"/>
            <w:vAlign w:val="bottom"/>
            <w:tcBorders>
              <w:bottom w:val="single" w:sz="8" w:color="5D89B4"/>
            </w:tcBorders>
          </w:tcPr>
          <w:p>
            <w:pPr>
              <w:spacing w:after="0"/>
              <w:rPr>
                <w:sz w:val="14"/>
                <w:szCs w:val="14"/>
                <w:color w:val="auto"/>
              </w:rPr>
            </w:pPr>
          </w:p>
        </w:tc>
        <w:tc>
          <w:tcPr>
            <w:tcW w:w="2920" w:type="dxa"/>
            <w:vAlign w:val="bottom"/>
            <w:tcBorders>
              <w:bottom w:val="single" w:sz="8" w:color="5D89B4"/>
            </w:tcBorders>
          </w:tcPr>
          <w:p>
            <w:pPr>
              <w:spacing w:after="0"/>
              <w:rPr>
                <w:sz w:val="14"/>
                <w:szCs w:val="14"/>
                <w:color w:val="auto"/>
              </w:rPr>
            </w:pPr>
          </w:p>
        </w:tc>
      </w:tr>
    </w:tbl>
    <w:p>
      <w:pPr>
        <w:spacing w:after="0" w:line="112" w:lineRule="exact"/>
        <w:rPr>
          <w:sz w:val="20"/>
          <w:szCs w:val="20"/>
          <w:color w:val="auto"/>
        </w:rPr>
      </w:pPr>
    </w:p>
    <w:p>
      <w:pPr>
        <w:ind w:left="6020" w:hanging="658"/>
        <w:spacing w:after="0"/>
        <w:tabs>
          <w:tab w:leader="none" w:pos="6020" w:val="left"/>
        </w:tabs>
        <w:numPr>
          <w:ilvl w:val="0"/>
          <w:numId w:val="48"/>
        </w:numPr>
        <w:rPr>
          <w:rFonts w:ascii="Arial" w:cs="Arial" w:eastAsia="Arial" w:hAnsi="Arial"/>
          <w:sz w:val="20"/>
          <w:szCs w:val="20"/>
          <w:b w:val="1"/>
          <w:bCs w:val="1"/>
          <w:color w:val="5D89B4"/>
        </w:rPr>
      </w:pP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40"/>
          </w:cols>
          <w:pgMar w:left="480" w:top="1165" w:right="47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Target Total Compensation</w:t>
      </w:r>
    </w:p>
    <w:p>
      <w:pPr>
        <w:spacing w:after="0" w:line="139"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2020 among the various compensation elements, except for Ms. Swan who retired from the Company in March 2020 and did not participate in the 2020 annual incentive plan or receive any equity awards in 2020:</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D89B4"/>
        </w:rPr>
        <w:t>2020 Target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163195</wp:posOffset>
            </wp:positionV>
            <wp:extent cx="5222875" cy="17919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2287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spacing w:after="0" w:line="232" w:lineRule="auto"/>
        <w:rPr>
          <w:sz w:val="20"/>
          <w:szCs w:val="20"/>
          <w:color w:val="auto"/>
        </w:rPr>
      </w:pPr>
      <w:r>
        <w:rPr>
          <w:rFonts w:ascii="Arial" w:cs="Arial" w:eastAsia="Arial" w:hAnsi="Arial"/>
          <w:sz w:val="15"/>
          <w:szCs w:val="15"/>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w:t>
      </w:r>
    </w:p>
    <w:p>
      <w:pPr>
        <w:spacing w:after="0" w:line="128" w:lineRule="exact"/>
        <w:rPr>
          <w:sz w:val="20"/>
          <w:szCs w:val="20"/>
          <w:color w:val="auto"/>
        </w:rPr>
      </w:pPr>
    </w:p>
    <w:p>
      <w:pPr>
        <w:ind w:right="360"/>
        <w:spacing w:after="0" w:line="237" w:lineRule="auto"/>
        <w:rPr>
          <w:sz w:val="20"/>
          <w:szCs w:val="20"/>
          <w:color w:val="auto"/>
        </w:rPr>
      </w:pPr>
      <w:r>
        <w:rPr>
          <w:rFonts w:ascii="Arial" w:cs="Arial" w:eastAsia="Arial" w:hAnsi="Arial"/>
          <w:sz w:val="15"/>
          <w:szCs w:val="15"/>
          <w:color w:val="auto"/>
        </w:rPr>
        <w:t>This table outlines each of the NEOs total target compensation values and the percentage that is variable (both short- and long-term) and performance-based (both short- and long-term).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D89B4"/>
        </w:rPr>
        <w:t>2020 NEO Target Compensation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shd w:val="clear" w:color="auto" w:fill="EAEAEA"/>
          </w:tcPr>
          <w:p>
            <w:pPr>
              <w:spacing w:after="0"/>
              <w:rPr>
                <w:sz w:val="15"/>
                <w:szCs w:val="15"/>
                <w:color w:val="auto"/>
              </w:rPr>
            </w:pPr>
          </w:p>
        </w:tc>
        <w:tc>
          <w:tcPr>
            <w:tcW w:w="1780" w:type="dxa"/>
            <w:vAlign w:val="bottom"/>
            <w:shd w:val="clear" w:color="auto" w:fill="EAEAEA"/>
          </w:tcPr>
          <w:p>
            <w:pPr>
              <w:spacing w:after="0"/>
              <w:rPr>
                <w:sz w:val="15"/>
                <w:szCs w:val="15"/>
                <w:color w:val="auto"/>
              </w:rPr>
            </w:pPr>
          </w:p>
        </w:tc>
        <w:tc>
          <w:tcPr>
            <w:tcW w:w="1420" w:type="dxa"/>
            <w:vAlign w:val="bottom"/>
            <w:shd w:val="clear" w:color="auto" w:fill="EAEAEA"/>
          </w:tcPr>
          <w:p>
            <w:pPr>
              <w:jc w:val="right"/>
              <w:ind w:right="232"/>
              <w:spacing w:after="0"/>
              <w:rPr>
                <w:sz w:val="20"/>
                <w:szCs w:val="20"/>
                <w:color w:val="auto"/>
              </w:rPr>
            </w:pPr>
            <w:r>
              <w:rPr>
                <w:rFonts w:ascii="Arial" w:cs="Arial" w:eastAsia="Arial" w:hAnsi="Arial"/>
                <w:sz w:val="12"/>
                <w:szCs w:val="12"/>
                <w:b w:val="1"/>
                <w:bCs w:val="1"/>
                <w:color w:val="5D89B4"/>
              </w:rPr>
              <w:t>% TOTAL</w:t>
            </w:r>
          </w:p>
        </w:tc>
        <w:tc>
          <w:tcPr>
            <w:tcW w:w="1580" w:type="dxa"/>
            <w:vAlign w:val="bottom"/>
            <w:shd w:val="clear" w:color="auto" w:fill="EAEAEA"/>
          </w:tcPr>
          <w:p>
            <w:pPr>
              <w:jc w:val="right"/>
              <w:ind w:right="312"/>
              <w:spacing w:after="0"/>
              <w:rPr>
                <w:sz w:val="20"/>
                <w:szCs w:val="20"/>
                <w:color w:val="auto"/>
              </w:rPr>
            </w:pPr>
            <w:r>
              <w:rPr>
                <w:rFonts w:ascii="Arial" w:cs="Arial" w:eastAsia="Arial" w:hAnsi="Arial"/>
                <w:sz w:val="12"/>
                <w:szCs w:val="12"/>
                <w:b w:val="1"/>
                <w:bCs w:val="1"/>
                <w:color w:val="5D89B4"/>
              </w:rPr>
              <w:t>% TOTAL 2020</w:t>
            </w:r>
          </w:p>
        </w:tc>
      </w:tr>
      <w:tr>
        <w:trPr>
          <w:trHeight w:val="134"/>
        </w:trPr>
        <w:tc>
          <w:tcPr>
            <w:tcW w:w="6140" w:type="dxa"/>
            <w:vAlign w:val="bottom"/>
            <w:shd w:val="clear" w:color="auto" w:fill="EAEAEA"/>
          </w:tcPr>
          <w:p>
            <w:pPr>
              <w:spacing w:after="0"/>
              <w:rPr>
                <w:sz w:val="11"/>
                <w:szCs w:val="11"/>
                <w:color w:val="auto"/>
              </w:rPr>
            </w:pPr>
          </w:p>
        </w:tc>
        <w:tc>
          <w:tcPr>
            <w:tcW w:w="1780" w:type="dxa"/>
            <w:vAlign w:val="bottom"/>
            <w:shd w:val="clear" w:color="auto" w:fill="EAEAEA"/>
          </w:tcPr>
          <w:p>
            <w:pPr>
              <w:spacing w:after="0"/>
              <w:rPr>
                <w:sz w:val="11"/>
                <w:szCs w:val="11"/>
                <w:color w:val="auto"/>
              </w:rPr>
            </w:pPr>
          </w:p>
        </w:tc>
        <w:tc>
          <w:tcPr>
            <w:tcW w:w="14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2020</w:t>
            </w:r>
          </w:p>
        </w:tc>
        <w:tc>
          <w:tcPr>
            <w:tcW w:w="1580" w:type="dxa"/>
            <w:vAlign w:val="bottom"/>
            <w:shd w:val="clear" w:color="auto" w:fill="EAEAEA"/>
          </w:tcPr>
          <w:p>
            <w:pPr>
              <w:jc w:val="right"/>
              <w:ind w:right="312"/>
              <w:spacing w:after="0" w:line="134" w:lineRule="exact"/>
              <w:rPr>
                <w:sz w:val="20"/>
                <w:szCs w:val="20"/>
                <w:color w:val="auto"/>
              </w:rPr>
            </w:pPr>
            <w:r>
              <w:rPr>
                <w:rFonts w:ascii="Arial" w:cs="Arial" w:eastAsia="Arial" w:hAnsi="Arial"/>
                <w:sz w:val="12"/>
                <w:szCs w:val="12"/>
                <w:b w:val="1"/>
                <w:bCs w:val="1"/>
                <w:color w:val="5D89B4"/>
              </w:rPr>
              <w:t>TARGET</w:t>
            </w:r>
          </w:p>
        </w:tc>
      </w:tr>
      <w:tr>
        <w:trPr>
          <w:trHeight w:val="134"/>
        </w:trPr>
        <w:tc>
          <w:tcPr>
            <w:tcW w:w="6140" w:type="dxa"/>
            <w:vAlign w:val="bottom"/>
            <w:shd w:val="clear" w:color="auto" w:fill="EAEAEA"/>
          </w:tcPr>
          <w:p>
            <w:pPr>
              <w:spacing w:after="0"/>
              <w:rPr>
                <w:sz w:val="11"/>
                <w:szCs w:val="11"/>
                <w:color w:val="auto"/>
              </w:rPr>
            </w:pPr>
          </w:p>
        </w:tc>
        <w:tc>
          <w:tcPr>
            <w:tcW w:w="1780" w:type="dxa"/>
            <w:vAlign w:val="bottom"/>
            <w:shd w:val="clear" w:color="auto" w:fill="EAEAEA"/>
          </w:tcPr>
          <w:p>
            <w:pPr>
              <w:jc w:val="right"/>
              <w:ind w:right="270"/>
              <w:spacing w:after="0" w:line="134" w:lineRule="exact"/>
              <w:rPr>
                <w:sz w:val="20"/>
                <w:szCs w:val="20"/>
                <w:color w:val="auto"/>
              </w:rPr>
            </w:pPr>
            <w:r>
              <w:rPr>
                <w:rFonts w:ascii="Arial" w:cs="Arial" w:eastAsia="Arial" w:hAnsi="Arial"/>
                <w:sz w:val="12"/>
                <w:szCs w:val="12"/>
                <w:b w:val="1"/>
                <w:bCs w:val="1"/>
                <w:color w:val="5D89B4"/>
              </w:rPr>
              <w:t>TOTAL 2020</w:t>
            </w:r>
          </w:p>
        </w:tc>
        <w:tc>
          <w:tcPr>
            <w:tcW w:w="14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TARGET</w:t>
            </w:r>
          </w:p>
        </w:tc>
        <w:tc>
          <w:tcPr>
            <w:tcW w:w="1580" w:type="dxa"/>
            <w:vAlign w:val="bottom"/>
            <w:shd w:val="clear" w:color="auto" w:fill="EAEAEA"/>
          </w:tcPr>
          <w:p>
            <w:pPr>
              <w:jc w:val="right"/>
              <w:ind w:right="312"/>
              <w:spacing w:after="0" w:line="134" w:lineRule="exact"/>
              <w:rPr>
                <w:sz w:val="20"/>
                <w:szCs w:val="20"/>
                <w:color w:val="auto"/>
              </w:rPr>
            </w:pPr>
            <w:r>
              <w:rPr>
                <w:rFonts w:ascii="Arial" w:cs="Arial" w:eastAsia="Arial" w:hAnsi="Arial"/>
                <w:sz w:val="12"/>
                <w:szCs w:val="12"/>
                <w:b w:val="1"/>
                <w:bCs w:val="1"/>
                <w:color w:val="5D89B4"/>
              </w:rPr>
              <w:t>COMP</w:t>
            </w:r>
          </w:p>
        </w:tc>
      </w:tr>
      <w:tr>
        <w:trPr>
          <w:trHeight w:val="134"/>
        </w:trPr>
        <w:tc>
          <w:tcPr>
            <w:tcW w:w="6140" w:type="dxa"/>
            <w:vAlign w:val="bottom"/>
            <w:shd w:val="clear" w:color="auto" w:fill="EAEAEA"/>
          </w:tcPr>
          <w:p>
            <w:pPr>
              <w:spacing w:after="0"/>
              <w:rPr>
                <w:sz w:val="11"/>
                <w:szCs w:val="11"/>
                <w:color w:val="auto"/>
              </w:rPr>
            </w:pPr>
          </w:p>
        </w:tc>
        <w:tc>
          <w:tcPr>
            <w:tcW w:w="1780" w:type="dxa"/>
            <w:vAlign w:val="bottom"/>
            <w:shd w:val="clear" w:color="auto" w:fill="EAEAEA"/>
          </w:tcPr>
          <w:p>
            <w:pPr>
              <w:jc w:val="right"/>
              <w:ind w:right="270"/>
              <w:spacing w:after="0" w:line="134" w:lineRule="exact"/>
              <w:rPr>
                <w:sz w:val="20"/>
                <w:szCs w:val="20"/>
                <w:color w:val="auto"/>
              </w:rPr>
            </w:pPr>
            <w:r>
              <w:rPr>
                <w:rFonts w:ascii="Arial" w:cs="Arial" w:eastAsia="Arial" w:hAnsi="Arial"/>
                <w:sz w:val="12"/>
                <w:szCs w:val="12"/>
                <w:b w:val="1"/>
                <w:bCs w:val="1"/>
                <w:color w:val="5D89B4"/>
              </w:rPr>
              <w:t>TARGET</w:t>
            </w:r>
          </w:p>
        </w:tc>
        <w:tc>
          <w:tcPr>
            <w:tcW w:w="14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COMP</w:t>
            </w:r>
          </w:p>
        </w:tc>
        <w:tc>
          <w:tcPr>
            <w:tcW w:w="1580" w:type="dxa"/>
            <w:vAlign w:val="bottom"/>
            <w:shd w:val="clear" w:color="auto" w:fill="EAEAEA"/>
          </w:tcPr>
          <w:p>
            <w:pPr>
              <w:jc w:val="right"/>
              <w:ind w:right="312"/>
              <w:spacing w:after="0" w:line="134" w:lineRule="exact"/>
              <w:rPr>
                <w:sz w:val="20"/>
                <w:szCs w:val="20"/>
                <w:color w:val="auto"/>
              </w:rPr>
            </w:pPr>
            <w:r>
              <w:rPr>
                <w:rFonts w:ascii="Arial" w:cs="Arial" w:eastAsia="Arial" w:hAnsi="Arial"/>
                <w:sz w:val="12"/>
                <w:szCs w:val="12"/>
                <w:b w:val="1"/>
                <w:bCs w:val="1"/>
                <w:color w:val="5D89B4"/>
              </w:rPr>
              <w:t>PERFORMANCE-</w:t>
            </w:r>
          </w:p>
        </w:tc>
      </w:tr>
      <w:tr>
        <w:trPr>
          <w:trHeight w:val="214"/>
        </w:trPr>
        <w:tc>
          <w:tcPr>
            <w:tcW w:w="61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NEO</w:t>
            </w:r>
          </w:p>
        </w:tc>
        <w:tc>
          <w:tcPr>
            <w:tcW w:w="1780" w:type="dxa"/>
            <w:vAlign w:val="bottom"/>
            <w:tcBorders>
              <w:bottom w:val="single" w:sz="8" w:color="EAEAEA"/>
            </w:tcBorders>
            <w:shd w:val="clear" w:color="auto" w:fill="EAEAEA"/>
          </w:tcPr>
          <w:p>
            <w:pPr>
              <w:jc w:val="right"/>
              <w:ind w:right="270"/>
              <w:spacing w:after="0"/>
              <w:rPr>
                <w:sz w:val="20"/>
                <w:szCs w:val="20"/>
                <w:color w:val="auto"/>
              </w:rPr>
            </w:pPr>
            <w:r>
              <w:rPr>
                <w:rFonts w:ascii="Arial" w:cs="Arial" w:eastAsia="Arial" w:hAnsi="Arial"/>
                <w:sz w:val="12"/>
                <w:szCs w:val="12"/>
                <w:b w:val="1"/>
                <w:bCs w:val="1"/>
                <w:color w:val="5D89B4"/>
              </w:rPr>
              <w:t>COMP $</w:t>
            </w:r>
          </w:p>
        </w:tc>
        <w:tc>
          <w:tcPr>
            <w:tcW w:w="1420" w:type="dxa"/>
            <w:vAlign w:val="bottom"/>
            <w:tcBorders>
              <w:bottom w:val="single" w:sz="8" w:color="EAEAEA"/>
            </w:tcBorders>
            <w:shd w:val="clear" w:color="auto" w:fill="EAEAEA"/>
          </w:tcPr>
          <w:p>
            <w:pPr>
              <w:jc w:val="right"/>
              <w:ind w:right="232"/>
              <w:spacing w:after="0"/>
              <w:rPr>
                <w:sz w:val="20"/>
                <w:szCs w:val="20"/>
                <w:color w:val="auto"/>
              </w:rPr>
            </w:pPr>
            <w:r>
              <w:rPr>
                <w:rFonts w:ascii="Arial" w:cs="Arial" w:eastAsia="Arial" w:hAnsi="Arial"/>
                <w:sz w:val="12"/>
                <w:szCs w:val="12"/>
                <w:b w:val="1"/>
                <w:bCs w:val="1"/>
                <w:color w:val="5D89B4"/>
              </w:rPr>
              <w:t>VARIABLE(1)</w:t>
            </w:r>
          </w:p>
        </w:tc>
        <w:tc>
          <w:tcPr>
            <w:tcW w:w="1580" w:type="dxa"/>
            <w:vAlign w:val="bottom"/>
            <w:tcBorders>
              <w:bottom w:val="single" w:sz="8" w:color="EAEAEA"/>
            </w:tcBorders>
            <w:shd w:val="clear" w:color="auto" w:fill="EAEAEA"/>
          </w:tcPr>
          <w:p>
            <w:pPr>
              <w:jc w:val="right"/>
              <w:ind w:right="312"/>
              <w:spacing w:after="0"/>
              <w:rPr>
                <w:sz w:val="20"/>
                <w:szCs w:val="20"/>
                <w:color w:val="auto"/>
              </w:rPr>
            </w:pPr>
            <w:r>
              <w:rPr>
                <w:rFonts w:ascii="Arial" w:cs="Arial" w:eastAsia="Arial" w:hAnsi="Arial"/>
                <w:sz w:val="12"/>
                <w:szCs w:val="12"/>
                <w:b w:val="1"/>
                <w:bCs w:val="1"/>
                <w:color w:val="5D89B4"/>
              </w:rPr>
              <w:t>BASED(2)</w:t>
            </w:r>
          </w:p>
        </w:tc>
      </w:tr>
      <w:tr>
        <w:trPr>
          <w:trHeight w:val="245"/>
        </w:trPr>
        <w:tc>
          <w:tcPr>
            <w:tcW w:w="61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780" w:type="dxa"/>
            <w:vAlign w:val="bottom"/>
          </w:tcPr>
          <w:p>
            <w:pPr>
              <w:jc w:val="right"/>
              <w:ind w:right="270"/>
              <w:spacing w:after="0"/>
              <w:rPr>
                <w:sz w:val="20"/>
                <w:szCs w:val="20"/>
                <w:color w:val="auto"/>
              </w:rPr>
            </w:pPr>
            <w:r>
              <w:rPr>
                <w:rFonts w:ascii="Arial" w:cs="Arial" w:eastAsia="Arial" w:hAnsi="Arial"/>
                <w:sz w:val="15"/>
                <w:szCs w:val="15"/>
                <w:color w:val="auto"/>
              </w:rPr>
              <w:t>13,250,013</w:t>
            </w:r>
          </w:p>
        </w:tc>
        <w:tc>
          <w:tcPr>
            <w:tcW w:w="1420" w:type="dxa"/>
            <w:vAlign w:val="bottom"/>
          </w:tcPr>
          <w:p>
            <w:pPr>
              <w:jc w:val="right"/>
              <w:ind w:right="92"/>
              <w:spacing w:after="0"/>
              <w:rPr>
                <w:sz w:val="20"/>
                <w:szCs w:val="20"/>
                <w:color w:val="auto"/>
              </w:rPr>
            </w:pPr>
            <w:r>
              <w:rPr>
                <w:rFonts w:ascii="Arial" w:cs="Arial" w:eastAsia="Arial" w:hAnsi="Arial"/>
                <w:sz w:val="15"/>
                <w:szCs w:val="15"/>
                <w:color w:val="auto"/>
              </w:rPr>
              <w:t>91%</w:t>
            </w:r>
          </w:p>
        </w:tc>
        <w:tc>
          <w:tcPr>
            <w:tcW w:w="1580" w:type="dxa"/>
            <w:vAlign w:val="bottom"/>
          </w:tcPr>
          <w:p>
            <w:pPr>
              <w:jc w:val="right"/>
              <w:ind w:right="192"/>
              <w:spacing w:after="0"/>
              <w:rPr>
                <w:sz w:val="20"/>
                <w:szCs w:val="20"/>
                <w:color w:val="auto"/>
              </w:rPr>
            </w:pPr>
            <w:r>
              <w:rPr>
                <w:rFonts w:ascii="Arial" w:cs="Arial" w:eastAsia="Arial" w:hAnsi="Arial"/>
                <w:sz w:val="15"/>
                <w:szCs w:val="15"/>
                <w:color w:val="auto"/>
              </w:rPr>
              <w:t>75%</w:t>
            </w:r>
          </w:p>
        </w:tc>
      </w:tr>
      <w:tr>
        <w:trPr>
          <w:trHeight w:val="50"/>
        </w:trPr>
        <w:tc>
          <w:tcPr>
            <w:tcW w:w="614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4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r>
      <w:tr>
        <w:trPr>
          <w:trHeight w:val="225"/>
        </w:trPr>
        <w:tc>
          <w:tcPr>
            <w:tcW w:w="61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780" w:type="dxa"/>
            <w:vAlign w:val="bottom"/>
          </w:tcPr>
          <w:p>
            <w:pPr>
              <w:jc w:val="right"/>
              <w:ind w:right="270"/>
              <w:spacing w:after="0"/>
              <w:rPr>
                <w:sz w:val="20"/>
                <w:szCs w:val="20"/>
                <w:color w:val="auto"/>
              </w:rPr>
            </w:pPr>
            <w:r>
              <w:rPr>
                <w:rFonts w:ascii="Arial" w:cs="Arial" w:eastAsia="Arial" w:hAnsi="Arial"/>
                <w:sz w:val="15"/>
                <w:szCs w:val="15"/>
                <w:color w:val="auto"/>
              </w:rPr>
              <w:t>4,522,610</w:t>
            </w:r>
          </w:p>
        </w:tc>
        <w:tc>
          <w:tcPr>
            <w:tcW w:w="1420" w:type="dxa"/>
            <w:vAlign w:val="bottom"/>
          </w:tcPr>
          <w:p>
            <w:pPr>
              <w:jc w:val="right"/>
              <w:ind w:right="92"/>
              <w:spacing w:after="0"/>
              <w:rPr>
                <w:sz w:val="20"/>
                <w:szCs w:val="20"/>
                <w:color w:val="auto"/>
              </w:rPr>
            </w:pPr>
            <w:r>
              <w:rPr>
                <w:rFonts w:ascii="Arial" w:cs="Arial" w:eastAsia="Arial" w:hAnsi="Arial"/>
                <w:sz w:val="15"/>
                <w:szCs w:val="15"/>
                <w:color w:val="auto"/>
              </w:rPr>
              <w:t>84%</w:t>
            </w:r>
          </w:p>
        </w:tc>
        <w:tc>
          <w:tcPr>
            <w:tcW w:w="1580" w:type="dxa"/>
            <w:vAlign w:val="bottom"/>
          </w:tcPr>
          <w:p>
            <w:pPr>
              <w:jc w:val="right"/>
              <w:ind w:right="192"/>
              <w:spacing w:after="0"/>
              <w:rPr>
                <w:sz w:val="20"/>
                <w:szCs w:val="20"/>
                <w:color w:val="auto"/>
              </w:rPr>
            </w:pPr>
            <w:r>
              <w:rPr>
                <w:rFonts w:ascii="Arial" w:cs="Arial" w:eastAsia="Arial" w:hAnsi="Arial"/>
                <w:sz w:val="15"/>
                <w:szCs w:val="15"/>
                <w:color w:val="auto"/>
              </w:rPr>
              <w:t>71%</w:t>
            </w:r>
          </w:p>
        </w:tc>
      </w:tr>
      <w:tr>
        <w:trPr>
          <w:trHeight w:val="50"/>
        </w:trPr>
        <w:tc>
          <w:tcPr>
            <w:tcW w:w="614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4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r>
      <w:tr>
        <w:trPr>
          <w:trHeight w:val="225"/>
        </w:trPr>
        <w:tc>
          <w:tcPr>
            <w:tcW w:w="61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780" w:type="dxa"/>
            <w:vAlign w:val="bottom"/>
          </w:tcPr>
          <w:p>
            <w:pPr>
              <w:jc w:val="right"/>
              <w:ind w:right="270"/>
              <w:spacing w:after="0"/>
              <w:rPr>
                <w:sz w:val="20"/>
                <w:szCs w:val="20"/>
                <w:color w:val="auto"/>
              </w:rPr>
            </w:pPr>
            <w:r>
              <w:rPr>
                <w:rFonts w:ascii="Arial" w:cs="Arial" w:eastAsia="Arial" w:hAnsi="Arial"/>
                <w:sz w:val="15"/>
                <w:szCs w:val="15"/>
                <w:color w:val="auto"/>
              </w:rPr>
              <w:t>1,962,611</w:t>
            </w:r>
          </w:p>
        </w:tc>
        <w:tc>
          <w:tcPr>
            <w:tcW w:w="1420" w:type="dxa"/>
            <w:vAlign w:val="bottom"/>
          </w:tcPr>
          <w:p>
            <w:pPr>
              <w:jc w:val="right"/>
              <w:ind w:right="92"/>
              <w:spacing w:after="0"/>
              <w:rPr>
                <w:sz w:val="20"/>
                <w:szCs w:val="20"/>
                <w:color w:val="auto"/>
              </w:rPr>
            </w:pPr>
            <w:r>
              <w:rPr>
                <w:rFonts w:ascii="Arial" w:cs="Arial" w:eastAsia="Arial" w:hAnsi="Arial"/>
                <w:sz w:val="15"/>
                <w:szCs w:val="15"/>
                <w:color w:val="auto"/>
              </w:rPr>
              <w:t>72%</w:t>
            </w:r>
          </w:p>
        </w:tc>
        <w:tc>
          <w:tcPr>
            <w:tcW w:w="1580" w:type="dxa"/>
            <w:vAlign w:val="bottom"/>
          </w:tcPr>
          <w:p>
            <w:pPr>
              <w:jc w:val="right"/>
              <w:ind w:right="192"/>
              <w:spacing w:after="0"/>
              <w:rPr>
                <w:sz w:val="20"/>
                <w:szCs w:val="20"/>
                <w:color w:val="auto"/>
              </w:rPr>
            </w:pPr>
            <w:r>
              <w:rPr>
                <w:rFonts w:ascii="Arial" w:cs="Arial" w:eastAsia="Arial" w:hAnsi="Arial"/>
                <w:sz w:val="15"/>
                <w:szCs w:val="15"/>
                <w:color w:val="auto"/>
              </w:rPr>
              <w:t>62%</w:t>
            </w:r>
          </w:p>
        </w:tc>
      </w:tr>
      <w:tr>
        <w:trPr>
          <w:trHeight w:val="50"/>
        </w:trPr>
        <w:tc>
          <w:tcPr>
            <w:tcW w:w="614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4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r>
      <w:tr>
        <w:trPr>
          <w:trHeight w:val="225"/>
        </w:trPr>
        <w:tc>
          <w:tcPr>
            <w:tcW w:w="61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780" w:type="dxa"/>
            <w:vAlign w:val="bottom"/>
          </w:tcPr>
          <w:p>
            <w:pPr>
              <w:jc w:val="right"/>
              <w:ind w:right="270"/>
              <w:spacing w:after="0"/>
              <w:rPr>
                <w:sz w:val="20"/>
                <w:szCs w:val="20"/>
                <w:color w:val="auto"/>
              </w:rPr>
            </w:pPr>
            <w:r>
              <w:rPr>
                <w:rFonts w:ascii="Arial" w:cs="Arial" w:eastAsia="Arial" w:hAnsi="Arial"/>
                <w:sz w:val="15"/>
                <w:szCs w:val="15"/>
                <w:color w:val="auto"/>
              </w:rPr>
              <w:t>1,718,765</w:t>
            </w:r>
          </w:p>
        </w:tc>
        <w:tc>
          <w:tcPr>
            <w:tcW w:w="1420" w:type="dxa"/>
            <w:vAlign w:val="bottom"/>
          </w:tcPr>
          <w:p>
            <w:pPr>
              <w:jc w:val="right"/>
              <w:ind w:right="92"/>
              <w:spacing w:after="0"/>
              <w:rPr>
                <w:sz w:val="20"/>
                <w:szCs w:val="20"/>
                <w:color w:val="auto"/>
              </w:rPr>
            </w:pPr>
            <w:r>
              <w:rPr>
                <w:rFonts w:ascii="Arial" w:cs="Arial" w:eastAsia="Arial" w:hAnsi="Arial"/>
                <w:sz w:val="15"/>
                <w:szCs w:val="15"/>
                <w:color w:val="auto"/>
              </w:rPr>
              <w:t>69%</w:t>
            </w:r>
          </w:p>
        </w:tc>
        <w:tc>
          <w:tcPr>
            <w:tcW w:w="1580" w:type="dxa"/>
            <w:vAlign w:val="bottom"/>
          </w:tcPr>
          <w:p>
            <w:pPr>
              <w:jc w:val="right"/>
              <w:ind w:right="192"/>
              <w:spacing w:after="0"/>
              <w:rPr>
                <w:sz w:val="20"/>
                <w:szCs w:val="20"/>
                <w:color w:val="auto"/>
              </w:rPr>
            </w:pPr>
            <w:r>
              <w:rPr>
                <w:rFonts w:ascii="Arial" w:cs="Arial" w:eastAsia="Arial" w:hAnsi="Arial"/>
                <w:sz w:val="15"/>
                <w:szCs w:val="15"/>
                <w:color w:val="auto"/>
              </w:rPr>
              <w:t>60%</w:t>
            </w:r>
          </w:p>
        </w:tc>
      </w:tr>
      <w:tr>
        <w:trPr>
          <w:trHeight w:val="50"/>
        </w:trPr>
        <w:tc>
          <w:tcPr>
            <w:tcW w:w="614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4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annual incentive, stock options, PSUs and RSUs.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annual incentive, stock options and PSUs.</w:t>
      </w:r>
    </w:p>
    <w:p>
      <w:pPr>
        <w:spacing w:after="0" w:line="205"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34</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46" w:name="page47"/>
    <w:bookmarkEnd w:id="46"/>
    <w:p>
      <w:pPr>
        <w:ind w:left="73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1" w:lineRule="exact"/>
        <w:rPr>
          <w:sz w:val="20"/>
          <w:szCs w:val="20"/>
          <w:color w:val="auto"/>
        </w:rPr>
      </w:pPr>
    </w:p>
    <w:p>
      <w:pPr>
        <w:ind w:right="1420"/>
        <w:spacing w:after="0" w:line="281" w:lineRule="auto"/>
        <w:rPr>
          <w:sz w:val="20"/>
          <w:szCs w:val="20"/>
          <w:color w:val="auto"/>
        </w:rPr>
      </w:pPr>
      <w:r>
        <w:rPr>
          <w:rFonts w:ascii="Arial" w:cs="Arial" w:eastAsia="Arial" w:hAnsi="Arial"/>
          <w:sz w:val="25"/>
          <w:szCs w:val="25"/>
          <w:b w:val="1"/>
          <w:bCs w:val="1"/>
          <w:color w:val="5D89B4"/>
        </w:rPr>
        <w:t>Market Positioning: For 2020 Target Compensation was Below the Median of the Competitive Market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How We Determine the Competitive Market: Challenges in Identifying a Relevant Peer Group</w:t>
      </w:r>
    </w:p>
    <w:p>
      <w:pPr>
        <w:spacing w:after="0" w:line="90"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In alignment with its compensation principles, the Committee devotes considerable effort to identifying an appropriate competitive market for benchmarking our executive compensation. As discussed further below, the Committee has determined that simply benchmarking against other U.S. companies in our industry would not yield a meaningful peer group — we present a different profile, being significantly larger, more complex, and more global in scope than other U.S.-listed companies in our industry.</w:t>
      </w:r>
    </w:p>
    <w:p>
      <w:pPr>
        <w:spacing w:after="0" w:line="98" w:lineRule="exact"/>
        <w:rPr>
          <w:sz w:val="20"/>
          <w:szCs w:val="20"/>
          <w:color w:val="auto"/>
        </w:rPr>
      </w:pPr>
    </w:p>
    <w:p>
      <w:pPr>
        <w:ind w:right="120"/>
        <w:spacing w:after="0" w:line="231" w:lineRule="auto"/>
        <w:rPr>
          <w:sz w:val="20"/>
          <w:szCs w:val="20"/>
          <w:color w:val="auto"/>
        </w:rPr>
      </w:pPr>
      <w:r>
        <w:rPr>
          <w:rFonts w:ascii="Arial" w:cs="Arial" w:eastAsia="Arial" w:hAnsi="Arial"/>
          <w:sz w:val="15"/>
          <w:szCs w:val="15"/>
          <w:color w:val="auto"/>
        </w:rPr>
        <w:t xml:space="preserve">The Committee </w:t>
      </w:r>
      <w:r>
        <w:rPr>
          <w:rFonts w:ascii="Arial" w:cs="Arial" w:eastAsia="Arial" w:hAnsi="Arial"/>
          <w:sz w:val="15"/>
          <w:szCs w:val="15"/>
          <w:i w:val="1"/>
          <w:iCs w:val="1"/>
          <w:color w:val="auto"/>
        </w:rPr>
        <w:t>primarily</w:t>
      </w:r>
      <w:r>
        <w:rPr>
          <w:rFonts w:ascii="Arial" w:cs="Arial" w:eastAsia="Arial" w:hAnsi="Arial"/>
          <w:sz w:val="15"/>
          <w:szCs w:val="15"/>
          <w:color w:val="auto"/>
        </w:rPr>
        <w:t xml:space="preserve"> utilizes a customized peer group developed by Mercer consisting of companies within the S&amp;P 500. For ManpowerGroup, Mercer has removed companies that are not comparable to us, to arrive at a research subset of 91 companies within the S&amp;P 500 with minimum revenues of approximately $15 billion, maximum revenues of approximately $42 billion, and median revenues of $22 billion. The Committee believes that using this group provides a robust basis for assessing the competitive range of compensation for senior executives of companies of ManpowerGroup’s scale and that it also represents the universe of top-tier companies we consider when looking for executive talent. A list of the companies included in the peer group used by ManpowerGroup is attached as </w:t>
      </w:r>
      <w:r>
        <w:rPr>
          <w:rFonts w:ascii="Arial" w:cs="Arial" w:eastAsia="Arial" w:hAnsi="Arial"/>
          <w:sz w:val="15"/>
          <w:szCs w:val="15"/>
          <w:i w:val="1"/>
          <w:iCs w:val="1"/>
          <w:color w:val="auto"/>
        </w:rPr>
        <w:t>Appendix A.</w:t>
      </w:r>
    </w:p>
    <w:p>
      <w:pPr>
        <w:spacing w:after="0" w:line="130"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One reason we utilize the customized set of comparison companies is that it is difficult to find an industry-specific group of peer companies. Our two largest competitors, Adecco and Randstad, are based in Europe, and although we review available compensation data for these two companies, their pay practices are different and disclosure practices differ. Our nearest U.S. public competitor had much smaller revenue — approximately $5.1 billion in 2020 compared to our revenue of $18.0 billion — and the other U.S. public competitors are even smaller. Mercer has confirmed to the Committee that attempting to use such competitors would not produce relevant data.</w:t>
      </w:r>
    </w:p>
    <w:p>
      <w:pPr>
        <w:spacing w:after="0" w:line="127"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The Committee also utilizes data from U.S. compensation surveys published by Mercer and other third-party data providers that are recommended by Mercer as a means to evaluate compensation for certain NEO positions. For the CEO and CFO, their positions were only compared to companies within the subset group of the S&amp;P 500. Compensation for global functional leaders was compared against compensation survey data recommended by Mercer for executives with similar roles and responsibilities. For Ms. Swan, her position was compared to human resource management executives of companies within the subset group of the S&amp;P 500 and secondarily compared with U.S. compensation survey data of human resource management executives. For Mr. Buchband, his position was only compared with U.S. compensation survey data of legal executives. Both Ms. Swan’s and Mr. Buchband’s market data were adjusted to reflect the scope of their responsibilities. Ms. Nettles joined the Company in July 2019 and was not an executive officer at the time the Committee reviewed benchmarking data for the NEOs in setting compensation for 2020.</w:t>
      </w:r>
    </w:p>
    <w:p>
      <w:pPr>
        <w:spacing w:after="0" w:line="118" w:lineRule="exact"/>
        <w:rPr>
          <w:sz w:val="20"/>
          <w:szCs w:val="20"/>
          <w:color w:val="auto"/>
        </w:rPr>
      </w:pPr>
    </w:p>
    <w:p>
      <w:pPr>
        <w:jc w:val="both"/>
        <w:ind w:right="100"/>
        <w:spacing w:after="0" w:line="229" w:lineRule="auto"/>
        <w:rPr>
          <w:sz w:val="20"/>
          <w:szCs w:val="20"/>
          <w:color w:val="auto"/>
        </w:rPr>
      </w:pPr>
      <w:r>
        <w:rPr>
          <w:rFonts w:ascii="Arial" w:cs="Arial" w:eastAsia="Arial" w:hAnsi="Arial"/>
          <w:sz w:val="15"/>
          <w:szCs w:val="15"/>
          <w:color w:val="auto"/>
        </w:rPr>
        <w:t>Given that target compensation for 2019 for several of the NEOs fell below the median total direct compensation, the Committee determined that adjustments to the NEOs’ total direct compensation would be appropriate in 2020. Mr. Prising received an increase in equity. Mr. McGinnis received an increase in equity as well as an increase in his target opportunity for his annual incentive to 110%, compared to 100% for 2019. Mr. Buchband received an increase in his target opportunity for his annual incentive to 75%, compared to 60% for 2019. As Ms. Nettles joined the Company in July 2019, the Company determined not to make any changes to her compensation for 2020. Ms. Swan retired from the Company in March 2020 and only received a base salary for the time she was an employee in 2020.</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Assessing Individual Factors</w:t>
      </w:r>
    </w:p>
    <w:p>
      <w:pPr>
        <w:spacing w:after="0" w:line="90" w:lineRule="exact"/>
        <w:rPr>
          <w:sz w:val="20"/>
          <w:szCs w:val="20"/>
          <w:color w:val="auto"/>
        </w:rPr>
      </w:pPr>
    </w:p>
    <w:p>
      <w:pPr>
        <w:ind w:right="240"/>
        <w:spacing w:after="0" w:line="229" w:lineRule="auto"/>
        <w:rPr>
          <w:sz w:val="20"/>
          <w:szCs w:val="20"/>
          <w:color w:val="auto"/>
        </w:rPr>
      </w:pPr>
      <w:r>
        <w:rPr>
          <w:rFonts w:ascii="Arial" w:cs="Arial" w:eastAsia="Arial" w:hAnsi="Arial"/>
          <w:sz w:val="15"/>
          <w:szCs w:val="15"/>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35</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The Committee’s Decision-Making Process</w:t>
      </w:r>
    </w:p>
    <w:p>
      <w:pPr>
        <w:spacing w:after="0" w:line="112"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The Committee determines the CEO compensation levels, including base salary, establishing and determining the achievement of the financial goals and operating objectives for the annual cash incentives, and any equity-based compensation awards. Generally, the CEO establishes and determines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also provides input to the Committee regarding the final 2020 compensation for all of the NEOs. This input reflected the Company’s performance results for 2020, external market references against the peer group, internal compensation references and the individual performance of each of the NEOs. Under the Committee’s charter, compensation for our CEO and CFO is subject to ratification by the board of directors. Accordingly, the board of directors ratified the determinations for Mr. Prising and Mr. McGinnis, who were our executives at this level.</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Components of the 2020 Executive Compensation Program — Base Salary</w:t>
      </w:r>
    </w:p>
    <w:p>
      <w:pPr>
        <w:spacing w:after="0" w:line="99"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Base salaries for NEOs are set near the median of base salaries paid in the relevant competitive market, for the particular position, subject to individual performance factors as described earlier. There were no increases in base salaries for each of the NEOS for 2020, including for Ms. Swan who retired in March 2020. Instead, due to the uncertainty of the impact of COVID-19, the NEOs voluntarily reduced their base salaries in recognition of the hardship being experienced by others. Mr. Prising’s salary was reduced by 30% and Messrs. McGinnis, Buchband and Ms. Nettles by 15% from April to August 2020.</w:t>
      </w:r>
    </w:p>
    <w:p>
      <w:pPr>
        <w:spacing w:after="0" w:line="128"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benefits each NEO may receive is also increased if his or her salary is increased. The base salary reductions did not have an impact on these calculations. The value of long-term incentive awards is not determined as a multiple of base salary.</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Components of the 2020 Executive Compensation Program — Annual Cash Incentives</w:t>
      </w:r>
    </w:p>
    <w:p>
      <w:pPr>
        <w:spacing w:after="0" w:line="99" w:lineRule="exact"/>
        <w:rPr>
          <w:sz w:val="20"/>
          <w:szCs w:val="20"/>
          <w:color w:val="auto"/>
        </w:rPr>
      </w:pPr>
    </w:p>
    <w:p>
      <w:pPr>
        <w:ind w:right="140"/>
        <w:spacing w:after="0" w:line="229" w:lineRule="auto"/>
        <w:rPr>
          <w:sz w:val="20"/>
          <w:szCs w:val="20"/>
          <w:color w:val="auto"/>
        </w:rPr>
      </w:pPr>
      <w:r>
        <w:rPr>
          <w:rFonts w:ascii="Arial" w:cs="Arial" w:eastAsia="Arial" w:hAnsi="Arial"/>
          <w:sz w:val="15"/>
          <w:szCs w:val="15"/>
          <w:color w:val="auto"/>
        </w:rPr>
        <w:t>The Incentive Plan provides for the payment of annual cash rewards to a participant based on the Company’s attainment of one or more financial goals and operating objectives established for that participant for the relevant year. Incentive amounts are based on achievement of pre-established goals using these metrics. The Incentive Plan provides for a variety of financial goals and individual operating objectives that are used in determination of the amount of any annual incentives earned by the NEOs. The financial goals include EPS, ROIC, Revenue, as well as other metrics. The operating objectives are typically tied to broad strategic or operational initiatives.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How EPS, ROIC and Revenue are Calculated</w:t>
      </w:r>
    </w:p>
    <w:p>
      <w:pPr>
        <w:spacing w:after="0" w:line="77"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The annual cash incentives for NEOs for 2020 are based on three objective factors — EPS, ROIC, Revenue and individual performance objectives. For EPS, ROIC and Revenue, the Committee sets target outcomes at a number that reflects an annual growth target. For 2020, when setting the targets, which occurred in mid-February 2020, the Committee determined that certain items should be excluded from our performance metrics:</w:t>
      </w:r>
    </w:p>
    <w:p>
      <w:pPr>
        <w:spacing w:after="0" w:line="128" w:lineRule="exact"/>
        <w:rPr>
          <w:sz w:val="20"/>
          <w:szCs w:val="20"/>
          <w:color w:val="auto"/>
        </w:rPr>
      </w:pPr>
    </w:p>
    <w:p>
      <w:pPr>
        <w:ind w:left="220" w:right="540" w:hanging="213"/>
        <w:spacing w:after="0" w:line="237" w:lineRule="auto"/>
        <w:tabs>
          <w:tab w:leader="none" w:pos="220" w:val="left"/>
        </w:tabs>
        <w:numPr>
          <w:ilvl w:val="0"/>
          <w:numId w:val="50"/>
        </w:numPr>
        <w:rPr>
          <w:rFonts w:ascii="Arial" w:cs="Arial" w:eastAsia="Arial" w:hAnsi="Arial"/>
          <w:sz w:val="15"/>
          <w:szCs w:val="15"/>
          <w:color w:val="auto"/>
        </w:rPr>
      </w:pPr>
      <w:r>
        <w:rPr>
          <w:rFonts w:ascii="Arial" w:cs="Arial" w:eastAsia="Arial" w:hAnsi="Arial"/>
          <w:sz w:val="15"/>
          <w:szCs w:val="15"/>
          <w:color w:val="5D89B4"/>
        </w:rPr>
        <w:t xml:space="preserve">Constant Currency. </w:t>
      </w:r>
      <w:r>
        <w:rPr>
          <w:rFonts w:ascii="Arial" w:cs="Arial" w:eastAsia="Arial" w:hAnsi="Arial"/>
          <w:sz w:val="15"/>
          <w:szCs w:val="15"/>
          <w:color w:val="000000"/>
        </w:rPr>
        <w:t>We eliminate the impact of changes in exchange rates for EPS, ROIC and Revenue. This allows us to better capture year-over-year</w:t>
      </w:r>
      <w:r>
        <w:rPr>
          <w:rFonts w:ascii="Arial" w:cs="Arial" w:eastAsia="Arial" w:hAnsi="Arial"/>
          <w:sz w:val="15"/>
          <w:szCs w:val="15"/>
          <w:color w:val="5D89B4"/>
        </w:rPr>
        <w:t xml:space="preserve"> </w:t>
      </w:r>
      <w:r>
        <w:rPr>
          <w:rFonts w:ascii="Arial" w:cs="Arial" w:eastAsia="Arial" w:hAnsi="Arial"/>
          <w:sz w:val="15"/>
          <w:szCs w:val="15"/>
          <w:color w:val="000000"/>
        </w:rPr>
        <w:t>changes in underlying performance.</w:t>
      </w:r>
    </w:p>
    <w:p>
      <w:pPr>
        <w:spacing w:after="0" w:line="60" w:lineRule="exact"/>
        <w:rPr>
          <w:rFonts w:ascii="Arial" w:cs="Arial" w:eastAsia="Arial" w:hAnsi="Arial"/>
          <w:sz w:val="15"/>
          <w:szCs w:val="15"/>
          <w:color w:val="auto"/>
        </w:rPr>
      </w:pPr>
    </w:p>
    <w:p>
      <w:pPr>
        <w:ind w:left="220" w:right="420" w:hanging="213"/>
        <w:spacing w:after="0" w:line="237" w:lineRule="auto"/>
        <w:tabs>
          <w:tab w:leader="none" w:pos="220" w:val="left"/>
        </w:tabs>
        <w:numPr>
          <w:ilvl w:val="0"/>
          <w:numId w:val="50"/>
        </w:numPr>
        <w:rPr>
          <w:rFonts w:ascii="Arial" w:cs="Arial" w:eastAsia="Arial" w:hAnsi="Arial"/>
          <w:sz w:val="15"/>
          <w:szCs w:val="15"/>
          <w:color w:val="auto"/>
        </w:rPr>
      </w:pPr>
      <w:r>
        <w:rPr>
          <w:rFonts w:ascii="Arial" w:cs="Arial" w:eastAsia="Arial" w:hAnsi="Arial"/>
          <w:sz w:val="15"/>
          <w:szCs w:val="15"/>
          <w:color w:val="5D89B4"/>
        </w:rPr>
        <w:t xml:space="preserve">Share Repurchases. </w:t>
      </w:r>
      <w:r>
        <w:rPr>
          <w:rFonts w:ascii="Arial" w:cs="Arial" w:eastAsia="Arial" w:hAnsi="Arial"/>
          <w:sz w:val="15"/>
          <w:szCs w:val="15"/>
          <w:color w:val="000000"/>
        </w:rPr>
        <w:t>We remove the benefit of share repurchases from our EPS calculation except to the extent necessary to offset dilution resulting from</w:t>
      </w:r>
      <w:r>
        <w:rPr>
          <w:rFonts w:ascii="Arial" w:cs="Arial" w:eastAsia="Arial" w:hAnsi="Arial"/>
          <w:sz w:val="15"/>
          <w:szCs w:val="15"/>
          <w:color w:val="5D89B4"/>
        </w:rPr>
        <w:t xml:space="preserve"> </w:t>
      </w:r>
      <w:r>
        <w:rPr>
          <w:rFonts w:ascii="Arial" w:cs="Arial" w:eastAsia="Arial" w:hAnsi="Arial"/>
          <w:sz w:val="15"/>
          <w:szCs w:val="15"/>
          <w:color w:val="000000"/>
        </w:rPr>
        <w:t>shares issued under our equity plans.</w:t>
      </w:r>
    </w:p>
    <w:p>
      <w:pPr>
        <w:spacing w:after="0" w:line="60" w:lineRule="exact"/>
        <w:rPr>
          <w:rFonts w:ascii="Arial" w:cs="Arial" w:eastAsia="Arial" w:hAnsi="Arial"/>
          <w:sz w:val="15"/>
          <w:szCs w:val="15"/>
          <w:color w:val="auto"/>
        </w:rPr>
      </w:pPr>
    </w:p>
    <w:p>
      <w:pPr>
        <w:ind w:left="220" w:right="220" w:hanging="213"/>
        <w:spacing w:after="0" w:line="237" w:lineRule="auto"/>
        <w:tabs>
          <w:tab w:leader="none" w:pos="220" w:val="left"/>
        </w:tabs>
        <w:numPr>
          <w:ilvl w:val="0"/>
          <w:numId w:val="50"/>
        </w:numPr>
        <w:rPr>
          <w:rFonts w:ascii="Arial" w:cs="Arial" w:eastAsia="Arial" w:hAnsi="Arial"/>
          <w:sz w:val="15"/>
          <w:szCs w:val="15"/>
          <w:color w:val="auto"/>
        </w:rPr>
      </w:pPr>
      <w:r>
        <w:rPr>
          <w:rFonts w:ascii="Arial" w:cs="Arial" w:eastAsia="Arial" w:hAnsi="Arial"/>
          <w:sz w:val="15"/>
          <w:szCs w:val="15"/>
          <w:color w:val="5D89B4"/>
        </w:rPr>
        <w:t xml:space="preserve">Restructuring Costs. </w:t>
      </w:r>
      <w:r>
        <w:rPr>
          <w:rFonts w:ascii="Arial" w:cs="Arial" w:eastAsia="Arial" w:hAnsi="Arial"/>
          <w:sz w:val="15"/>
          <w:szCs w:val="15"/>
          <w:color w:val="000000"/>
        </w:rPr>
        <w:t>We exclude restructuring costs from our EPS, ROIC and OPMP calculations, net of the savings related to these costs. This allows us to</w:t>
      </w:r>
      <w:r>
        <w:rPr>
          <w:rFonts w:ascii="Arial" w:cs="Arial" w:eastAsia="Arial" w:hAnsi="Arial"/>
          <w:sz w:val="15"/>
          <w:szCs w:val="15"/>
          <w:color w:val="5D89B4"/>
        </w:rPr>
        <w:t xml:space="preserve"> </w:t>
      </w:r>
      <w:r>
        <w:rPr>
          <w:rFonts w:ascii="Arial" w:cs="Arial" w:eastAsia="Arial" w:hAnsi="Arial"/>
          <w:sz w:val="15"/>
          <w:szCs w:val="15"/>
          <w:color w:val="000000"/>
        </w:rPr>
        <w:t>better reflect the Company’s performance for the year.</w:t>
      </w:r>
    </w:p>
    <w:p>
      <w:pPr>
        <w:spacing w:after="0" w:line="60" w:lineRule="exact"/>
        <w:rPr>
          <w:rFonts w:ascii="Arial" w:cs="Arial" w:eastAsia="Arial" w:hAnsi="Arial"/>
          <w:sz w:val="15"/>
          <w:szCs w:val="15"/>
          <w:color w:val="auto"/>
        </w:rPr>
      </w:pPr>
    </w:p>
    <w:p>
      <w:pPr>
        <w:ind w:left="220" w:right="160" w:hanging="213"/>
        <w:spacing w:after="0" w:line="237" w:lineRule="auto"/>
        <w:tabs>
          <w:tab w:leader="none" w:pos="220" w:val="left"/>
        </w:tabs>
        <w:numPr>
          <w:ilvl w:val="0"/>
          <w:numId w:val="50"/>
        </w:numPr>
        <w:rPr>
          <w:rFonts w:ascii="Arial" w:cs="Arial" w:eastAsia="Arial" w:hAnsi="Arial"/>
          <w:sz w:val="15"/>
          <w:szCs w:val="15"/>
          <w:color w:val="auto"/>
        </w:rPr>
      </w:pPr>
      <w:r>
        <w:rPr>
          <w:rFonts w:ascii="Arial" w:cs="Arial" w:eastAsia="Arial" w:hAnsi="Arial"/>
          <w:sz w:val="15"/>
          <w:szCs w:val="15"/>
          <w:color w:val="5D89B4"/>
        </w:rPr>
        <w:t xml:space="preserve">Goodwill Impairment. </w:t>
      </w:r>
      <w:r>
        <w:rPr>
          <w:rFonts w:ascii="Arial" w:cs="Arial" w:eastAsia="Arial" w:hAnsi="Arial"/>
          <w:sz w:val="15"/>
          <w:szCs w:val="15"/>
          <w:color w:val="000000"/>
        </w:rPr>
        <w:t>We exclude goodwill impairment charges from our EPS and ROIC calculations. This, too, better reflects the Company’s performance for</w:t>
      </w:r>
      <w:r>
        <w:rPr>
          <w:rFonts w:ascii="Arial" w:cs="Arial" w:eastAsia="Arial" w:hAnsi="Arial"/>
          <w:sz w:val="15"/>
          <w:szCs w:val="15"/>
          <w:color w:val="5D89B4"/>
        </w:rPr>
        <w:t xml:space="preserve"> </w:t>
      </w:r>
      <w:r>
        <w:rPr>
          <w:rFonts w:ascii="Arial" w:cs="Arial" w:eastAsia="Arial" w:hAnsi="Arial"/>
          <w:sz w:val="15"/>
          <w:szCs w:val="15"/>
          <w:color w:val="000000"/>
        </w:rPr>
        <w:t>the year.</w:t>
      </w:r>
    </w:p>
    <w:p>
      <w:pPr>
        <w:spacing w:after="0" w:line="60" w:lineRule="exact"/>
        <w:rPr>
          <w:rFonts w:ascii="Arial" w:cs="Arial" w:eastAsia="Arial" w:hAnsi="Arial"/>
          <w:sz w:val="15"/>
          <w:szCs w:val="15"/>
          <w:color w:val="auto"/>
        </w:rPr>
      </w:pPr>
    </w:p>
    <w:p>
      <w:pPr>
        <w:ind w:left="220" w:right="320" w:hanging="213"/>
        <w:spacing w:after="0" w:line="237" w:lineRule="auto"/>
        <w:tabs>
          <w:tab w:leader="none" w:pos="220" w:val="left"/>
        </w:tabs>
        <w:numPr>
          <w:ilvl w:val="0"/>
          <w:numId w:val="50"/>
        </w:numPr>
        <w:rPr>
          <w:rFonts w:ascii="Arial" w:cs="Arial" w:eastAsia="Arial" w:hAnsi="Arial"/>
          <w:sz w:val="15"/>
          <w:szCs w:val="15"/>
          <w:color w:val="auto"/>
        </w:rPr>
      </w:pPr>
      <w:r>
        <w:rPr>
          <w:rFonts w:ascii="Arial" w:cs="Arial" w:eastAsia="Arial" w:hAnsi="Arial"/>
          <w:sz w:val="15"/>
          <w:szCs w:val="15"/>
          <w:color w:val="5D89B4"/>
        </w:rPr>
        <w:t xml:space="preserve">Other Non-Recurring Costs. </w:t>
      </w:r>
      <w:r>
        <w:rPr>
          <w:rFonts w:ascii="Arial" w:cs="Arial" w:eastAsia="Arial" w:hAnsi="Arial"/>
          <w:sz w:val="15"/>
          <w:szCs w:val="15"/>
          <w:color w:val="000000"/>
        </w:rPr>
        <w:t>We exclude from EPS and OPMP any non-recurring accrual adjustments greater than $10 million as described in the following</w:t>
      </w:r>
      <w:r>
        <w:rPr>
          <w:rFonts w:ascii="Arial" w:cs="Arial" w:eastAsia="Arial" w:hAnsi="Arial"/>
          <w:sz w:val="15"/>
          <w:szCs w:val="15"/>
          <w:color w:val="5D89B4"/>
        </w:rPr>
        <w:t xml:space="preserve"> </w:t>
      </w:r>
      <w:r>
        <w:rPr>
          <w:rFonts w:ascii="Arial" w:cs="Arial" w:eastAsia="Arial" w:hAnsi="Arial"/>
          <w:sz w:val="15"/>
          <w:szCs w:val="15"/>
          <w:color w:val="000000"/>
        </w:rPr>
        <w:t>calculations to better reflect the Company’s performance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36</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7" w:lineRule="exact"/>
        <w:rPr>
          <w:sz w:val="20"/>
          <w:szCs w:val="20"/>
          <w:color w:val="auto"/>
        </w:rPr>
      </w:pPr>
    </w:p>
    <w:p>
      <w:pPr>
        <w:ind w:left="440" w:right="380" w:hanging="219"/>
        <w:spacing w:after="0" w:line="234" w:lineRule="auto"/>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b w:val="1"/>
          <w:bCs w:val="1"/>
          <w:color w:val="auto"/>
        </w:rPr>
        <w:t xml:space="preserve">EPS </w:t>
      </w:r>
      <w:r>
        <w:rPr>
          <w:rFonts w:ascii="Arial" w:cs="Arial" w:eastAsia="Arial" w:hAnsi="Arial"/>
          <w:sz w:val="15"/>
          <w:szCs w:val="15"/>
          <w:color w:val="auto"/>
        </w:rPr>
        <w:t>— net earnings per share — diluted, including net earnings from continuing and discontinued operations, but excluding the impact of currency,</w:t>
      </w:r>
      <w:r>
        <w:rPr>
          <w:rFonts w:ascii="Arial" w:cs="Arial" w:eastAsia="Arial" w:hAnsi="Arial"/>
          <w:sz w:val="15"/>
          <w:szCs w:val="15"/>
          <w:b w:val="1"/>
          <w:bCs w:val="1"/>
          <w:color w:val="auto"/>
        </w:rPr>
        <w:t xml:space="preserve"> </w:t>
      </w:r>
      <w:r>
        <w:rPr>
          <w:rFonts w:ascii="Arial" w:cs="Arial" w:eastAsia="Arial" w:hAnsi="Arial"/>
          <w:sz w:val="15"/>
          <w:szCs w:val="15"/>
          <w:color w:val="auto"/>
        </w:rPr>
        <w:t>restructuring charges net of related savings, any cumulative effects of changes in accounting principles, extraordinary items, goodwill impairment or the benefit of current year share repurchases in excess of dilution. Earnings per share are further adjusted for the following items that exceed $10 million individually: tax or regulatory law changes, accounting adjustment related to acquisitions or dispositions where the Company previously held ownership interest; and non-recurring adjustments pertaining to prior periods.</w:t>
      </w:r>
    </w:p>
    <w:p>
      <w:pPr>
        <w:spacing w:after="0" w:line="41" w:lineRule="exact"/>
        <w:rPr>
          <w:rFonts w:ascii="Arial" w:cs="Arial" w:eastAsia="Arial" w:hAnsi="Arial"/>
          <w:sz w:val="15"/>
          <w:szCs w:val="15"/>
          <w:color w:val="auto"/>
        </w:rPr>
      </w:pPr>
    </w:p>
    <w:p>
      <w:pPr>
        <w:ind w:left="440" w:right="140" w:hanging="219"/>
        <w:spacing w:after="0" w:line="234" w:lineRule="auto"/>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b w:val="1"/>
          <w:bCs w:val="1"/>
          <w:color w:val="auto"/>
        </w:rPr>
        <w:t xml:space="preserve">ROIC </w:t>
      </w:r>
      <w:r>
        <w:rPr>
          <w:rFonts w:ascii="Arial" w:cs="Arial" w:eastAsia="Arial" w:hAnsi="Arial"/>
          <w:sz w:val="15"/>
          <w:szCs w:val="15"/>
          <w:color w:val="auto"/>
        </w:rPr>
        <w:t>— consolidated net operating profit after taxes divided by average capital. Net operating profit equals earnings before income taxes plus net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and goodwill impairment (including the results of continuing and discontinued operations) minus taxes, excluding the impact of currency and restructuring charges net of related savings. ROIC is further adjusted for the following items that exceed $10 million individually: tax or regulatory changes, accounting adjustments related to acquisitions or dispositions where the Company previously held an ownership interest, and non-recurring adjustments to prior periods. Average capital is the average monthly ending balance of capital employed plus or minus certain adjustments.</w:t>
      </w:r>
    </w:p>
    <w:p>
      <w:pPr>
        <w:spacing w:after="0" w:line="41" w:lineRule="exact"/>
        <w:rPr>
          <w:rFonts w:ascii="Arial" w:cs="Arial" w:eastAsia="Arial" w:hAnsi="Arial"/>
          <w:sz w:val="15"/>
          <w:szCs w:val="15"/>
          <w:color w:val="auto"/>
        </w:rPr>
      </w:pPr>
    </w:p>
    <w:p>
      <w:pPr>
        <w:ind w:left="440" w:right="240" w:hanging="219"/>
        <w:spacing w:after="0" w:line="260" w:lineRule="auto"/>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 Revenue during the period, including continued and discontinued operations. Revenue is adjusted to exclude the impact of currency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same adjustments as made to EPS, as applicable.</w:t>
      </w:r>
    </w:p>
    <w:p>
      <w:pPr>
        <w:spacing w:after="0" w:line="112" w:lineRule="exact"/>
        <w:rPr>
          <w:sz w:val="20"/>
          <w:szCs w:val="20"/>
          <w:color w:val="auto"/>
        </w:rPr>
      </w:pPr>
    </w:p>
    <w:p>
      <w:pPr>
        <w:ind w:right="100"/>
        <w:spacing w:after="0" w:line="229" w:lineRule="auto"/>
        <w:rPr>
          <w:sz w:val="20"/>
          <w:szCs w:val="20"/>
          <w:color w:val="auto"/>
        </w:rPr>
      </w:pPr>
      <w:r>
        <w:rPr>
          <w:rFonts w:ascii="Arial" w:cs="Arial" w:eastAsia="Arial" w:hAnsi="Arial"/>
          <w:sz w:val="15"/>
          <w:szCs w:val="15"/>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27"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The ROIC target is then determined based on the earnings growth reflected by the EPS target as well as consideration by the Committee of factors relating to the Company’s level of capital. The Revenue target is generally based on the Company’s targeted long-term growth rate for Revenue. Similar to EPS, it may be adjusted year-by-year based on economic conditions and the Company’s expected financial performance for the year.</w:t>
      </w:r>
    </w:p>
    <w:p>
      <w:pPr>
        <w:spacing w:after="0" w:line="115"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color w:val="auto"/>
        </w:rPr>
        <w:t>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Why the Company uses EPS, ROIC and Revenue</w:t>
      </w:r>
    </w:p>
    <w:p>
      <w:pPr>
        <w:spacing w:after="0" w:line="90"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The Committee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incentivizes our executives to carefully manage our accounts receivable and other capital investments in order to maximize the return on capital deployed. Our goal is to continuously improve our internal capital employed each year resulting in stable to improving ROIC. The Company uses Revenue as a performance goal in order to incentivize top-line growth, in addition to profitability. Similar to 2019, for 2020 the Committee determined that the Revenue goal should represent a smaller component of the annual incentive awards to our NEOs than the goals for EPS and ROIC, as shown for each of the NEOs below.</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The 2020 EPS, ROIC and Revenue Goals</w:t>
      </w:r>
    </w:p>
    <w:p>
      <w:pPr>
        <w:spacing w:after="0" w:line="77"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For 2020, the Committee continued its practice of setting threshold, target and outstanding goals for EPS and ROIC that were based on its view of appropriate rates of EPS growth compared to prior year achievement. Similarly, the Committee set threshold, target and outstanding goals for Revenue that were based on its view of appropriate Revenue growth. These decisions were made before the onset of the COVID-19 pandemic. They reflected the Committee’s assumptions at the time related to global economic conditions but did not anticipate the economic crises brought on by the COVID-19 pandemic. The Committee believed the threshold levels for EPS, ROIC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65"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Revenue were the minimum levels at which it would be appropriate to earn an incentive, based on global economic conditions as they existed at the time when the goals were set in mid-February 2020. Each year the Committee sets targets based on macroeconomic factors and the Company’s business outlook for the coming year and does so independently of where the target levels have been set for the prior year. Given the cyclical nature of our business, this may result in targets being set lower than for the prior year, as occurred in 2020.</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EPS, ROIC and Revenue goals established by the Committee for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GOAL</w:t>
            </w:r>
          </w:p>
        </w:tc>
        <w:tc>
          <w:tcPr>
            <w:tcW w:w="2720" w:type="dxa"/>
            <w:vAlign w:val="bottom"/>
            <w:tcBorders>
              <w:bottom w:val="single" w:sz="8" w:color="EAEAEA"/>
            </w:tcBorders>
            <w:gridSpan w:val="2"/>
            <w:shd w:val="clear" w:color="auto" w:fill="EAEAEA"/>
          </w:tcPr>
          <w:p>
            <w:pPr>
              <w:ind w:left="1060"/>
              <w:spacing w:after="0"/>
              <w:rPr>
                <w:sz w:val="20"/>
                <w:szCs w:val="20"/>
                <w:color w:val="auto"/>
              </w:rPr>
            </w:pPr>
            <w:r>
              <w:rPr>
                <w:rFonts w:ascii="Arial" w:cs="Arial" w:eastAsia="Arial" w:hAnsi="Arial"/>
                <w:sz w:val="14"/>
                <w:szCs w:val="14"/>
                <w:b w:val="1"/>
                <w:bCs w:val="1"/>
                <w:color w:val="5D89B4"/>
              </w:rPr>
              <w:t>THRESHOLD</w:t>
            </w:r>
          </w:p>
        </w:tc>
        <w:tc>
          <w:tcPr>
            <w:tcW w:w="1780" w:type="dxa"/>
            <w:vAlign w:val="bottom"/>
            <w:tcBorders>
              <w:bottom w:val="single" w:sz="8" w:color="EAEAEA"/>
            </w:tcBorders>
            <w:gridSpan w:val="2"/>
            <w:shd w:val="clear" w:color="auto" w:fill="EAEAEA"/>
          </w:tcPr>
          <w:p>
            <w:pPr>
              <w:ind w:left="660"/>
              <w:spacing w:after="0"/>
              <w:rPr>
                <w:sz w:val="20"/>
                <w:szCs w:val="20"/>
                <w:color w:val="auto"/>
              </w:rPr>
            </w:pPr>
            <w:r>
              <w:rPr>
                <w:rFonts w:ascii="Arial" w:cs="Arial" w:eastAsia="Arial" w:hAnsi="Arial"/>
                <w:sz w:val="14"/>
                <w:szCs w:val="14"/>
                <w:b w:val="1"/>
                <w:bCs w:val="1"/>
                <w:color w:val="5D89B4"/>
              </w:rPr>
              <w:t>TARGET</w:t>
            </w:r>
          </w:p>
        </w:tc>
        <w:tc>
          <w:tcPr>
            <w:tcW w:w="1760" w:type="dxa"/>
            <w:vAlign w:val="bottom"/>
            <w:tcBorders>
              <w:bottom w:val="single" w:sz="8" w:color="EAEAEA"/>
            </w:tcBorders>
            <w:gridSpan w:val="2"/>
            <w:shd w:val="clear" w:color="auto" w:fill="EAEAEA"/>
          </w:tcPr>
          <w:p>
            <w:pPr>
              <w:ind w:left="440"/>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4660" w:type="dxa"/>
            <w:vAlign w:val="bottom"/>
          </w:tcPr>
          <w:p>
            <w:pPr>
              <w:ind w:left="80"/>
              <w:spacing w:after="0"/>
              <w:rPr>
                <w:sz w:val="20"/>
                <w:szCs w:val="20"/>
                <w:color w:val="auto"/>
              </w:rPr>
            </w:pPr>
            <w:r>
              <w:rPr>
                <w:rFonts w:ascii="Arial" w:cs="Arial" w:eastAsia="Arial" w:hAnsi="Arial"/>
                <w:sz w:val="14"/>
                <w:szCs w:val="14"/>
                <w:b w:val="1"/>
                <w:bCs w:val="1"/>
                <w:color w:val="auto"/>
              </w:rPr>
              <w:t>EPS</w:t>
            </w:r>
          </w:p>
        </w:tc>
        <w:tc>
          <w:tcPr>
            <w:tcW w:w="1380" w:type="dxa"/>
            <w:vAlign w:val="bottom"/>
          </w:tcPr>
          <w:p>
            <w:pPr>
              <w:ind w:left="1040"/>
              <w:spacing w:after="0"/>
              <w:rPr>
                <w:sz w:val="20"/>
                <w:szCs w:val="20"/>
                <w:color w:val="auto"/>
              </w:rPr>
            </w:pPr>
            <w:r>
              <w:rPr>
                <w:rFonts w:ascii="Arial" w:cs="Arial" w:eastAsia="Arial" w:hAnsi="Arial"/>
                <w:sz w:val="15"/>
                <w:szCs w:val="15"/>
                <w:color w:val="auto"/>
              </w:rPr>
              <w:t>$</w:t>
            </w:r>
          </w:p>
        </w:tc>
        <w:tc>
          <w:tcPr>
            <w:tcW w:w="1340" w:type="dxa"/>
            <w:vAlign w:val="bottom"/>
          </w:tcPr>
          <w:p>
            <w:pPr>
              <w:ind w:left="260"/>
              <w:spacing w:after="0"/>
              <w:rPr>
                <w:sz w:val="20"/>
                <w:szCs w:val="20"/>
                <w:color w:val="auto"/>
              </w:rPr>
            </w:pPr>
            <w:r>
              <w:rPr>
                <w:rFonts w:ascii="Arial" w:cs="Arial" w:eastAsia="Arial" w:hAnsi="Arial"/>
                <w:sz w:val="15"/>
                <w:szCs w:val="15"/>
                <w:color w:val="auto"/>
              </w:rPr>
              <w:t>6.36</w:t>
            </w:r>
          </w:p>
        </w:tc>
        <w:tc>
          <w:tcPr>
            <w:tcW w:w="820" w:type="dxa"/>
            <w:vAlign w:val="bottom"/>
          </w:tcPr>
          <w:p>
            <w:pPr>
              <w:ind w:left="640"/>
              <w:spacing w:after="0"/>
              <w:rPr>
                <w:sz w:val="20"/>
                <w:szCs w:val="20"/>
                <w:color w:val="auto"/>
              </w:rPr>
            </w:pPr>
            <w:r>
              <w:rPr>
                <w:rFonts w:ascii="Arial" w:cs="Arial" w:eastAsia="Arial" w:hAnsi="Arial"/>
                <w:sz w:val="15"/>
                <w:szCs w:val="15"/>
                <w:color w:val="auto"/>
              </w:rPr>
              <w:t>$</w:t>
            </w:r>
          </w:p>
        </w:tc>
        <w:tc>
          <w:tcPr>
            <w:tcW w:w="960" w:type="dxa"/>
            <w:vAlign w:val="bottom"/>
          </w:tcPr>
          <w:p>
            <w:pPr>
              <w:ind w:left="120"/>
              <w:spacing w:after="0"/>
              <w:rPr>
                <w:sz w:val="20"/>
                <w:szCs w:val="20"/>
                <w:color w:val="auto"/>
              </w:rPr>
            </w:pPr>
            <w:r>
              <w:rPr>
                <w:rFonts w:ascii="Arial" w:cs="Arial" w:eastAsia="Arial" w:hAnsi="Arial"/>
                <w:sz w:val="15"/>
                <w:szCs w:val="15"/>
                <w:color w:val="auto"/>
              </w:rPr>
              <w:t>7.76</w:t>
            </w:r>
          </w:p>
        </w:tc>
        <w:tc>
          <w:tcPr>
            <w:tcW w:w="840" w:type="dxa"/>
            <w:vAlign w:val="bottom"/>
          </w:tcPr>
          <w:p>
            <w:pPr>
              <w:ind w:left="420"/>
              <w:spacing w:after="0"/>
              <w:rPr>
                <w:sz w:val="20"/>
                <w:szCs w:val="20"/>
                <w:color w:val="auto"/>
              </w:rPr>
            </w:pPr>
            <w:r>
              <w:rPr>
                <w:rFonts w:ascii="Arial" w:cs="Arial" w:eastAsia="Arial" w:hAnsi="Arial"/>
                <w:sz w:val="15"/>
                <w:szCs w:val="15"/>
                <w:color w:val="auto"/>
              </w:rPr>
              <w:t>$</w:t>
            </w:r>
          </w:p>
        </w:tc>
        <w:tc>
          <w:tcPr>
            <w:tcW w:w="920" w:type="dxa"/>
            <w:vAlign w:val="bottom"/>
          </w:tcPr>
          <w:p>
            <w:pPr>
              <w:ind w:left="340"/>
              <w:spacing w:after="0"/>
              <w:rPr>
                <w:sz w:val="20"/>
                <w:szCs w:val="20"/>
                <w:color w:val="auto"/>
              </w:rPr>
            </w:pPr>
            <w:r>
              <w:rPr>
                <w:rFonts w:ascii="Arial" w:cs="Arial" w:eastAsia="Arial" w:hAnsi="Arial"/>
                <w:sz w:val="15"/>
                <w:szCs w:val="15"/>
                <w:color w:val="auto"/>
              </w:rPr>
              <w:t>8.81</w:t>
            </w:r>
          </w:p>
        </w:tc>
      </w:tr>
      <w:tr>
        <w:trPr>
          <w:trHeight w:val="50"/>
        </w:trPr>
        <w:tc>
          <w:tcPr>
            <w:tcW w:w="466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r>
      <w:tr>
        <w:trPr>
          <w:trHeight w:val="225"/>
        </w:trPr>
        <w:tc>
          <w:tcPr>
            <w:tcW w:w="4660" w:type="dxa"/>
            <w:vAlign w:val="bottom"/>
          </w:tcPr>
          <w:p>
            <w:pPr>
              <w:ind w:left="80"/>
              <w:spacing w:after="0"/>
              <w:rPr>
                <w:sz w:val="20"/>
                <w:szCs w:val="20"/>
                <w:color w:val="auto"/>
              </w:rPr>
            </w:pPr>
            <w:r>
              <w:rPr>
                <w:rFonts w:ascii="Arial" w:cs="Arial" w:eastAsia="Arial" w:hAnsi="Arial"/>
                <w:sz w:val="14"/>
                <w:szCs w:val="14"/>
                <w:b w:val="1"/>
                <w:bCs w:val="1"/>
                <w:color w:val="auto"/>
              </w:rPr>
              <w:t>ROIC</w:t>
            </w:r>
          </w:p>
        </w:tc>
        <w:tc>
          <w:tcPr>
            <w:tcW w:w="1380" w:type="dxa"/>
            <w:vAlign w:val="bottom"/>
          </w:tcPr>
          <w:p>
            <w:pPr>
              <w:spacing w:after="0"/>
              <w:rPr>
                <w:sz w:val="19"/>
                <w:szCs w:val="19"/>
                <w:color w:val="auto"/>
              </w:rPr>
            </w:pPr>
          </w:p>
        </w:tc>
        <w:tc>
          <w:tcPr>
            <w:tcW w:w="1340" w:type="dxa"/>
            <w:vAlign w:val="bottom"/>
          </w:tcPr>
          <w:p>
            <w:pPr>
              <w:ind w:left="260"/>
              <w:spacing w:after="0"/>
              <w:rPr>
                <w:sz w:val="20"/>
                <w:szCs w:val="20"/>
                <w:color w:val="auto"/>
              </w:rPr>
            </w:pPr>
            <w:r>
              <w:rPr>
                <w:rFonts w:ascii="Arial" w:cs="Arial" w:eastAsia="Arial" w:hAnsi="Arial"/>
                <w:sz w:val="15"/>
                <w:szCs w:val="15"/>
                <w:color w:val="auto"/>
              </w:rPr>
              <w:t>11.0%</w:t>
            </w:r>
          </w:p>
        </w:tc>
        <w:tc>
          <w:tcPr>
            <w:tcW w:w="8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5"/>
                <w:szCs w:val="15"/>
                <w:color w:val="auto"/>
              </w:rPr>
              <w:t>13.3%</w:t>
            </w:r>
          </w:p>
        </w:tc>
        <w:tc>
          <w:tcPr>
            <w:tcW w:w="840" w:type="dxa"/>
            <w:vAlign w:val="bottom"/>
          </w:tcPr>
          <w:p>
            <w:pPr>
              <w:spacing w:after="0"/>
              <w:rPr>
                <w:sz w:val="19"/>
                <w:szCs w:val="19"/>
                <w:color w:val="auto"/>
              </w:rPr>
            </w:pPr>
          </w:p>
        </w:tc>
        <w:tc>
          <w:tcPr>
            <w:tcW w:w="920" w:type="dxa"/>
            <w:vAlign w:val="bottom"/>
          </w:tcPr>
          <w:p>
            <w:pPr>
              <w:ind w:left="340"/>
              <w:spacing w:after="0"/>
              <w:rPr>
                <w:sz w:val="20"/>
                <w:szCs w:val="20"/>
                <w:color w:val="auto"/>
              </w:rPr>
            </w:pPr>
            <w:r>
              <w:rPr>
                <w:rFonts w:ascii="Arial" w:cs="Arial" w:eastAsia="Arial" w:hAnsi="Arial"/>
                <w:sz w:val="15"/>
                <w:szCs w:val="15"/>
                <w:color w:val="auto"/>
              </w:rPr>
              <w:t>15.1%</w:t>
            </w:r>
          </w:p>
        </w:tc>
      </w:tr>
      <w:tr>
        <w:trPr>
          <w:trHeight w:val="50"/>
        </w:trPr>
        <w:tc>
          <w:tcPr>
            <w:tcW w:w="466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r>
      <w:tr>
        <w:trPr>
          <w:trHeight w:val="225"/>
        </w:trPr>
        <w:tc>
          <w:tcPr>
            <w:tcW w:w="4660" w:type="dxa"/>
            <w:vAlign w:val="bottom"/>
          </w:tcPr>
          <w:p>
            <w:pPr>
              <w:ind w:left="80"/>
              <w:spacing w:after="0"/>
              <w:rPr>
                <w:sz w:val="20"/>
                <w:szCs w:val="20"/>
                <w:color w:val="auto"/>
              </w:rPr>
            </w:pPr>
            <w:r>
              <w:rPr>
                <w:rFonts w:ascii="Arial" w:cs="Arial" w:eastAsia="Arial" w:hAnsi="Arial"/>
                <w:sz w:val="14"/>
                <w:szCs w:val="14"/>
                <w:b w:val="1"/>
                <w:bCs w:val="1"/>
                <w:color w:val="auto"/>
              </w:rPr>
              <w:t>Revenue (in billions)</w:t>
            </w:r>
          </w:p>
        </w:tc>
        <w:tc>
          <w:tcPr>
            <w:tcW w:w="1380" w:type="dxa"/>
            <w:vAlign w:val="bottom"/>
          </w:tcPr>
          <w:p>
            <w:pPr>
              <w:ind w:left="1040"/>
              <w:spacing w:after="0"/>
              <w:rPr>
                <w:sz w:val="20"/>
                <w:szCs w:val="20"/>
                <w:color w:val="auto"/>
              </w:rPr>
            </w:pPr>
            <w:r>
              <w:rPr>
                <w:rFonts w:ascii="Arial" w:cs="Arial" w:eastAsia="Arial" w:hAnsi="Arial"/>
                <w:sz w:val="15"/>
                <w:szCs w:val="15"/>
                <w:color w:val="auto"/>
              </w:rPr>
              <w:t>$</w:t>
            </w:r>
          </w:p>
        </w:tc>
        <w:tc>
          <w:tcPr>
            <w:tcW w:w="1340" w:type="dxa"/>
            <w:vAlign w:val="bottom"/>
          </w:tcPr>
          <w:p>
            <w:pPr>
              <w:ind w:left="260"/>
              <w:spacing w:after="0"/>
              <w:rPr>
                <w:sz w:val="20"/>
                <w:szCs w:val="20"/>
                <w:color w:val="auto"/>
              </w:rPr>
            </w:pPr>
            <w:r>
              <w:rPr>
                <w:rFonts w:ascii="Arial" w:cs="Arial" w:eastAsia="Arial" w:hAnsi="Arial"/>
                <w:sz w:val="15"/>
                <w:szCs w:val="15"/>
                <w:color w:val="auto"/>
              </w:rPr>
              <w:t>19.8</w:t>
            </w:r>
          </w:p>
        </w:tc>
        <w:tc>
          <w:tcPr>
            <w:tcW w:w="820" w:type="dxa"/>
            <w:vAlign w:val="bottom"/>
          </w:tcPr>
          <w:p>
            <w:pPr>
              <w:ind w:left="640"/>
              <w:spacing w:after="0"/>
              <w:rPr>
                <w:sz w:val="20"/>
                <w:szCs w:val="20"/>
                <w:color w:val="auto"/>
              </w:rPr>
            </w:pPr>
            <w:r>
              <w:rPr>
                <w:rFonts w:ascii="Arial" w:cs="Arial" w:eastAsia="Arial" w:hAnsi="Arial"/>
                <w:sz w:val="15"/>
                <w:szCs w:val="15"/>
                <w:color w:val="auto"/>
              </w:rPr>
              <w:t>$</w:t>
            </w:r>
          </w:p>
        </w:tc>
        <w:tc>
          <w:tcPr>
            <w:tcW w:w="960" w:type="dxa"/>
            <w:vAlign w:val="bottom"/>
          </w:tcPr>
          <w:p>
            <w:pPr>
              <w:ind w:left="120"/>
              <w:spacing w:after="0"/>
              <w:rPr>
                <w:sz w:val="20"/>
                <w:szCs w:val="20"/>
                <w:color w:val="auto"/>
              </w:rPr>
            </w:pPr>
            <w:r>
              <w:rPr>
                <w:rFonts w:ascii="Arial" w:cs="Arial" w:eastAsia="Arial" w:hAnsi="Arial"/>
                <w:sz w:val="15"/>
                <w:szCs w:val="15"/>
                <w:color w:val="auto"/>
              </w:rPr>
              <w:t>20.9</w:t>
            </w:r>
          </w:p>
        </w:tc>
        <w:tc>
          <w:tcPr>
            <w:tcW w:w="840" w:type="dxa"/>
            <w:vAlign w:val="bottom"/>
          </w:tcPr>
          <w:p>
            <w:pPr>
              <w:ind w:left="420"/>
              <w:spacing w:after="0"/>
              <w:rPr>
                <w:sz w:val="20"/>
                <w:szCs w:val="20"/>
                <w:color w:val="auto"/>
              </w:rPr>
            </w:pPr>
            <w:r>
              <w:rPr>
                <w:rFonts w:ascii="Arial" w:cs="Arial" w:eastAsia="Arial" w:hAnsi="Arial"/>
                <w:sz w:val="15"/>
                <w:szCs w:val="15"/>
                <w:color w:val="auto"/>
              </w:rPr>
              <w:t>$</w:t>
            </w:r>
          </w:p>
        </w:tc>
        <w:tc>
          <w:tcPr>
            <w:tcW w:w="920" w:type="dxa"/>
            <w:vAlign w:val="bottom"/>
          </w:tcPr>
          <w:p>
            <w:pPr>
              <w:ind w:left="340"/>
              <w:spacing w:after="0"/>
              <w:rPr>
                <w:sz w:val="20"/>
                <w:szCs w:val="20"/>
                <w:color w:val="auto"/>
              </w:rPr>
            </w:pPr>
            <w:r>
              <w:rPr>
                <w:rFonts w:ascii="Arial" w:cs="Arial" w:eastAsia="Arial" w:hAnsi="Arial"/>
                <w:sz w:val="15"/>
                <w:szCs w:val="15"/>
                <w:color w:val="auto"/>
              </w:rPr>
              <w:t>21.7</w:t>
            </w:r>
          </w:p>
        </w:tc>
      </w:tr>
      <w:tr>
        <w:trPr>
          <w:trHeight w:val="50"/>
        </w:trPr>
        <w:tc>
          <w:tcPr>
            <w:tcW w:w="466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Annual Incentive Award Opportunities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Jonas Prising — Annual Incentive Award Opportunities</w:t>
      </w:r>
    </w:p>
    <w:p>
      <w:pPr>
        <w:spacing w:after="0" w:line="85" w:lineRule="exact"/>
        <w:rPr>
          <w:sz w:val="20"/>
          <w:szCs w:val="20"/>
          <w:color w:val="auto"/>
        </w:rPr>
      </w:pPr>
    </w:p>
    <w:p>
      <w:pPr>
        <w:ind w:right="220"/>
        <w:spacing w:after="0" w:line="237" w:lineRule="auto"/>
        <w:rPr>
          <w:sz w:val="20"/>
          <w:szCs w:val="20"/>
          <w:color w:val="auto"/>
        </w:rPr>
      </w:pPr>
      <w:r>
        <w:rPr>
          <w:rFonts w:ascii="Arial" w:cs="Arial" w:eastAsia="Arial" w:hAnsi="Arial"/>
          <w:sz w:val="15"/>
          <w:szCs w:val="15"/>
          <w:color w:val="auto"/>
        </w:rPr>
        <w:t>The table below shows the Committee’s determination of award opportunities for the annual incentive payable to Mr. Prising for 2020, as a percentage of his full 2020 base salary of $1,250,000. As mentioned earlier, the temporary base salary reduction did not have impact on any of the NEOs annual incentive awards.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3760" w:type="dxa"/>
            <w:vAlign w:val="bottom"/>
            <w:tcBorders>
              <w:bottom w:val="single" w:sz="8" w:color="EAEAEA"/>
            </w:tcBorders>
            <w:shd w:val="clear" w:color="auto" w:fill="EAEAEA"/>
          </w:tcPr>
          <w:p>
            <w:pPr>
              <w:spacing w:after="0"/>
              <w:rPr>
                <w:sz w:val="23"/>
                <w:szCs w:val="23"/>
                <w:color w:val="auto"/>
              </w:rPr>
            </w:pPr>
          </w:p>
        </w:tc>
        <w:tc>
          <w:tcPr>
            <w:tcW w:w="2340" w:type="dxa"/>
            <w:vAlign w:val="bottom"/>
            <w:tcBorders>
              <w:bottom w:val="single" w:sz="8" w:color="EAEAEA"/>
            </w:tcBorders>
            <w:shd w:val="clear" w:color="auto" w:fill="EAEAEA"/>
          </w:tcPr>
          <w:p>
            <w:pPr>
              <w:jc w:val="right"/>
              <w:ind w:right="465"/>
              <w:spacing w:after="0"/>
              <w:rPr>
                <w:sz w:val="20"/>
                <w:szCs w:val="20"/>
                <w:color w:val="auto"/>
              </w:rPr>
            </w:pPr>
            <w:r>
              <w:rPr>
                <w:rFonts w:ascii="Arial" w:cs="Arial" w:eastAsia="Arial" w:hAnsi="Arial"/>
                <w:sz w:val="14"/>
                <w:szCs w:val="14"/>
                <w:b w:val="1"/>
                <w:bCs w:val="1"/>
                <w:color w:val="5D89B4"/>
              </w:rPr>
              <w:t>THRESHOLD</w:t>
            </w:r>
          </w:p>
        </w:tc>
        <w:tc>
          <w:tcPr>
            <w:tcW w:w="1440" w:type="dxa"/>
            <w:vAlign w:val="bottom"/>
            <w:tcBorders>
              <w:bottom w:val="single" w:sz="8" w:color="EAEAEA"/>
            </w:tcBorders>
            <w:shd w:val="clear" w:color="auto" w:fill="EAEAEA"/>
          </w:tcPr>
          <w:p>
            <w:pPr>
              <w:jc w:val="right"/>
              <w:ind w:right="365"/>
              <w:spacing w:after="0"/>
              <w:rPr>
                <w:sz w:val="20"/>
                <w:szCs w:val="20"/>
                <w:color w:val="auto"/>
              </w:rPr>
            </w:pPr>
            <w:r>
              <w:rPr>
                <w:rFonts w:ascii="Arial" w:cs="Arial" w:eastAsia="Arial" w:hAnsi="Arial"/>
                <w:sz w:val="14"/>
                <w:szCs w:val="14"/>
                <w:b w:val="1"/>
                <w:bCs w:val="1"/>
                <w:color w:val="5D89B4"/>
              </w:rPr>
              <w:t>TARGET</w:t>
            </w:r>
          </w:p>
        </w:tc>
        <w:tc>
          <w:tcPr>
            <w:tcW w:w="162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EPS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12.0%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48.0%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96.0%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ROIC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12.0%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48.0%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96.0%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Revenue goal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8.0%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32.0%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64.0%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8.0%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32.0%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64.0%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40.0%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160.0%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320.0%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for Mr. Prising for 2020 were as follows:</w:t>
      </w:r>
    </w:p>
    <w:p>
      <w:pPr>
        <w:spacing w:after="0" w:line="68" w:lineRule="exact"/>
        <w:rPr>
          <w:sz w:val="20"/>
          <w:szCs w:val="20"/>
          <w:color w:val="auto"/>
        </w:rPr>
      </w:pPr>
    </w:p>
    <w:p>
      <w:pPr>
        <w:ind w:left="220" w:hanging="213"/>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Execute strategic initiatives focused on digitization and transformation of the business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Diversify the business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Develop a robust and diverse talent pipeline, including deepening capabilities of employees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Test and execute new delivery models to drive innovation</w:t>
      </w:r>
    </w:p>
    <w:p>
      <w:pPr>
        <w:spacing w:after="0" w:line="122" w:lineRule="exact"/>
        <w:rPr>
          <w:sz w:val="20"/>
          <w:szCs w:val="20"/>
          <w:color w:val="auto"/>
        </w:rPr>
      </w:pPr>
    </w:p>
    <w:p>
      <w:pPr>
        <w:jc w:val="both"/>
        <w:ind w:right="280"/>
        <w:spacing w:after="0" w:line="230" w:lineRule="auto"/>
        <w:rPr>
          <w:sz w:val="20"/>
          <w:szCs w:val="20"/>
          <w:color w:val="auto"/>
        </w:rPr>
      </w:pPr>
      <w:r>
        <w:rPr>
          <w:rFonts w:ascii="Arial" w:cs="Arial" w:eastAsia="Arial" w:hAnsi="Arial"/>
          <w:sz w:val="15"/>
          <w:szCs w:val="15"/>
          <w:color w:val="auto"/>
        </w:rPr>
        <w:t>The Committee determined that because actual results for the year were below the threshold level performance goals for EPS, ROIC and Revenue, no awards were earned for those financial objectives. The Committee did approve an incentive award to Mr. Prising based on its determination of the level of performance towards achievement of his various operating objectives. Based on these accomplishments, the Committee determined to pay the 2020 award to Mr. Prising of $760,000. The following table illustrates Mr. Prising’s 2020 achievement of the performance targets in relation to the payment of his 2020 award: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392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500" w:type="dxa"/>
            <w:vAlign w:val="bottom"/>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PERFORMANCE</w:t>
            </w:r>
          </w:p>
        </w:tc>
        <w:tc>
          <w:tcPr>
            <w:tcW w:w="1980" w:type="dxa"/>
            <w:vAlign w:val="bottom"/>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PERCENTAGE</w:t>
            </w:r>
          </w:p>
        </w:tc>
        <w:tc>
          <w:tcPr>
            <w:tcW w:w="1000" w:type="dxa"/>
            <w:vAlign w:val="bottom"/>
            <w:gridSpan w:val="2"/>
            <w:shd w:val="clear" w:color="auto" w:fill="EAEAEA"/>
          </w:tcPr>
          <w:p>
            <w:pPr>
              <w:ind w:left="300"/>
              <w:spacing w:after="0"/>
              <w:rPr>
                <w:sz w:val="20"/>
                <w:szCs w:val="20"/>
                <w:color w:val="auto"/>
              </w:rPr>
            </w:pPr>
            <w:r>
              <w:rPr>
                <w:rFonts w:ascii="Arial" w:cs="Arial" w:eastAsia="Arial" w:hAnsi="Arial"/>
                <w:sz w:val="14"/>
                <w:szCs w:val="14"/>
                <w:b w:val="1"/>
                <w:bCs w:val="1"/>
                <w:color w:val="5D89B4"/>
              </w:rPr>
              <w:t>AMOUNT</w:t>
            </w:r>
          </w:p>
        </w:tc>
        <w:tc>
          <w:tcPr>
            <w:tcW w:w="860" w:type="dxa"/>
            <w:vAlign w:val="bottom"/>
          </w:tcPr>
          <w:p>
            <w:pPr>
              <w:spacing w:after="0"/>
              <w:rPr>
                <w:sz w:val="18"/>
                <w:szCs w:val="18"/>
                <w:color w:val="auto"/>
              </w:rPr>
            </w:pPr>
          </w:p>
        </w:tc>
      </w:tr>
      <w:tr>
        <w:trPr>
          <w:trHeight w:val="221"/>
        </w:trPr>
        <w:tc>
          <w:tcPr>
            <w:tcW w:w="900" w:type="dxa"/>
            <w:vAlign w:val="bottom"/>
          </w:tcPr>
          <w:p>
            <w:pPr>
              <w:spacing w:after="0"/>
              <w:rPr>
                <w:sz w:val="19"/>
                <w:szCs w:val="19"/>
                <w:color w:val="auto"/>
              </w:rPr>
            </w:pPr>
          </w:p>
        </w:tc>
        <w:tc>
          <w:tcPr>
            <w:tcW w:w="392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shd w:val="clear" w:color="auto" w:fill="EAEAEA"/>
          </w:tcPr>
          <w:p>
            <w:pPr>
              <w:spacing w:after="0"/>
              <w:rPr>
                <w:sz w:val="19"/>
                <w:szCs w:val="19"/>
                <w:color w:val="auto"/>
              </w:rPr>
            </w:pPr>
          </w:p>
        </w:tc>
        <w:tc>
          <w:tcPr>
            <w:tcW w:w="1500" w:type="dxa"/>
            <w:vAlign w:val="bottom"/>
            <w:tcBorders>
              <w:bottom w:val="single" w:sz="8" w:color="EAEAEA"/>
            </w:tcBorders>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LEVEL</w:t>
            </w:r>
          </w:p>
        </w:tc>
        <w:tc>
          <w:tcPr>
            <w:tcW w:w="198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OF 2020 SALARY</w:t>
            </w:r>
          </w:p>
        </w:tc>
        <w:tc>
          <w:tcPr>
            <w:tcW w:w="1000" w:type="dxa"/>
            <w:vAlign w:val="bottom"/>
            <w:tcBorders>
              <w:bottom w:val="single" w:sz="8" w:color="EAEAEA"/>
            </w:tcBorders>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EARNED</w:t>
            </w:r>
          </w:p>
        </w:tc>
        <w:tc>
          <w:tcPr>
            <w:tcW w:w="860" w:type="dxa"/>
            <w:vAlign w:val="bottom"/>
          </w:tcPr>
          <w:p>
            <w:pPr>
              <w:spacing w:after="0"/>
              <w:rPr>
                <w:sz w:val="19"/>
                <w:szCs w:val="19"/>
                <w:color w:val="auto"/>
              </w:rPr>
            </w:pPr>
          </w:p>
        </w:tc>
      </w:tr>
      <w:tr>
        <w:trPr>
          <w:trHeight w:val="245"/>
        </w:trPr>
        <w:tc>
          <w:tcPr>
            <w:tcW w:w="900" w:type="dxa"/>
            <w:vAlign w:val="bottom"/>
          </w:tcPr>
          <w:p>
            <w:pPr>
              <w:spacing w:after="0"/>
              <w:rPr>
                <w:sz w:val="21"/>
                <w:szCs w:val="21"/>
                <w:color w:val="auto"/>
              </w:rPr>
            </w:pPr>
          </w:p>
        </w:tc>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260" w:type="dxa"/>
            <w:vAlign w:val="bottom"/>
            <w:gridSpan w:val="2"/>
          </w:tcPr>
          <w:p>
            <w:pPr>
              <w:jc w:val="right"/>
              <w:ind w:right="305"/>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21"/>
                <w:szCs w:val="21"/>
                <w:color w:val="auto"/>
              </w:rPr>
            </w:pPr>
          </w:p>
        </w:tc>
      </w:tr>
      <w:tr>
        <w:trPr>
          <w:trHeight w:val="50"/>
        </w:trPr>
        <w:tc>
          <w:tcPr>
            <w:tcW w:w="900" w:type="dxa"/>
            <w:vAlign w:val="bottom"/>
          </w:tcPr>
          <w:p>
            <w:pPr>
              <w:spacing w:after="0"/>
              <w:rPr>
                <w:sz w:val="4"/>
                <w:szCs w:val="4"/>
                <w:color w:val="auto"/>
              </w:rPr>
            </w:pPr>
          </w:p>
        </w:tc>
        <w:tc>
          <w:tcPr>
            <w:tcW w:w="39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gridSpan w:val="2"/>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260" w:type="dxa"/>
            <w:vAlign w:val="bottom"/>
            <w:gridSpan w:val="2"/>
          </w:tcPr>
          <w:p>
            <w:pPr>
              <w:jc w:val="right"/>
              <w:ind w:right="305"/>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9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gridSpan w:val="2"/>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260" w:type="dxa"/>
            <w:vAlign w:val="bottom"/>
            <w:gridSpan w:val="2"/>
          </w:tcPr>
          <w:p>
            <w:pPr>
              <w:jc w:val="right"/>
              <w:ind w:right="305"/>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92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760" w:type="dxa"/>
            <w:vAlign w:val="bottom"/>
          </w:tcPr>
          <w:p>
            <w:pPr>
              <w:spacing w:after="0"/>
              <w:rPr>
                <w:sz w:val="19"/>
                <w:szCs w:val="19"/>
                <w:color w:val="auto"/>
              </w:rPr>
            </w:pPr>
          </w:p>
        </w:tc>
        <w:tc>
          <w:tcPr>
            <w:tcW w:w="1500" w:type="dxa"/>
            <w:vAlign w:val="bottom"/>
          </w:tcPr>
          <w:p>
            <w:pPr>
              <w:jc w:val="right"/>
              <w:ind w:right="305"/>
              <w:spacing w:after="0"/>
              <w:rPr>
                <w:sz w:val="20"/>
                <w:szCs w:val="20"/>
                <w:color w:val="auto"/>
              </w:rPr>
            </w:pPr>
            <w:r>
              <w:rPr>
                <w:rFonts w:ascii="Arial" w:cs="Arial" w:eastAsia="Arial" w:hAnsi="Arial"/>
                <w:sz w:val="15"/>
                <w:szCs w:val="15"/>
                <w:color w:val="auto"/>
              </w:rPr>
              <w:t>Above Target</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60.8%</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760,000</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92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60.8%</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760,000</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92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c>
          <w:tcPr>
            <w:tcW w:w="3480" w:type="dxa"/>
            <w:vAlign w:val="bottom"/>
            <w:tcBorders>
              <w:bottom w:val="single" w:sz="8" w:color="5D89B4"/>
            </w:tcBorders>
            <w:gridSpan w:val="2"/>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167"/>
        </w:trPr>
        <w:tc>
          <w:tcPr>
            <w:tcW w:w="900" w:type="dxa"/>
            <w:vAlign w:val="bottom"/>
            <w:tcBorders>
              <w:bottom w:val="single" w:sz="8" w:color="5D89B4"/>
            </w:tcBorders>
          </w:tcPr>
          <w:p>
            <w:pPr>
              <w:spacing w:after="0"/>
              <w:rPr>
                <w:sz w:val="14"/>
                <w:szCs w:val="14"/>
                <w:color w:val="auto"/>
              </w:rPr>
            </w:pPr>
          </w:p>
        </w:tc>
        <w:tc>
          <w:tcPr>
            <w:tcW w:w="3920" w:type="dxa"/>
            <w:vAlign w:val="bottom"/>
            <w:tcBorders>
              <w:bottom w:val="single" w:sz="8" w:color="5D89B4"/>
            </w:tcBorders>
          </w:tcPr>
          <w:p>
            <w:pPr>
              <w:spacing w:after="0"/>
              <w:rPr>
                <w:sz w:val="14"/>
                <w:szCs w:val="14"/>
                <w:color w:val="auto"/>
              </w:rPr>
            </w:pPr>
          </w:p>
        </w:tc>
        <w:tc>
          <w:tcPr>
            <w:tcW w:w="760" w:type="dxa"/>
            <w:vAlign w:val="bottom"/>
            <w:tcBorders>
              <w:bottom w:val="single" w:sz="8" w:color="5D89B4"/>
            </w:tcBorders>
          </w:tcPr>
          <w:p>
            <w:pPr>
              <w:spacing w:after="0"/>
              <w:rPr>
                <w:sz w:val="14"/>
                <w:szCs w:val="14"/>
                <w:color w:val="auto"/>
              </w:rPr>
            </w:pPr>
          </w:p>
        </w:tc>
        <w:tc>
          <w:tcPr>
            <w:tcW w:w="3480" w:type="dxa"/>
            <w:vAlign w:val="bottom"/>
            <w:tcBorders>
              <w:bottom w:val="single" w:sz="8" w:color="5D89B4"/>
            </w:tcBorders>
            <w:gridSpan w:val="2"/>
          </w:tcPr>
          <w:p>
            <w:pPr>
              <w:spacing w:after="0"/>
              <w:rPr>
                <w:sz w:val="14"/>
                <w:szCs w:val="14"/>
                <w:color w:val="auto"/>
              </w:rPr>
            </w:pPr>
          </w:p>
        </w:tc>
        <w:tc>
          <w:tcPr>
            <w:tcW w:w="380" w:type="dxa"/>
            <w:vAlign w:val="bottom"/>
            <w:tcBorders>
              <w:bottom w:val="single" w:sz="8" w:color="5D89B4"/>
            </w:tcBorders>
          </w:tcPr>
          <w:p>
            <w:pPr>
              <w:spacing w:after="0"/>
              <w:rPr>
                <w:sz w:val="14"/>
                <w:szCs w:val="14"/>
                <w:color w:val="auto"/>
              </w:rPr>
            </w:pPr>
          </w:p>
        </w:tc>
        <w:tc>
          <w:tcPr>
            <w:tcW w:w="620" w:type="dxa"/>
            <w:vAlign w:val="bottom"/>
            <w:tcBorders>
              <w:bottom w:val="single" w:sz="8" w:color="5D89B4"/>
            </w:tcBorders>
          </w:tcPr>
          <w:p>
            <w:pPr>
              <w:spacing w:after="0"/>
              <w:rPr>
                <w:sz w:val="14"/>
                <w:szCs w:val="14"/>
                <w:color w:val="auto"/>
              </w:rPr>
            </w:pPr>
          </w:p>
        </w:tc>
        <w:tc>
          <w:tcPr>
            <w:tcW w:w="860" w:type="dxa"/>
            <w:vAlign w:val="bottom"/>
            <w:tcBorders>
              <w:bottom w:val="single" w:sz="8" w:color="5D89B4"/>
            </w:tcBorders>
          </w:tcPr>
          <w:p>
            <w:pPr>
              <w:spacing w:after="0"/>
              <w:rPr>
                <w:sz w:val="14"/>
                <w:szCs w:val="14"/>
                <w:color w:val="auto"/>
              </w:rPr>
            </w:pPr>
          </w:p>
        </w:tc>
      </w:tr>
      <w:tr>
        <w:trPr>
          <w:trHeight w:val="372"/>
        </w:trPr>
        <w:tc>
          <w:tcPr>
            <w:tcW w:w="9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5D89B4"/>
              </w:rPr>
              <w:t>38</w:t>
            </w:r>
          </w:p>
        </w:tc>
        <w:tc>
          <w:tcPr>
            <w:tcW w:w="3480" w:type="dxa"/>
            <w:vAlign w:val="bottom"/>
            <w:gridSpan w:val="2"/>
          </w:tcPr>
          <w:p>
            <w:pPr>
              <w:jc w:val="right"/>
              <w:ind w:right="1306"/>
              <w:spacing w:after="0"/>
              <w:rPr>
                <w:sz w:val="20"/>
                <w:szCs w:val="20"/>
                <w:color w:val="auto"/>
              </w:rPr>
            </w:pPr>
            <w:r>
              <w:rPr>
                <w:rFonts w:ascii="Arial" w:cs="Arial" w:eastAsia="Arial" w:hAnsi="Arial"/>
                <w:sz w:val="16"/>
                <w:szCs w:val="16"/>
                <w:b w:val="1"/>
                <w:bCs w:val="1"/>
                <w:color w:val="BFBFBF"/>
              </w:rPr>
              <w:t>2021 Proxy Statement</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John T. McGinnis — Annual Incentive Award Opportunities</w:t>
      </w:r>
    </w:p>
    <w:p>
      <w:pPr>
        <w:spacing w:after="0" w:line="165"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The following chart shows the Committee’s determination of award opportunities for the annual incentive payable to Mr. McGinnis for 2020, as a percentage of his full 2020 base salary of $725,000.</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3760" w:type="dxa"/>
            <w:vAlign w:val="bottom"/>
            <w:tcBorders>
              <w:bottom w:val="single" w:sz="8" w:color="EAEAEA"/>
            </w:tcBorders>
            <w:shd w:val="clear" w:color="auto" w:fill="EAEAEA"/>
          </w:tcPr>
          <w:p>
            <w:pPr>
              <w:spacing w:after="0"/>
              <w:rPr>
                <w:sz w:val="23"/>
                <w:szCs w:val="23"/>
                <w:color w:val="auto"/>
              </w:rPr>
            </w:pPr>
          </w:p>
        </w:tc>
        <w:tc>
          <w:tcPr>
            <w:tcW w:w="2340" w:type="dxa"/>
            <w:vAlign w:val="bottom"/>
            <w:tcBorders>
              <w:bottom w:val="single" w:sz="8" w:color="EAEAEA"/>
            </w:tcBorders>
            <w:shd w:val="clear" w:color="auto" w:fill="EAEAEA"/>
          </w:tcPr>
          <w:p>
            <w:pPr>
              <w:jc w:val="right"/>
              <w:ind w:right="465"/>
              <w:spacing w:after="0"/>
              <w:rPr>
                <w:sz w:val="20"/>
                <w:szCs w:val="20"/>
                <w:color w:val="auto"/>
              </w:rPr>
            </w:pPr>
            <w:r>
              <w:rPr>
                <w:rFonts w:ascii="Arial" w:cs="Arial" w:eastAsia="Arial" w:hAnsi="Arial"/>
                <w:sz w:val="14"/>
                <w:szCs w:val="14"/>
                <w:b w:val="1"/>
                <w:bCs w:val="1"/>
                <w:color w:val="5D89B4"/>
              </w:rPr>
              <w:t>THRESHOLD</w:t>
            </w:r>
          </w:p>
        </w:tc>
        <w:tc>
          <w:tcPr>
            <w:tcW w:w="1440" w:type="dxa"/>
            <w:vAlign w:val="bottom"/>
            <w:tcBorders>
              <w:bottom w:val="single" w:sz="8" w:color="EAEAEA"/>
            </w:tcBorders>
            <w:shd w:val="clear" w:color="auto" w:fill="EAEAEA"/>
          </w:tcPr>
          <w:p>
            <w:pPr>
              <w:jc w:val="right"/>
              <w:ind w:right="365"/>
              <w:spacing w:after="0"/>
              <w:rPr>
                <w:sz w:val="20"/>
                <w:szCs w:val="20"/>
                <w:color w:val="auto"/>
              </w:rPr>
            </w:pPr>
            <w:r>
              <w:rPr>
                <w:rFonts w:ascii="Arial" w:cs="Arial" w:eastAsia="Arial" w:hAnsi="Arial"/>
                <w:sz w:val="14"/>
                <w:szCs w:val="14"/>
                <w:b w:val="1"/>
                <w:bCs w:val="1"/>
                <w:color w:val="5D89B4"/>
              </w:rPr>
              <w:t>TARGET</w:t>
            </w:r>
          </w:p>
        </w:tc>
        <w:tc>
          <w:tcPr>
            <w:tcW w:w="162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EPS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33.0%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66.0%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ROIC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33.0%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66.0%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Revenue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5.0%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22.0%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44.0%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5.0%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22.0%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44.0%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25.0%</w:t>
            </w:r>
          </w:p>
        </w:tc>
        <w:tc>
          <w:tcPr>
            <w:tcW w:w="1440" w:type="dxa"/>
            <w:vAlign w:val="bottom"/>
          </w:tcPr>
          <w:p>
            <w:pPr>
              <w:jc w:val="right"/>
              <w:ind w:right="225"/>
              <w:spacing w:after="0"/>
              <w:rPr>
                <w:sz w:val="20"/>
                <w:szCs w:val="20"/>
                <w:color w:val="auto"/>
              </w:rPr>
            </w:pPr>
            <w:r>
              <w:rPr>
                <w:rFonts w:ascii="Arial" w:cs="Arial" w:eastAsia="Arial" w:hAnsi="Arial"/>
                <w:sz w:val="15"/>
                <w:szCs w:val="15"/>
                <w:color w:val="auto"/>
              </w:rPr>
              <w:t>110.0%</w:t>
            </w:r>
          </w:p>
        </w:tc>
        <w:tc>
          <w:tcPr>
            <w:tcW w:w="1620" w:type="dxa"/>
            <w:vAlign w:val="bottom"/>
          </w:tcPr>
          <w:p>
            <w:pPr>
              <w:jc w:val="right"/>
              <w:ind w:right="65"/>
              <w:spacing w:after="0"/>
              <w:rPr>
                <w:sz w:val="20"/>
                <w:szCs w:val="20"/>
                <w:color w:val="auto"/>
              </w:rPr>
            </w:pPr>
            <w:r>
              <w:rPr>
                <w:rFonts w:ascii="Arial" w:cs="Arial" w:eastAsia="Arial" w:hAnsi="Arial"/>
                <w:sz w:val="15"/>
                <w:szCs w:val="15"/>
                <w:color w:val="auto"/>
              </w:rPr>
              <w:t>220.0%</w:t>
            </w:r>
          </w:p>
        </w:tc>
      </w:tr>
      <w:tr>
        <w:trPr>
          <w:trHeight w:val="50"/>
        </w:trPr>
        <w:tc>
          <w:tcPr>
            <w:tcW w:w="376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for Mr. McGinnis for 2020 were as follows:</w:t>
      </w:r>
    </w:p>
    <w:p>
      <w:pPr>
        <w:spacing w:after="0" w:line="68" w:lineRule="exact"/>
        <w:rPr>
          <w:sz w:val="20"/>
          <w:szCs w:val="20"/>
          <w:color w:val="auto"/>
        </w:rPr>
      </w:pPr>
    </w:p>
    <w:p>
      <w:pPr>
        <w:ind w:left="220" w:hanging="213"/>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Deepen leadership impact to meet or exceed strategic and operational goals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Progress the Company’s disposition strategy</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Continue to strengthen the Company’s cybersecurity program</w:t>
      </w:r>
    </w:p>
    <w:p>
      <w:pPr>
        <w:spacing w:after="0" w:line="122" w:lineRule="exact"/>
        <w:rPr>
          <w:sz w:val="20"/>
          <w:szCs w:val="20"/>
          <w:color w:val="auto"/>
        </w:rPr>
      </w:pPr>
    </w:p>
    <w:p>
      <w:pPr>
        <w:ind w:right="120"/>
        <w:spacing w:after="0" w:line="230" w:lineRule="auto"/>
        <w:rPr>
          <w:sz w:val="20"/>
          <w:szCs w:val="20"/>
          <w:color w:val="auto"/>
        </w:rPr>
      </w:pPr>
      <w:r>
        <w:rPr>
          <w:rFonts w:ascii="Arial" w:cs="Arial" w:eastAsia="Arial" w:hAnsi="Arial"/>
          <w:sz w:val="15"/>
          <w:szCs w:val="15"/>
          <w:color w:val="auto"/>
        </w:rPr>
        <w:t>The Committee determined that because actual results for the year were below the threshold level performance goals for EPS, ROIC and Revenue, no awards were earned for those financial objectives. The Committee did approve an incentive award to Mr. McGinnis based on its determination of the level of performance towards achievement of his various operating objectives. Based on these accomplishments, the Committee determined to pay the 2020 award to Mr. McGinnis of $279,125. The following table illustrates Mr. McGinnis’s 2020 achievement of the performance targets in relation to the payment of his 2020 award:</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3920" w:type="dxa"/>
            <w:vAlign w:val="bottom"/>
            <w:shd w:val="clear" w:color="auto" w:fill="EAEAEA"/>
          </w:tcPr>
          <w:p>
            <w:pPr>
              <w:spacing w:after="0"/>
              <w:rPr>
                <w:sz w:val="18"/>
                <w:szCs w:val="18"/>
                <w:color w:val="auto"/>
              </w:rPr>
            </w:pPr>
          </w:p>
        </w:tc>
        <w:tc>
          <w:tcPr>
            <w:tcW w:w="226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PERFORMANCE</w:t>
            </w:r>
          </w:p>
        </w:tc>
        <w:tc>
          <w:tcPr>
            <w:tcW w:w="1980" w:type="dxa"/>
            <w:vAlign w:val="bottom"/>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PERCENTAGE</w:t>
            </w:r>
          </w:p>
        </w:tc>
        <w:tc>
          <w:tcPr>
            <w:tcW w:w="1000" w:type="dxa"/>
            <w:vAlign w:val="bottom"/>
            <w:gridSpan w:val="2"/>
            <w:shd w:val="clear" w:color="auto" w:fill="EAEAEA"/>
          </w:tcPr>
          <w:p>
            <w:pPr>
              <w:ind w:left="300"/>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920" w:type="dxa"/>
            <w:vAlign w:val="bottom"/>
            <w:tcBorders>
              <w:bottom w:val="single" w:sz="8" w:color="EAEAEA"/>
            </w:tcBorders>
            <w:shd w:val="clear" w:color="auto" w:fill="EAEAEA"/>
          </w:tcPr>
          <w:p>
            <w:pPr>
              <w:spacing w:after="0"/>
              <w:rPr>
                <w:sz w:val="19"/>
                <w:szCs w:val="19"/>
                <w:color w:val="auto"/>
              </w:rPr>
            </w:pPr>
          </w:p>
        </w:tc>
        <w:tc>
          <w:tcPr>
            <w:tcW w:w="226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LEVEL</w:t>
            </w:r>
          </w:p>
        </w:tc>
        <w:tc>
          <w:tcPr>
            <w:tcW w:w="198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OF 2020 SALARY</w:t>
            </w:r>
          </w:p>
        </w:tc>
        <w:tc>
          <w:tcPr>
            <w:tcW w:w="1000" w:type="dxa"/>
            <w:vAlign w:val="bottom"/>
            <w:tcBorders>
              <w:bottom w:val="single" w:sz="8" w:color="EAEAEA"/>
            </w:tcBorders>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260" w:type="dxa"/>
            <w:vAlign w:val="bottom"/>
          </w:tcPr>
          <w:p>
            <w:pPr>
              <w:jc w:val="right"/>
              <w:ind w:right="306"/>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39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260" w:type="dxa"/>
            <w:vAlign w:val="bottom"/>
          </w:tcPr>
          <w:p>
            <w:pPr>
              <w:jc w:val="right"/>
              <w:ind w:right="306"/>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39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260" w:type="dxa"/>
            <w:vAlign w:val="bottom"/>
          </w:tcPr>
          <w:p>
            <w:pPr>
              <w:jc w:val="right"/>
              <w:ind w:right="306"/>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39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2260" w:type="dxa"/>
            <w:vAlign w:val="bottom"/>
          </w:tcPr>
          <w:p>
            <w:pPr>
              <w:jc w:val="right"/>
              <w:ind w:right="306"/>
              <w:spacing w:after="0"/>
              <w:rPr>
                <w:sz w:val="20"/>
                <w:szCs w:val="20"/>
                <w:color w:val="auto"/>
              </w:rPr>
            </w:pPr>
            <w:r>
              <w:rPr>
                <w:rFonts w:ascii="Arial" w:cs="Arial" w:eastAsia="Arial" w:hAnsi="Arial"/>
                <w:sz w:val="15"/>
                <w:szCs w:val="15"/>
                <w:color w:val="auto"/>
              </w:rPr>
              <w:t>Above Target</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38.5%</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279,125</w:t>
            </w:r>
          </w:p>
        </w:tc>
      </w:tr>
      <w:tr>
        <w:trPr>
          <w:trHeight w:val="50"/>
        </w:trPr>
        <w:tc>
          <w:tcPr>
            <w:tcW w:w="39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260" w:type="dxa"/>
            <w:vAlign w:val="bottom"/>
          </w:tcPr>
          <w:p>
            <w:pPr>
              <w:spacing w:after="0"/>
              <w:rPr>
                <w:sz w:val="19"/>
                <w:szCs w:val="19"/>
                <w:color w:val="auto"/>
              </w:rPr>
            </w:pP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38.5%</w:t>
            </w:r>
          </w:p>
        </w:tc>
        <w:tc>
          <w:tcPr>
            <w:tcW w:w="380" w:type="dxa"/>
            <w:vAlign w:val="bottom"/>
          </w:tcPr>
          <w:p>
            <w:pPr>
              <w:ind w:left="28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279,125</w:t>
            </w:r>
          </w:p>
        </w:tc>
      </w:tr>
      <w:tr>
        <w:trPr>
          <w:trHeight w:val="50"/>
        </w:trPr>
        <w:tc>
          <w:tcPr>
            <w:tcW w:w="39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Michelle S. Nettles — Annual Incentive Award Opportunities</w:t>
      </w:r>
    </w:p>
    <w:p>
      <w:pPr>
        <w:spacing w:after="0" w:line="165" w:lineRule="exact"/>
        <w:rPr>
          <w:sz w:val="20"/>
          <w:szCs w:val="20"/>
          <w:color w:val="auto"/>
        </w:rPr>
      </w:pPr>
    </w:p>
    <w:p>
      <w:pPr>
        <w:ind w:right="200"/>
        <w:spacing w:after="0" w:line="237" w:lineRule="auto"/>
        <w:rPr>
          <w:sz w:val="20"/>
          <w:szCs w:val="20"/>
          <w:color w:val="auto"/>
        </w:rPr>
      </w:pPr>
      <w:r>
        <w:rPr>
          <w:rFonts w:ascii="Arial" w:cs="Arial" w:eastAsia="Arial" w:hAnsi="Arial"/>
          <w:sz w:val="15"/>
          <w:szCs w:val="15"/>
          <w:color w:val="auto"/>
        </w:rPr>
        <w:t>The following chart shows the Committee’s determination of award opportunities for the annual incentive payable to Ms. Nettles for 2020, as a percentage of her full 2020 base salary of $550,000:</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3780" w:type="dxa"/>
            <w:vAlign w:val="bottom"/>
            <w:tcBorders>
              <w:bottom w:val="single" w:sz="8" w:color="EAEAEA"/>
            </w:tcBorders>
            <w:shd w:val="clear" w:color="auto" w:fill="EAEAEA"/>
          </w:tcPr>
          <w:p>
            <w:pPr>
              <w:spacing w:after="0"/>
              <w:rPr>
                <w:sz w:val="23"/>
                <w:szCs w:val="23"/>
                <w:color w:val="auto"/>
              </w:rPr>
            </w:pPr>
          </w:p>
        </w:tc>
        <w:tc>
          <w:tcPr>
            <w:tcW w:w="2340" w:type="dxa"/>
            <w:vAlign w:val="bottom"/>
            <w:tcBorders>
              <w:bottom w:val="single" w:sz="8" w:color="EAEAEA"/>
            </w:tcBorders>
            <w:shd w:val="clear" w:color="auto" w:fill="EAEAEA"/>
          </w:tcPr>
          <w:p>
            <w:pPr>
              <w:jc w:val="right"/>
              <w:ind w:right="465"/>
              <w:spacing w:after="0"/>
              <w:rPr>
                <w:sz w:val="20"/>
                <w:szCs w:val="20"/>
                <w:color w:val="auto"/>
              </w:rPr>
            </w:pPr>
            <w:r>
              <w:rPr>
                <w:rFonts w:ascii="Arial" w:cs="Arial" w:eastAsia="Arial" w:hAnsi="Arial"/>
                <w:sz w:val="14"/>
                <w:szCs w:val="14"/>
                <w:b w:val="1"/>
                <w:bCs w:val="1"/>
                <w:color w:val="5D89B4"/>
              </w:rPr>
              <w:t>THRESHOLD</w:t>
            </w:r>
          </w:p>
        </w:tc>
        <w:tc>
          <w:tcPr>
            <w:tcW w:w="1440" w:type="dxa"/>
            <w:vAlign w:val="bottom"/>
            <w:tcBorders>
              <w:bottom w:val="single" w:sz="8" w:color="EAEAEA"/>
            </w:tcBorders>
            <w:shd w:val="clear" w:color="auto" w:fill="EAEAEA"/>
          </w:tcPr>
          <w:p>
            <w:pPr>
              <w:jc w:val="right"/>
              <w:ind w:right="365"/>
              <w:spacing w:after="0"/>
              <w:rPr>
                <w:sz w:val="20"/>
                <w:szCs w:val="20"/>
                <w:color w:val="auto"/>
              </w:rPr>
            </w:pPr>
            <w:r>
              <w:rPr>
                <w:rFonts w:ascii="Arial" w:cs="Arial" w:eastAsia="Arial" w:hAnsi="Arial"/>
                <w:sz w:val="14"/>
                <w:szCs w:val="14"/>
                <w:b w:val="1"/>
                <w:bCs w:val="1"/>
                <w:color w:val="5D89B4"/>
              </w:rPr>
              <w:t>TARGET</w:t>
            </w:r>
          </w:p>
        </w:tc>
        <w:tc>
          <w:tcPr>
            <w:tcW w:w="160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EPS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22.5%</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45.0%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ROIC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22.5%</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45.0%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Revenue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5.0%</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15.0%</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30.0%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5.0%</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15.0%</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30.0%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25.0%</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75.0%</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150.0%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for Ms. Nettles for 2020 were as follows:</w:t>
      </w:r>
    </w:p>
    <w:p>
      <w:pPr>
        <w:spacing w:after="0" w:line="68" w:lineRule="exact"/>
        <w:rPr>
          <w:sz w:val="20"/>
          <w:szCs w:val="20"/>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Develop strong relationship with board of directors and senior management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Progress the Company’s talent strategy, including deepening the talent pipeline and capabilities of employees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Collaborate with CEO to strengthen the culture across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69297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65" w:lineRule="exact"/>
        <w:rPr>
          <w:sz w:val="20"/>
          <w:szCs w:val="20"/>
          <w:color w:val="auto"/>
        </w:rPr>
      </w:pPr>
    </w:p>
    <w:p>
      <w:pPr>
        <w:jc w:val="both"/>
        <w:ind w:right="240"/>
        <w:spacing w:after="0" w:line="230" w:lineRule="auto"/>
        <w:rPr>
          <w:sz w:val="20"/>
          <w:szCs w:val="20"/>
          <w:color w:val="auto"/>
        </w:rPr>
      </w:pPr>
      <w:r>
        <w:rPr>
          <w:rFonts w:ascii="Arial" w:cs="Arial" w:eastAsia="Arial" w:hAnsi="Arial"/>
          <w:sz w:val="15"/>
          <w:szCs w:val="15"/>
          <w:color w:val="auto"/>
        </w:rPr>
        <w:t>The Committee determined that because actual results for the year were below the threshold level performance goals for EPS, ROIC and Revenue, no awards were earned for those financial objectives. The Committee did approve an incentive award to Ms. Nettles based on its determination of the level of performance towards achievement of her various operating objectives. Based on these accomplishments, the Committee determined to pay the 2020 award to Mr. Nettles of $144,375. The following table illustrates Ms. Nettles’ 2020 achievement of the performance targets in relation to the payment of her 2020 award:</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3880" w:type="dxa"/>
            <w:vAlign w:val="bottom"/>
            <w:shd w:val="clear" w:color="auto" w:fill="EAEAEA"/>
          </w:tcPr>
          <w:p>
            <w:pPr>
              <w:spacing w:after="0"/>
              <w:rPr>
                <w:sz w:val="18"/>
                <w:szCs w:val="18"/>
                <w:color w:val="auto"/>
              </w:rPr>
            </w:pPr>
          </w:p>
        </w:tc>
        <w:tc>
          <w:tcPr>
            <w:tcW w:w="228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PERFORMANCE</w:t>
            </w:r>
          </w:p>
        </w:tc>
        <w:tc>
          <w:tcPr>
            <w:tcW w:w="198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PERCENTAGE</w:t>
            </w:r>
          </w:p>
        </w:tc>
        <w:tc>
          <w:tcPr>
            <w:tcW w:w="1020" w:type="dxa"/>
            <w:vAlign w:val="bottom"/>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880" w:type="dxa"/>
            <w:vAlign w:val="bottom"/>
            <w:tcBorders>
              <w:bottom w:val="single" w:sz="8" w:color="EAEAEA"/>
            </w:tcBorders>
            <w:shd w:val="clear" w:color="auto" w:fill="EAEAEA"/>
          </w:tcPr>
          <w:p>
            <w:pPr>
              <w:spacing w:after="0"/>
              <w:rPr>
                <w:sz w:val="19"/>
                <w:szCs w:val="19"/>
                <w:color w:val="auto"/>
              </w:rPr>
            </w:pPr>
          </w:p>
        </w:tc>
        <w:tc>
          <w:tcPr>
            <w:tcW w:w="228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LEVEL</w:t>
            </w:r>
          </w:p>
        </w:tc>
        <w:tc>
          <w:tcPr>
            <w:tcW w:w="198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OF 2020 SALARY</w:t>
            </w:r>
          </w:p>
        </w:tc>
        <w:tc>
          <w:tcPr>
            <w:tcW w:w="1020" w:type="dxa"/>
            <w:vAlign w:val="bottom"/>
            <w:tcBorders>
              <w:bottom w:val="single" w:sz="8" w:color="EAEAEA"/>
            </w:tcBorders>
            <w:gridSpan w:val="2"/>
            <w:shd w:val="clear" w:color="auto" w:fill="EAEAEA"/>
          </w:tcPr>
          <w:p>
            <w:pPr>
              <w:ind w:left="340"/>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280" w:type="dxa"/>
            <w:vAlign w:val="bottom"/>
          </w:tcPr>
          <w:p>
            <w:pPr>
              <w:jc w:val="right"/>
              <w:ind w:right="306"/>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388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280" w:type="dxa"/>
            <w:vAlign w:val="bottom"/>
          </w:tcPr>
          <w:p>
            <w:pPr>
              <w:jc w:val="right"/>
              <w:ind w:right="306"/>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388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280" w:type="dxa"/>
            <w:vAlign w:val="bottom"/>
          </w:tcPr>
          <w:p>
            <w:pPr>
              <w:jc w:val="right"/>
              <w:ind w:right="306"/>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388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2280" w:type="dxa"/>
            <w:vAlign w:val="bottom"/>
          </w:tcPr>
          <w:p>
            <w:pPr>
              <w:jc w:val="right"/>
              <w:ind w:right="306"/>
              <w:spacing w:after="0"/>
              <w:rPr>
                <w:sz w:val="20"/>
                <w:szCs w:val="20"/>
                <w:color w:val="auto"/>
              </w:rPr>
            </w:pPr>
            <w:r>
              <w:rPr>
                <w:rFonts w:ascii="Arial" w:cs="Arial" w:eastAsia="Arial" w:hAnsi="Arial"/>
                <w:sz w:val="15"/>
                <w:szCs w:val="15"/>
                <w:color w:val="auto"/>
              </w:rPr>
              <w:t>Above Target</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26.25%</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144,375</w:t>
            </w:r>
          </w:p>
        </w:tc>
      </w:tr>
      <w:tr>
        <w:trPr>
          <w:trHeight w:val="50"/>
        </w:trPr>
        <w:tc>
          <w:tcPr>
            <w:tcW w:w="388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r>
        <w:trPr>
          <w:trHeight w:val="225"/>
        </w:trPr>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280" w:type="dxa"/>
            <w:vAlign w:val="bottom"/>
          </w:tcPr>
          <w:p>
            <w:pPr>
              <w:spacing w:after="0"/>
              <w:rPr>
                <w:sz w:val="19"/>
                <w:szCs w:val="19"/>
                <w:color w:val="auto"/>
              </w:rPr>
            </w:pP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26.25%</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144,375</w:t>
            </w:r>
          </w:p>
        </w:tc>
      </w:tr>
      <w:tr>
        <w:trPr>
          <w:trHeight w:val="50"/>
        </w:trPr>
        <w:tc>
          <w:tcPr>
            <w:tcW w:w="388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Richard Buchband — Annual Incentive Award Opportunities</w:t>
      </w:r>
    </w:p>
    <w:p>
      <w:pPr>
        <w:spacing w:after="0" w:line="165"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The following chart shows the Committee’s determination of award opportunities for the annual incentive payable to Mr. Buchband for 2020, as a percentage of his full 2020 base salary of $525,000.</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3780" w:type="dxa"/>
            <w:vAlign w:val="bottom"/>
            <w:tcBorders>
              <w:bottom w:val="single" w:sz="8" w:color="EAEAEA"/>
            </w:tcBorders>
            <w:shd w:val="clear" w:color="auto" w:fill="EAEAEA"/>
          </w:tcPr>
          <w:p>
            <w:pPr>
              <w:spacing w:after="0"/>
              <w:rPr>
                <w:sz w:val="23"/>
                <w:szCs w:val="23"/>
                <w:color w:val="auto"/>
              </w:rPr>
            </w:pPr>
          </w:p>
        </w:tc>
        <w:tc>
          <w:tcPr>
            <w:tcW w:w="2340" w:type="dxa"/>
            <w:vAlign w:val="bottom"/>
            <w:tcBorders>
              <w:bottom w:val="single" w:sz="8" w:color="EAEAEA"/>
            </w:tcBorders>
            <w:shd w:val="clear" w:color="auto" w:fill="EAEAEA"/>
          </w:tcPr>
          <w:p>
            <w:pPr>
              <w:jc w:val="right"/>
              <w:ind w:right="465"/>
              <w:spacing w:after="0"/>
              <w:rPr>
                <w:sz w:val="20"/>
                <w:szCs w:val="20"/>
                <w:color w:val="auto"/>
              </w:rPr>
            </w:pPr>
            <w:r>
              <w:rPr>
                <w:rFonts w:ascii="Arial" w:cs="Arial" w:eastAsia="Arial" w:hAnsi="Arial"/>
                <w:sz w:val="14"/>
                <w:szCs w:val="14"/>
                <w:b w:val="1"/>
                <w:bCs w:val="1"/>
                <w:color w:val="5D89B4"/>
              </w:rPr>
              <w:t>THRESHOLD</w:t>
            </w:r>
          </w:p>
        </w:tc>
        <w:tc>
          <w:tcPr>
            <w:tcW w:w="1440" w:type="dxa"/>
            <w:vAlign w:val="bottom"/>
            <w:tcBorders>
              <w:bottom w:val="single" w:sz="8" w:color="EAEAEA"/>
            </w:tcBorders>
            <w:shd w:val="clear" w:color="auto" w:fill="EAEAEA"/>
          </w:tcPr>
          <w:p>
            <w:pPr>
              <w:jc w:val="right"/>
              <w:ind w:right="365"/>
              <w:spacing w:after="0"/>
              <w:rPr>
                <w:sz w:val="20"/>
                <w:szCs w:val="20"/>
                <w:color w:val="auto"/>
              </w:rPr>
            </w:pPr>
            <w:r>
              <w:rPr>
                <w:rFonts w:ascii="Arial" w:cs="Arial" w:eastAsia="Arial" w:hAnsi="Arial"/>
                <w:sz w:val="14"/>
                <w:szCs w:val="14"/>
                <w:b w:val="1"/>
                <w:bCs w:val="1"/>
                <w:color w:val="5D89B4"/>
              </w:rPr>
              <w:t>TARGET</w:t>
            </w:r>
          </w:p>
        </w:tc>
        <w:tc>
          <w:tcPr>
            <w:tcW w:w="160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EPS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22.5%</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45.0%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ROIC goal (weighted 30%)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7.5%</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22.5%</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45.0%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Revenue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5.0%</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15.0%</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30.0%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 (weighted 20%)</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5.0%</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15.0%</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30.0%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340" w:type="dxa"/>
            <w:vAlign w:val="bottom"/>
          </w:tcPr>
          <w:p>
            <w:pPr>
              <w:jc w:val="right"/>
              <w:ind w:right="325"/>
              <w:spacing w:after="0"/>
              <w:rPr>
                <w:sz w:val="20"/>
                <w:szCs w:val="20"/>
                <w:color w:val="auto"/>
              </w:rPr>
            </w:pPr>
            <w:r>
              <w:rPr>
                <w:rFonts w:ascii="Arial" w:cs="Arial" w:eastAsia="Arial" w:hAnsi="Arial"/>
                <w:sz w:val="15"/>
                <w:szCs w:val="15"/>
                <w:color w:val="auto"/>
              </w:rPr>
              <w:t>25.0%</w:t>
            </w:r>
          </w:p>
        </w:tc>
        <w:tc>
          <w:tcPr>
            <w:tcW w:w="1440" w:type="dxa"/>
            <w:vAlign w:val="bottom"/>
          </w:tcPr>
          <w:p>
            <w:pPr>
              <w:jc w:val="right"/>
              <w:ind w:right="245"/>
              <w:spacing w:after="0"/>
              <w:rPr>
                <w:sz w:val="20"/>
                <w:szCs w:val="20"/>
                <w:color w:val="auto"/>
              </w:rPr>
            </w:pPr>
            <w:r>
              <w:rPr>
                <w:rFonts w:ascii="Arial" w:cs="Arial" w:eastAsia="Arial" w:hAnsi="Arial"/>
                <w:sz w:val="15"/>
                <w:szCs w:val="15"/>
                <w:color w:val="auto"/>
              </w:rPr>
              <w:t>75.0%</w:t>
            </w:r>
          </w:p>
        </w:tc>
        <w:tc>
          <w:tcPr>
            <w:tcW w:w="1600" w:type="dxa"/>
            <w:vAlign w:val="bottom"/>
          </w:tcPr>
          <w:p>
            <w:pPr>
              <w:jc w:val="right"/>
              <w:ind w:right="65"/>
              <w:spacing w:after="0"/>
              <w:rPr>
                <w:sz w:val="20"/>
                <w:szCs w:val="20"/>
                <w:color w:val="auto"/>
              </w:rPr>
            </w:pPr>
            <w:r>
              <w:rPr>
                <w:rFonts w:ascii="Arial" w:cs="Arial" w:eastAsia="Arial" w:hAnsi="Arial"/>
                <w:sz w:val="15"/>
                <w:szCs w:val="15"/>
                <w:color w:val="auto"/>
              </w:rPr>
              <w:t>150.0%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for Mr. Buchband for 2020 were as follows:</w:t>
      </w:r>
    </w:p>
    <w:p>
      <w:pPr>
        <w:spacing w:after="0" w:line="68" w:lineRule="exact"/>
        <w:rPr>
          <w:sz w:val="20"/>
          <w:szCs w:val="20"/>
          <w:color w:val="auto"/>
        </w:rPr>
      </w:pPr>
    </w:p>
    <w:p>
      <w:pPr>
        <w:ind w:left="220" w:hanging="213"/>
        <w:spacing w:after="0"/>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Continue to provide strong leadership and strategic direction to global legal function</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Serve as trusted advisor to the board of directors and executive team</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Continue to collaborate with business leaders on key strategic initiatives</w:t>
      </w:r>
    </w:p>
    <w:p>
      <w:pPr>
        <w:spacing w:after="0" w:line="135"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auto"/>
        </w:rPr>
        <w:t>The Committee determined that because actual results for the year were below the threshold level performance goals for EPS, ROIC and Revenue, no awards were earned for those financial objectives. The Committee did approve an incentive award to Mr. Buchband based on its determination of the level of performance towards achievement of his various operating objectives. Based on these accomplishments, the Committee determined to pay the 2020 award to Mr. Buchband of $137,813. The following table illustrates Mr. Buchband’s 2020 achievement of the performance targets in relation to the payment of his 2020 award: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3880" w:type="dxa"/>
            <w:vAlign w:val="bottom"/>
            <w:shd w:val="clear" w:color="auto" w:fill="EAEAEA"/>
          </w:tcPr>
          <w:p>
            <w:pPr>
              <w:spacing w:after="0"/>
              <w:rPr>
                <w:sz w:val="18"/>
                <w:szCs w:val="18"/>
                <w:color w:val="auto"/>
              </w:rPr>
            </w:pPr>
          </w:p>
        </w:tc>
        <w:tc>
          <w:tcPr>
            <w:tcW w:w="2280" w:type="dxa"/>
            <w:vAlign w:val="bottom"/>
            <w:gridSpan w:val="2"/>
            <w:shd w:val="clear" w:color="auto" w:fill="EAEAEA"/>
          </w:tcPr>
          <w:p>
            <w:pPr>
              <w:jc w:val="right"/>
              <w:ind w:right="304"/>
              <w:spacing w:after="0"/>
              <w:rPr>
                <w:sz w:val="20"/>
                <w:szCs w:val="20"/>
                <w:color w:val="auto"/>
              </w:rPr>
            </w:pPr>
            <w:r>
              <w:rPr>
                <w:rFonts w:ascii="Arial" w:cs="Arial" w:eastAsia="Arial" w:hAnsi="Arial"/>
                <w:sz w:val="14"/>
                <w:szCs w:val="14"/>
                <w:b w:val="1"/>
                <w:bCs w:val="1"/>
                <w:color w:val="5D89B4"/>
              </w:rPr>
              <w:t>PERFORMANCE</w:t>
            </w:r>
          </w:p>
        </w:tc>
        <w:tc>
          <w:tcPr>
            <w:tcW w:w="198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PERCENTAGE</w:t>
            </w:r>
          </w:p>
        </w:tc>
        <w:tc>
          <w:tcPr>
            <w:tcW w:w="1020" w:type="dxa"/>
            <w:vAlign w:val="bottom"/>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AMOUNT</w:t>
            </w:r>
          </w:p>
        </w:tc>
        <w:tc>
          <w:tcPr>
            <w:tcW w:w="860" w:type="dxa"/>
            <w:vAlign w:val="bottom"/>
          </w:tcPr>
          <w:p>
            <w:pPr>
              <w:spacing w:after="0"/>
              <w:rPr>
                <w:sz w:val="18"/>
                <w:szCs w:val="18"/>
                <w:color w:val="auto"/>
              </w:rPr>
            </w:pPr>
          </w:p>
        </w:tc>
      </w:tr>
      <w:tr>
        <w:trPr>
          <w:trHeight w:val="221"/>
        </w:trPr>
        <w:tc>
          <w:tcPr>
            <w:tcW w:w="900" w:type="dxa"/>
            <w:vAlign w:val="bottom"/>
          </w:tcPr>
          <w:p>
            <w:pPr>
              <w:spacing w:after="0"/>
              <w:rPr>
                <w:sz w:val="19"/>
                <w:szCs w:val="19"/>
                <w:color w:val="auto"/>
              </w:rPr>
            </w:pPr>
          </w:p>
        </w:tc>
        <w:tc>
          <w:tcPr>
            <w:tcW w:w="3880" w:type="dxa"/>
            <w:vAlign w:val="bottom"/>
            <w:tcBorders>
              <w:bottom w:val="single" w:sz="8" w:color="EAEAEA"/>
            </w:tcBorders>
            <w:shd w:val="clear" w:color="auto" w:fill="EAEAEA"/>
          </w:tcPr>
          <w:p>
            <w:pPr>
              <w:spacing w:after="0"/>
              <w:rPr>
                <w:sz w:val="19"/>
                <w:szCs w:val="19"/>
                <w:color w:val="auto"/>
              </w:rPr>
            </w:pPr>
          </w:p>
        </w:tc>
        <w:tc>
          <w:tcPr>
            <w:tcW w:w="900" w:type="dxa"/>
            <w:vAlign w:val="bottom"/>
            <w:tcBorders>
              <w:bottom w:val="single" w:sz="8" w:color="EAEAEA"/>
            </w:tcBorders>
            <w:shd w:val="clear" w:color="auto" w:fill="EAEAEA"/>
          </w:tcPr>
          <w:p>
            <w:pPr>
              <w:spacing w:after="0"/>
              <w:rPr>
                <w:sz w:val="19"/>
                <w:szCs w:val="19"/>
                <w:color w:val="auto"/>
              </w:rPr>
            </w:pPr>
          </w:p>
        </w:tc>
        <w:tc>
          <w:tcPr>
            <w:tcW w:w="1380" w:type="dxa"/>
            <w:vAlign w:val="bottom"/>
            <w:tcBorders>
              <w:bottom w:val="single" w:sz="8" w:color="EAEAEA"/>
            </w:tcBorders>
            <w:shd w:val="clear" w:color="auto" w:fill="EAEAEA"/>
          </w:tcPr>
          <w:p>
            <w:pPr>
              <w:jc w:val="right"/>
              <w:ind w:right="304"/>
              <w:spacing w:after="0"/>
              <w:rPr>
                <w:sz w:val="20"/>
                <w:szCs w:val="20"/>
                <w:color w:val="auto"/>
              </w:rPr>
            </w:pPr>
            <w:r>
              <w:rPr>
                <w:rFonts w:ascii="Arial" w:cs="Arial" w:eastAsia="Arial" w:hAnsi="Arial"/>
                <w:sz w:val="14"/>
                <w:szCs w:val="14"/>
                <w:b w:val="1"/>
                <w:bCs w:val="1"/>
                <w:color w:val="5D89B4"/>
              </w:rPr>
              <w:t>LEVEL</w:t>
            </w:r>
          </w:p>
        </w:tc>
        <w:tc>
          <w:tcPr>
            <w:tcW w:w="198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OF 2020 SALARY</w:t>
            </w:r>
          </w:p>
        </w:tc>
        <w:tc>
          <w:tcPr>
            <w:tcW w:w="1020" w:type="dxa"/>
            <w:vAlign w:val="bottom"/>
            <w:tcBorders>
              <w:bottom w:val="single" w:sz="8" w:color="EAEAEA"/>
            </w:tcBorders>
            <w:gridSpan w:val="2"/>
            <w:shd w:val="clear" w:color="auto" w:fill="EAEAEA"/>
          </w:tcPr>
          <w:p>
            <w:pPr>
              <w:ind w:left="340"/>
              <w:spacing w:after="0"/>
              <w:rPr>
                <w:sz w:val="20"/>
                <w:szCs w:val="20"/>
                <w:color w:val="auto"/>
              </w:rPr>
            </w:pPr>
            <w:r>
              <w:rPr>
                <w:rFonts w:ascii="Arial" w:cs="Arial" w:eastAsia="Arial" w:hAnsi="Arial"/>
                <w:sz w:val="14"/>
                <w:szCs w:val="14"/>
                <w:b w:val="1"/>
                <w:bCs w:val="1"/>
                <w:color w:val="5D89B4"/>
              </w:rPr>
              <w:t>EARNED</w:t>
            </w:r>
          </w:p>
        </w:tc>
        <w:tc>
          <w:tcPr>
            <w:tcW w:w="860" w:type="dxa"/>
            <w:vAlign w:val="bottom"/>
          </w:tcPr>
          <w:p>
            <w:pPr>
              <w:spacing w:after="0"/>
              <w:rPr>
                <w:sz w:val="19"/>
                <w:szCs w:val="19"/>
                <w:color w:val="auto"/>
              </w:rPr>
            </w:pPr>
          </w:p>
        </w:tc>
      </w:tr>
      <w:tr>
        <w:trPr>
          <w:trHeight w:val="245"/>
        </w:trPr>
        <w:tc>
          <w:tcPr>
            <w:tcW w:w="900" w:type="dxa"/>
            <w:vAlign w:val="bottom"/>
          </w:tcPr>
          <w:p>
            <w:pPr>
              <w:spacing w:after="0"/>
              <w:rPr>
                <w:sz w:val="21"/>
                <w:szCs w:val="21"/>
                <w:color w:val="auto"/>
              </w:rPr>
            </w:pPr>
          </w:p>
        </w:tc>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280" w:type="dxa"/>
            <w:vAlign w:val="bottom"/>
            <w:gridSpan w:val="2"/>
          </w:tcPr>
          <w:p>
            <w:pPr>
              <w:jc w:val="right"/>
              <w:ind w:right="304"/>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21"/>
                <w:szCs w:val="21"/>
                <w:color w:val="auto"/>
              </w:rPr>
            </w:pPr>
          </w:p>
        </w:tc>
      </w:tr>
      <w:tr>
        <w:trPr>
          <w:trHeight w:val="50"/>
        </w:trPr>
        <w:tc>
          <w:tcPr>
            <w:tcW w:w="900" w:type="dxa"/>
            <w:vAlign w:val="bottom"/>
          </w:tcPr>
          <w:p>
            <w:pPr>
              <w:spacing w:after="0"/>
              <w:rPr>
                <w:sz w:val="4"/>
                <w:szCs w:val="4"/>
                <w:color w:val="auto"/>
              </w:rPr>
            </w:pPr>
          </w:p>
        </w:tc>
        <w:tc>
          <w:tcPr>
            <w:tcW w:w="388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gridSpan w:val="2"/>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280" w:type="dxa"/>
            <w:vAlign w:val="bottom"/>
            <w:gridSpan w:val="2"/>
          </w:tcPr>
          <w:p>
            <w:pPr>
              <w:jc w:val="right"/>
              <w:ind w:right="304"/>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88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gridSpan w:val="2"/>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280" w:type="dxa"/>
            <w:vAlign w:val="bottom"/>
            <w:gridSpan w:val="2"/>
          </w:tcPr>
          <w:p>
            <w:pPr>
              <w:jc w:val="right"/>
              <w:ind w:right="304"/>
              <w:spacing w:after="0"/>
              <w:rPr>
                <w:sz w:val="20"/>
                <w:szCs w:val="20"/>
                <w:color w:val="auto"/>
              </w:rPr>
            </w:pPr>
            <w:r>
              <w:rPr>
                <w:rFonts w:ascii="Arial" w:cs="Arial" w:eastAsia="Arial" w:hAnsi="Arial"/>
                <w:sz w:val="15"/>
                <w:szCs w:val="15"/>
                <w:color w:val="auto"/>
              </w:rPr>
              <w:t>Below Threshold</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88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900" w:type="dxa"/>
            <w:vAlign w:val="bottom"/>
          </w:tcPr>
          <w:p>
            <w:pPr>
              <w:spacing w:after="0"/>
              <w:rPr>
                <w:sz w:val="19"/>
                <w:szCs w:val="19"/>
                <w:color w:val="auto"/>
              </w:rPr>
            </w:pP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Above Target</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26.25%</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137,813</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88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26.25%</w:t>
            </w:r>
          </w:p>
        </w:tc>
        <w:tc>
          <w:tcPr>
            <w:tcW w:w="400" w:type="dxa"/>
            <w:vAlign w:val="bottom"/>
          </w:tcPr>
          <w:p>
            <w:pPr>
              <w:ind w:left="30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137,813</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388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3360" w:type="dxa"/>
            <w:vAlign w:val="bottom"/>
            <w:tcBorders>
              <w:bottom w:val="single" w:sz="8" w:color="5D89B4"/>
            </w:tcBorders>
            <w:gridSpan w:val="2"/>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154"/>
        </w:trPr>
        <w:tc>
          <w:tcPr>
            <w:tcW w:w="900" w:type="dxa"/>
            <w:vAlign w:val="bottom"/>
            <w:tcBorders>
              <w:bottom w:val="single" w:sz="8" w:color="5D89B4"/>
            </w:tcBorders>
          </w:tcPr>
          <w:p>
            <w:pPr>
              <w:spacing w:after="0"/>
              <w:rPr>
                <w:sz w:val="13"/>
                <w:szCs w:val="13"/>
                <w:color w:val="auto"/>
              </w:rPr>
            </w:pPr>
          </w:p>
        </w:tc>
        <w:tc>
          <w:tcPr>
            <w:tcW w:w="3880" w:type="dxa"/>
            <w:vAlign w:val="bottom"/>
            <w:tcBorders>
              <w:bottom w:val="single" w:sz="8" w:color="5D89B4"/>
            </w:tcBorders>
          </w:tcPr>
          <w:p>
            <w:pPr>
              <w:spacing w:after="0"/>
              <w:rPr>
                <w:sz w:val="13"/>
                <w:szCs w:val="13"/>
                <w:color w:val="auto"/>
              </w:rPr>
            </w:pPr>
          </w:p>
        </w:tc>
        <w:tc>
          <w:tcPr>
            <w:tcW w:w="900" w:type="dxa"/>
            <w:vAlign w:val="bottom"/>
            <w:tcBorders>
              <w:bottom w:val="single" w:sz="8" w:color="5D89B4"/>
            </w:tcBorders>
          </w:tcPr>
          <w:p>
            <w:pPr>
              <w:spacing w:after="0"/>
              <w:rPr>
                <w:sz w:val="13"/>
                <w:szCs w:val="13"/>
                <w:color w:val="auto"/>
              </w:rPr>
            </w:pPr>
          </w:p>
        </w:tc>
        <w:tc>
          <w:tcPr>
            <w:tcW w:w="3360" w:type="dxa"/>
            <w:vAlign w:val="bottom"/>
            <w:tcBorders>
              <w:bottom w:val="single" w:sz="8" w:color="5D89B4"/>
            </w:tcBorders>
            <w:gridSpan w:val="2"/>
          </w:tcPr>
          <w:p>
            <w:pPr>
              <w:spacing w:after="0"/>
              <w:rPr>
                <w:sz w:val="13"/>
                <w:szCs w:val="13"/>
                <w:color w:val="auto"/>
              </w:rPr>
            </w:pPr>
          </w:p>
        </w:tc>
        <w:tc>
          <w:tcPr>
            <w:tcW w:w="400" w:type="dxa"/>
            <w:vAlign w:val="bottom"/>
            <w:tcBorders>
              <w:bottom w:val="single" w:sz="8" w:color="5D89B4"/>
            </w:tcBorders>
          </w:tcPr>
          <w:p>
            <w:pPr>
              <w:spacing w:after="0"/>
              <w:rPr>
                <w:sz w:val="13"/>
                <w:szCs w:val="13"/>
                <w:color w:val="auto"/>
              </w:rPr>
            </w:pPr>
          </w:p>
        </w:tc>
        <w:tc>
          <w:tcPr>
            <w:tcW w:w="620" w:type="dxa"/>
            <w:vAlign w:val="bottom"/>
            <w:tcBorders>
              <w:bottom w:val="single" w:sz="8" w:color="5D89B4"/>
            </w:tcBorders>
          </w:tcPr>
          <w:p>
            <w:pPr>
              <w:spacing w:after="0"/>
              <w:rPr>
                <w:sz w:val="13"/>
                <w:szCs w:val="13"/>
                <w:color w:val="auto"/>
              </w:rPr>
            </w:pPr>
          </w:p>
        </w:tc>
        <w:tc>
          <w:tcPr>
            <w:tcW w:w="860" w:type="dxa"/>
            <w:vAlign w:val="bottom"/>
            <w:tcBorders>
              <w:bottom w:val="single" w:sz="8" w:color="5D89B4"/>
            </w:tcBorders>
          </w:tcPr>
          <w:p>
            <w:pPr>
              <w:spacing w:after="0"/>
              <w:rPr>
                <w:sz w:val="13"/>
                <w:szCs w:val="13"/>
                <w:color w:val="auto"/>
              </w:rPr>
            </w:pPr>
          </w:p>
        </w:tc>
      </w:tr>
      <w:tr>
        <w:trPr>
          <w:trHeight w:val="386"/>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b w:val="1"/>
                <w:bCs w:val="1"/>
                <w:color w:val="5D89B4"/>
              </w:rPr>
              <w:t>40</w:t>
            </w:r>
          </w:p>
        </w:tc>
        <w:tc>
          <w:tcPr>
            <w:tcW w:w="3360" w:type="dxa"/>
            <w:vAlign w:val="bottom"/>
            <w:gridSpan w:val="2"/>
          </w:tcPr>
          <w:p>
            <w:pPr>
              <w:jc w:val="right"/>
              <w:ind w:right="1286"/>
              <w:spacing w:after="0"/>
              <w:rPr>
                <w:sz w:val="20"/>
                <w:szCs w:val="20"/>
                <w:color w:val="auto"/>
              </w:rPr>
            </w:pPr>
            <w:r>
              <w:rPr>
                <w:rFonts w:ascii="Arial" w:cs="Arial" w:eastAsia="Arial" w:hAnsi="Arial"/>
                <w:sz w:val="16"/>
                <w:szCs w:val="16"/>
                <w:b w:val="1"/>
                <w:bCs w:val="1"/>
                <w:color w:val="BFBFBF"/>
              </w:rPr>
              <w:t>2021 Proxy Statement</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2" w:name="page53"/>
    <w:bookmarkEnd w:id="52"/>
    <w:p>
      <w:pPr>
        <w:ind w:left="73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Components of the 2020 Executive Compensation Program — Long-Term Incentives</w:t>
      </w:r>
    </w:p>
    <w:p>
      <w:pPr>
        <w:spacing w:after="0" w:line="179" w:lineRule="exact"/>
        <w:rPr>
          <w:sz w:val="20"/>
          <w:szCs w:val="20"/>
          <w:color w:val="auto"/>
        </w:rPr>
      </w:pPr>
    </w:p>
    <w:p>
      <w:pPr>
        <w:ind w:right="140"/>
        <w:spacing w:after="0" w:line="230" w:lineRule="auto"/>
        <w:rPr>
          <w:sz w:val="20"/>
          <w:szCs w:val="20"/>
          <w:color w:val="auto"/>
        </w:rPr>
      </w:pPr>
      <w:r>
        <w:rPr>
          <w:rFonts w:ascii="Arial" w:cs="Arial" w:eastAsia="Arial" w:hAnsi="Arial"/>
          <w:sz w:val="15"/>
          <w:szCs w:val="15"/>
          <w:color w:val="auto"/>
        </w:rPr>
        <w:t>Each year the Committee determines the appropriate mix of PSUs, stock options and RSUs that should comprise the long-term incentives for the NEOs. This flexibility allows the Committee to tailor its program to create the incentive structure that it believes will best align executive performance and the needs of the Company. The Committee determined for 2020 that the performance needs of the Company would be best met through a package of awards for the NEOs made up of 60% PSUs, 20% stock options and 20% RSUs. As previously mentioned, Ms. Swan retired in March 2020 and did not receive any equity grants in 2020.</w:t>
      </w:r>
    </w:p>
    <w:p>
      <w:pPr>
        <w:spacing w:after="0" w:line="128"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The Committee generally determines and approves equity awards to the NEOs and the related vesting schedules, at its regularly scheduled meeting in February each year, and as required under the Committee’s charter, subject to ratification by the board of directors in the case of Mr. Prising and Mr. McGinnis. The equity awards and related vesting schedules for Messrs. McGinnis and Buchband and Ms. Nettles are generally based on recommendations by Mr. Prising. The Committee may make grants to NEOs at other times during the year, as it deems appropriate. The exercise price for any options granted is the closing price on the date of grant.</w:t>
      </w:r>
    </w:p>
    <w:p>
      <w:pPr>
        <w:spacing w:after="0" w:line="113" w:lineRule="exact"/>
        <w:rPr>
          <w:sz w:val="20"/>
          <w:szCs w:val="20"/>
          <w:color w:val="auto"/>
        </w:rPr>
      </w:pPr>
    </w:p>
    <w:p>
      <w:pPr>
        <w:ind w:right="420"/>
        <w:spacing w:after="0" w:line="237" w:lineRule="auto"/>
        <w:rPr>
          <w:sz w:val="20"/>
          <w:szCs w:val="20"/>
          <w:color w:val="auto"/>
        </w:rPr>
      </w:pPr>
      <w:r>
        <w:rPr>
          <w:rFonts w:ascii="Arial" w:cs="Arial" w:eastAsia="Arial" w:hAnsi="Arial"/>
          <w:sz w:val="15"/>
          <w:szCs w:val="15"/>
          <w:color w:val="auto"/>
        </w:rPr>
        <w:t>The PSUs, stock options and RSUs awarded in 2020 have the characteristics below. The specific long-term incentive grants for each officer are shown in the Grants of Plan Based Awards table on page 50.</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Performance Share Units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For the PSUs granted in 2020, vesting is based on achievement of a pre-established goal for average annual OPMP, over a three-year period ending</w:t>
      </w:r>
    </w:p>
    <w:p>
      <w:pPr>
        <w:ind w:right="60"/>
        <w:spacing w:after="0" w:line="237" w:lineRule="auto"/>
        <w:rPr>
          <w:sz w:val="20"/>
          <w:szCs w:val="20"/>
          <w:color w:val="auto"/>
        </w:rPr>
      </w:pPr>
      <w:r>
        <w:rPr>
          <w:rFonts w:ascii="Arial" w:cs="Arial" w:eastAsia="Arial" w:hAnsi="Arial"/>
          <w:sz w:val="15"/>
          <w:szCs w:val="15"/>
          <w:color w:val="auto"/>
        </w:rPr>
        <w:t>December 31, 2022. The Committee believes OPMP correctly focuses executive officers on the long-term profitability of the Company. Following completion of the 2020-2022 performance period, the Committee will compare OPMP performance against target levels to determine the PSU payout.</w:t>
      </w:r>
    </w:p>
    <w:p>
      <w:pPr>
        <w:spacing w:after="0" w:line="114" w:lineRule="exact"/>
        <w:rPr>
          <w:sz w:val="20"/>
          <w:szCs w:val="20"/>
          <w:color w:val="auto"/>
        </w:rPr>
      </w:pPr>
    </w:p>
    <w:p>
      <w:pPr>
        <w:ind w:right="140"/>
        <w:spacing w:after="0" w:line="228" w:lineRule="auto"/>
        <w:rPr>
          <w:sz w:val="20"/>
          <w:szCs w:val="20"/>
          <w:color w:val="auto"/>
        </w:rPr>
      </w:pPr>
      <w:r>
        <w:rPr>
          <w:rFonts w:ascii="Arial" w:cs="Arial" w:eastAsia="Arial" w:hAnsi="Arial"/>
          <w:sz w:val="15"/>
          <w:szCs w:val="15"/>
          <w:color w:val="auto"/>
        </w:rPr>
        <w:t>The Committee included a modifier to the final PSU payout that can increase or decrease the final PSU payout (which will be determined based on the OPMP for the 3-year performance period and the performance gate) by up to 30%. Under this feature, the Committee establishes strategic growth objectives at the time of the PSU grant (in this case, in February 2020) and then will evaluate how well management has performed against those pre-established strategic growth objectives during the performance period. The number of shares earned will vest and be settled in common stock in February 2022, after the Committee determines the achievement of the performance goals and assesses the achievement of the strategic growth objectives. The specific strategic growth objectives are summarized below.</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Why the Company Uses Annual Operating Profit Margin and How it Sets Goals</w:t>
      </w:r>
    </w:p>
    <w:p>
      <w:pPr>
        <w:spacing w:after="0" w:line="98" w:lineRule="exact"/>
        <w:rPr>
          <w:sz w:val="20"/>
          <w:szCs w:val="20"/>
          <w:color w:val="auto"/>
        </w:rPr>
      </w:pPr>
    </w:p>
    <w:p>
      <w:pPr>
        <w:ind w:right="320"/>
        <w:spacing w:after="0" w:line="237" w:lineRule="auto"/>
        <w:rPr>
          <w:sz w:val="20"/>
          <w:szCs w:val="20"/>
          <w:color w:val="auto"/>
        </w:rPr>
      </w:pPr>
      <w:r>
        <w:rPr>
          <w:rFonts w:ascii="Arial" w:cs="Arial" w:eastAsia="Arial" w:hAnsi="Arial"/>
          <w:sz w:val="15"/>
          <w:szCs w:val="15"/>
          <w:color w:val="auto"/>
        </w:rPr>
        <w:t>The following table shows the goals established by the Committee in February 2020 for the 2020-2022 performance period for these PSUs and the associated payout percentage:</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3720" w:type="dxa"/>
            <w:vAlign w:val="bottom"/>
            <w:tcBorders>
              <w:bottom w:val="single" w:sz="8" w:color="EAEAEA"/>
            </w:tcBorders>
            <w:shd w:val="clear" w:color="auto" w:fill="EAEAEA"/>
          </w:tcPr>
          <w:p>
            <w:pPr>
              <w:spacing w:after="0"/>
              <w:rPr>
                <w:sz w:val="23"/>
                <w:szCs w:val="23"/>
                <w:color w:val="auto"/>
              </w:rPr>
            </w:pPr>
          </w:p>
        </w:tc>
        <w:tc>
          <w:tcPr>
            <w:tcW w:w="2300" w:type="dxa"/>
            <w:vAlign w:val="bottom"/>
            <w:tcBorders>
              <w:bottom w:val="single" w:sz="8" w:color="EAEAEA"/>
            </w:tcBorders>
            <w:shd w:val="clear" w:color="auto" w:fill="EAEAEA"/>
          </w:tcPr>
          <w:p>
            <w:pPr>
              <w:jc w:val="right"/>
              <w:ind w:right="466"/>
              <w:spacing w:after="0"/>
              <w:rPr>
                <w:sz w:val="20"/>
                <w:szCs w:val="20"/>
                <w:color w:val="auto"/>
              </w:rPr>
            </w:pPr>
            <w:r>
              <w:rPr>
                <w:rFonts w:ascii="Arial" w:cs="Arial" w:eastAsia="Arial" w:hAnsi="Arial"/>
                <w:sz w:val="14"/>
                <w:szCs w:val="14"/>
                <w:b w:val="1"/>
                <w:bCs w:val="1"/>
                <w:color w:val="5D89B4"/>
              </w:rPr>
              <w:t>THRESHOLD</w:t>
            </w:r>
          </w:p>
        </w:tc>
        <w:tc>
          <w:tcPr>
            <w:tcW w:w="1600" w:type="dxa"/>
            <w:vAlign w:val="bottom"/>
            <w:tcBorders>
              <w:bottom w:val="single" w:sz="8" w:color="EAEAEA"/>
            </w:tcBorders>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TARGET(1)</w:t>
            </w:r>
          </w:p>
        </w:tc>
        <w:tc>
          <w:tcPr>
            <w:tcW w:w="154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Average OPMP 2020-2022</w:t>
            </w:r>
          </w:p>
        </w:tc>
        <w:tc>
          <w:tcPr>
            <w:tcW w:w="2300" w:type="dxa"/>
            <w:vAlign w:val="bottom"/>
          </w:tcPr>
          <w:p>
            <w:pPr>
              <w:jc w:val="right"/>
              <w:ind w:right="326"/>
              <w:spacing w:after="0"/>
              <w:rPr>
                <w:sz w:val="20"/>
                <w:szCs w:val="20"/>
                <w:color w:val="auto"/>
              </w:rPr>
            </w:pPr>
            <w:r>
              <w:rPr>
                <w:rFonts w:ascii="Arial" w:cs="Arial" w:eastAsia="Arial" w:hAnsi="Arial"/>
                <w:sz w:val="15"/>
                <w:szCs w:val="15"/>
                <w:color w:val="auto"/>
              </w:rPr>
              <w:t>2.50%</w:t>
            </w:r>
          </w:p>
        </w:tc>
        <w:tc>
          <w:tcPr>
            <w:tcW w:w="1600" w:type="dxa"/>
            <w:vAlign w:val="bottom"/>
          </w:tcPr>
          <w:p>
            <w:pPr>
              <w:jc w:val="right"/>
              <w:ind w:right="246"/>
              <w:spacing w:after="0"/>
              <w:rPr>
                <w:sz w:val="20"/>
                <w:szCs w:val="20"/>
                <w:color w:val="auto"/>
              </w:rPr>
            </w:pPr>
            <w:r>
              <w:rPr>
                <w:rFonts w:ascii="Arial" w:cs="Arial" w:eastAsia="Arial" w:hAnsi="Arial"/>
                <w:sz w:val="15"/>
                <w:szCs w:val="15"/>
                <w:color w:val="auto"/>
              </w:rPr>
              <w:t>3.50 - 3.80%</w:t>
            </w:r>
          </w:p>
        </w:tc>
        <w:tc>
          <w:tcPr>
            <w:tcW w:w="1540" w:type="dxa"/>
            <w:vAlign w:val="bottom"/>
          </w:tcPr>
          <w:p>
            <w:pPr>
              <w:jc w:val="right"/>
              <w:spacing w:after="0"/>
              <w:rPr>
                <w:sz w:val="20"/>
                <w:szCs w:val="20"/>
                <w:color w:val="auto"/>
              </w:rPr>
            </w:pPr>
            <w:r>
              <w:rPr>
                <w:rFonts w:ascii="Arial" w:cs="Arial" w:eastAsia="Arial" w:hAnsi="Arial"/>
                <w:sz w:val="15"/>
                <w:szCs w:val="15"/>
                <w:color w:val="auto"/>
              </w:rPr>
              <w:t>4.10%</w:t>
            </w:r>
          </w:p>
        </w:tc>
      </w:tr>
      <w:tr>
        <w:trPr>
          <w:trHeight w:val="50"/>
        </w:trPr>
        <w:tc>
          <w:tcPr>
            <w:tcW w:w="372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r>
      <w:tr>
        <w:trPr>
          <w:trHeight w:val="225"/>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Payout Percentage</w:t>
            </w:r>
          </w:p>
        </w:tc>
        <w:tc>
          <w:tcPr>
            <w:tcW w:w="2300" w:type="dxa"/>
            <w:vAlign w:val="bottom"/>
          </w:tcPr>
          <w:p>
            <w:pPr>
              <w:jc w:val="right"/>
              <w:ind w:right="326"/>
              <w:spacing w:after="0"/>
              <w:rPr>
                <w:sz w:val="20"/>
                <w:szCs w:val="20"/>
                <w:color w:val="auto"/>
              </w:rPr>
            </w:pPr>
            <w:r>
              <w:rPr>
                <w:rFonts w:ascii="Arial" w:cs="Arial" w:eastAsia="Arial" w:hAnsi="Arial"/>
                <w:sz w:val="15"/>
                <w:szCs w:val="15"/>
                <w:color w:val="auto"/>
              </w:rPr>
              <w:t>50.0%</w:t>
            </w:r>
          </w:p>
        </w:tc>
        <w:tc>
          <w:tcPr>
            <w:tcW w:w="1600" w:type="dxa"/>
            <w:vAlign w:val="bottom"/>
          </w:tcPr>
          <w:p>
            <w:pPr>
              <w:jc w:val="right"/>
              <w:ind w:right="246"/>
              <w:spacing w:after="0"/>
              <w:rPr>
                <w:sz w:val="20"/>
                <w:szCs w:val="20"/>
                <w:color w:val="auto"/>
              </w:rPr>
            </w:pPr>
            <w:r>
              <w:rPr>
                <w:rFonts w:ascii="Arial" w:cs="Arial" w:eastAsia="Arial" w:hAnsi="Arial"/>
                <w:sz w:val="15"/>
                <w:szCs w:val="15"/>
                <w:color w:val="auto"/>
              </w:rPr>
              <w:t>100.0%</w:t>
            </w:r>
          </w:p>
        </w:tc>
        <w:tc>
          <w:tcPr>
            <w:tcW w:w="154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50"/>
        </w:trPr>
        <w:tc>
          <w:tcPr>
            <w:tcW w:w="372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1300" w:right="1520" w:hanging="316"/>
        <w:spacing w:after="0" w:line="254" w:lineRule="auto"/>
        <w:tabs>
          <w:tab w:leader="none" w:pos="1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2020, an OPMP range was established for target level performance as the Committee determined setting a precise goal was challenging given uncertainty in the economic environment at the time of grant.</w:t>
      </w:r>
    </w:p>
    <w:p>
      <w:pPr>
        <w:spacing w:after="0" w:line="106" w:lineRule="exact"/>
        <w:rPr>
          <w:sz w:val="20"/>
          <w:szCs w:val="20"/>
          <w:color w:val="auto"/>
        </w:rPr>
      </w:pPr>
    </w:p>
    <w:p>
      <w:pPr>
        <w:ind w:right="200"/>
        <w:spacing w:after="0" w:line="230" w:lineRule="auto"/>
        <w:rPr>
          <w:sz w:val="20"/>
          <w:szCs w:val="20"/>
          <w:color w:val="auto"/>
        </w:rPr>
      </w:pPr>
      <w:r>
        <w:rPr>
          <w:rFonts w:ascii="Arial" w:cs="Arial" w:eastAsia="Arial" w:hAnsi="Arial"/>
          <w:sz w:val="15"/>
          <w:szCs w:val="15"/>
          <w:color w:val="auto"/>
        </w:rPr>
        <w:t>To determine the average OPMP at the end of the three-year period, the actual performance results from each year will be averaged to determine the three-year average performance results. The final award will be determined by using the 3-year payout scale relative to the 3-year average performance. For clarity, an OPMP within the range of 3.50%-3.80% will be considered to be “at target” performance. For results between 2.50% and 3.50% the payout percentage will be calculated by interpolation, and the same method will be used for results between 3.80% and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When determining the financial goals for the 2020 grant, the Committee determined that for the 2020 financial year, certain items would be excluded from the</w:t>
      </w:r>
    </w:p>
    <w:p>
      <w:pPr>
        <w:spacing w:after="0"/>
        <w:rPr>
          <w:sz w:val="20"/>
          <w:szCs w:val="20"/>
          <w:color w:val="auto"/>
        </w:rPr>
      </w:pPr>
      <w:r>
        <w:rPr>
          <w:rFonts w:ascii="Arial" w:cs="Arial" w:eastAsia="Arial" w:hAnsi="Arial"/>
          <w:sz w:val="15"/>
          <w:szCs w:val="15"/>
          <w:color w:val="auto"/>
        </w:rPr>
        <w:t>OPMP calculation, as described in the following calculation:</w:t>
      </w:r>
    </w:p>
    <w:p>
      <w:pPr>
        <w:spacing w:after="0" w:line="50" w:lineRule="exact"/>
        <w:rPr>
          <w:sz w:val="20"/>
          <w:szCs w:val="20"/>
          <w:color w:val="auto"/>
        </w:rPr>
      </w:pPr>
    </w:p>
    <w:p>
      <w:pPr>
        <w:ind w:left="220" w:hanging="213"/>
        <w:spacing w:after="0" w:line="234" w:lineRule="auto"/>
        <w:tabs>
          <w:tab w:leader="none" w:pos="220"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 xml:space="preserve">OPMP </w:t>
      </w:r>
      <w:r>
        <w:rPr>
          <w:rFonts w:ascii="Arial" w:cs="Arial" w:eastAsia="Arial" w:hAnsi="Arial"/>
          <w:sz w:val="15"/>
          <w:szCs w:val="15"/>
          <w:color w:val="auto"/>
        </w:rPr>
        <w:t>— annual operating profit divided by revenue from services, with adjustments to be made (a) to reverse the impact of a change in accounting method</w:t>
      </w:r>
      <w:r>
        <w:rPr>
          <w:rFonts w:ascii="Arial" w:cs="Arial" w:eastAsia="Arial" w:hAnsi="Arial"/>
          <w:sz w:val="15"/>
          <w:szCs w:val="15"/>
          <w:b w:val="1"/>
          <w:bCs w:val="1"/>
          <w:color w:val="auto"/>
        </w:rPr>
        <w:t xml:space="preserve"> </w:t>
      </w:r>
      <w:r>
        <w:rPr>
          <w:rFonts w:ascii="Arial" w:cs="Arial" w:eastAsia="Arial" w:hAnsi="Arial"/>
          <w:sz w:val="15"/>
          <w:szCs w:val="15"/>
          <w:color w:val="auto"/>
        </w:rPr>
        <w:t>during the performance period, or (b) for any of the following items that exceed $10 million in any year: goodwill impairment, nonrecurring restructuring gains or charges, accounting adjustments related to acquisitions or dispositions where the Company previously held an ownership interest, litigation charges/settlement and non-recurring accrual adjustments pertaining to periods outside of the period of measurement. In addition, the Committee may determine to adjust operating profit margin to reflect the impact of significant regulatory developments or material acquisitions made by the Company.</w:t>
      </w:r>
    </w:p>
    <w:p>
      <w:pPr>
        <w:spacing w:after="0" w:line="127"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Our business is historically cyclical and is impacted by numerous macroeconomic conditions.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as occurred in 2020.</w:t>
      </w:r>
    </w:p>
    <w:p>
      <w:pPr>
        <w:spacing w:after="0" w:line="128"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An operating profit “gate” was also established for the PSUs to ensure operating profit margins are achieved without significantly decreasing revenues. This gate was set at $625.0 million, meaning participants cannot receive more than 100% of the target level payout unless average operating profit for the 2020-2022 performance period exceeds $625.0 million.</w:t>
      </w:r>
    </w:p>
    <w:p>
      <w:pPr>
        <w:spacing w:after="0" w:line="115"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As mentioned above, the Committee included a modifier to the final PSU payout that can increase or decrease the final PSU payout by up to 30%. At the end of the 3-year performance period, the Committee will assess the achievement of the strategic growth objectives and may increase or decrease the final PSU payout percent (that was determined based on the OPMP for the 3-year performance period and the gate) by an amount up to 30%. The modifier will not decrease the payout below the threshold level nor increase the payout above the outstanding level. The following are the strategic growth objectives set by the Committee for the 2020 grants:</w:t>
      </w:r>
    </w:p>
    <w:p>
      <w:pPr>
        <w:spacing w:after="0" w:line="127" w:lineRule="exact"/>
        <w:rPr>
          <w:sz w:val="20"/>
          <w:szCs w:val="20"/>
          <w:color w:val="auto"/>
        </w:rPr>
      </w:pPr>
    </w:p>
    <w:p>
      <w:pPr>
        <w:ind w:left="220" w:hanging="213"/>
        <w:spacing w:after="0"/>
        <w:tabs>
          <w:tab w:leader="none" w:pos="2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Implement, test and execute various innovative initiatives to improve business growth and improve efficiency;</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Complete technology and transformation transition and strengthen digital brand;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Develop a robust and diverse talent pipeline, including deepening capabilities of employees;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Diversify the business by increasing our footprint in certain countries and markets as well as shifting business mix.</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Impact of COVID-19 on Performance Share Units and Plan Design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 Earned for the 2018-2020 Performance Period Were Unexpectedly Impacted by 2020 Operating Profit Margin</w:t>
      </w:r>
    </w:p>
    <w:p>
      <w:pPr>
        <w:spacing w:after="0" w:line="161" w:lineRule="exact"/>
        <w:rPr>
          <w:sz w:val="20"/>
          <w:szCs w:val="20"/>
          <w:color w:val="auto"/>
        </w:rPr>
      </w:pPr>
    </w:p>
    <w:p>
      <w:pPr>
        <w:ind w:right="180"/>
        <w:spacing w:after="0" w:line="229" w:lineRule="auto"/>
        <w:rPr>
          <w:sz w:val="20"/>
          <w:szCs w:val="20"/>
          <w:color w:val="auto"/>
        </w:rPr>
      </w:pPr>
      <w:r>
        <w:rPr>
          <w:rFonts w:ascii="Arial" w:cs="Arial" w:eastAsia="Arial" w:hAnsi="Arial"/>
          <w:sz w:val="15"/>
          <w:szCs w:val="15"/>
          <w:color w:val="auto"/>
        </w:rPr>
        <w:t>In February 2018, the Committee set ambitious performance goals for the three-year PSU period that encompassed 2018, 2019 and 2020. These were challenging goals, which were based on projections made at that time. They would require improved performance over the three-year period compared to prior periods, in order to achieve the target OPMP level of 4.10%. The threshold payout level was set at OPMP of 3.10%. In 2018 and 2019, the Company achieved OPMP around the midpoint between target and threshold, at 3.74% and 3.50% respectively. Entering 2020, and anticipating potential economic recovery during the year, the Committee believed management was on track to achieve OPMP for 2020 closer to the target level of 4.10%.</w:t>
      </w:r>
    </w:p>
    <w:p>
      <w:pPr>
        <w:spacing w:after="0" w:line="113" w:lineRule="exact"/>
        <w:rPr>
          <w:sz w:val="20"/>
          <w:szCs w:val="20"/>
          <w:color w:val="auto"/>
        </w:rPr>
      </w:pPr>
    </w:p>
    <w:p>
      <w:pPr>
        <w:jc w:val="both"/>
        <w:ind w:right="20"/>
        <w:spacing w:after="0" w:line="230" w:lineRule="auto"/>
        <w:rPr>
          <w:sz w:val="20"/>
          <w:szCs w:val="20"/>
          <w:color w:val="auto"/>
        </w:rPr>
      </w:pPr>
      <w:r>
        <w:rPr>
          <w:rFonts w:ascii="Arial" w:cs="Arial" w:eastAsia="Arial" w:hAnsi="Arial"/>
          <w:sz w:val="15"/>
          <w:szCs w:val="15"/>
          <w:color w:val="auto"/>
        </w:rPr>
        <w:t>Instead, notwithstanding management’s significant efforts during 2020, the economic crisis brought about by the pandemic impaired the Company’s results for the year. The inclusion of 2020’s pandemic-era OPMP of 2.07% in the weighted average percentage caused the three-year OPMP to decline to 3.10%, which was the minimum threshold to achieve a payout on the PSUs granted in 2018. No adjustments were made to the threshold or target level goals. As a result, the payout on the 2018 granted PSUs occurred at the threshold level of 50% for the NEOs.</w:t>
      </w:r>
    </w:p>
    <w:p>
      <w:pPr>
        <w:spacing w:after="0" w:line="128" w:lineRule="exact"/>
        <w:rPr>
          <w:sz w:val="20"/>
          <w:szCs w:val="20"/>
          <w:color w:val="auto"/>
        </w:rPr>
      </w:pPr>
    </w:p>
    <w:p>
      <w:pPr>
        <w:ind w:right="500"/>
        <w:spacing w:after="0" w:line="237" w:lineRule="auto"/>
        <w:rPr>
          <w:sz w:val="20"/>
          <w:szCs w:val="20"/>
          <w:color w:val="auto"/>
        </w:rPr>
      </w:pPr>
      <w:r>
        <w:rPr>
          <w:rFonts w:ascii="Arial" w:cs="Arial" w:eastAsia="Arial" w:hAnsi="Arial"/>
          <w:sz w:val="15"/>
          <w:szCs w:val="15"/>
          <w:color w:val="auto"/>
        </w:rPr>
        <w:t>These shares vested and were settled in common stock in February 2021, after the Committee determined the achievement of the performance goals. The number of shares earned for each of the NEOs is as follows: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47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NEO</w:t>
            </w:r>
          </w:p>
        </w:tc>
        <w:tc>
          <w:tcPr>
            <w:tcW w:w="2660" w:type="dxa"/>
            <w:vAlign w:val="bottom"/>
            <w:tcBorders>
              <w:bottom w:val="single" w:sz="8" w:color="EAEAEA"/>
            </w:tcBorders>
            <w:shd w:val="clear" w:color="auto" w:fill="EAEAEA"/>
          </w:tcPr>
          <w:p>
            <w:pPr>
              <w:jc w:val="right"/>
              <w:ind w:right="405"/>
              <w:spacing w:after="0"/>
              <w:rPr>
                <w:sz w:val="20"/>
                <w:szCs w:val="20"/>
                <w:color w:val="auto"/>
              </w:rPr>
            </w:pPr>
            <w:r>
              <w:rPr>
                <w:rFonts w:ascii="Arial" w:cs="Arial" w:eastAsia="Arial" w:hAnsi="Arial"/>
                <w:sz w:val="14"/>
                <w:szCs w:val="14"/>
                <w:b w:val="1"/>
                <w:bCs w:val="1"/>
                <w:color w:val="5D89B4"/>
              </w:rPr>
              <w:t>PSU</w:t>
            </w:r>
            <w:r>
              <w:rPr>
                <w:rFonts w:ascii="Arial" w:cs="Arial" w:eastAsia="Arial" w:hAnsi="Arial"/>
                <w:sz w:val="10"/>
                <w:szCs w:val="10"/>
                <w:b w:val="1"/>
                <w:bCs w:val="1"/>
                <w:color w:val="5D89B4"/>
              </w:rPr>
              <w:t>S</w:t>
            </w:r>
            <w:r>
              <w:rPr>
                <w:rFonts w:ascii="Arial" w:cs="Arial" w:eastAsia="Arial" w:hAnsi="Arial"/>
                <w:sz w:val="14"/>
                <w:szCs w:val="14"/>
                <w:b w:val="1"/>
                <w:bCs w:val="1"/>
                <w:color w:val="5D89B4"/>
              </w:rPr>
              <w:t xml:space="preserve"> GRANTED(#)</w:t>
            </w:r>
          </w:p>
        </w:tc>
        <w:tc>
          <w:tcPr>
            <w:tcW w:w="17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PSU</w:t>
            </w:r>
            <w:r>
              <w:rPr>
                <w:rFonts w:ascii="Arial" w:cs="Arial" w:eastAsia="Arial" w:hAnsi="Arial"/>
                <w:sz w:val="10"/>
                <w:szCs w:val="10"/>
                <w:b w:val="1"/>
                <w:bCs w:val="1"/>
                <w:color w:val="5D89B4"/>
              </w:rPr>
              <w:t>S</w:t>
            </w:r>
            <w:r>
              <w:rPr>
                <w:rFonts w:ascii="Arial" w:cs="Arial" w:eastAsia="Arial" w:hAnsi="Arial"/>
                <w:sz w:val="14"/>
                <w:szCs w:val="14"/>
                <w:b w:val="1"/>
                <w:bCs w:val="1"/>
                <w:color w:val="5D89B4"/>
              </w:rPr>
              <w:t xml:space="preserve"> EARNED(#)</w:t>
            </w:r>
          </w:p>
        </w:tc>
      </w:tr>
      <w:tr>
        <w:trPr>
          <w:trHeight w:val="245"/>
        </w:trPr>
        <w:tc>
          <w:tcPr>
            <w:tcW w:w="4780" w:type="dxa"/>
            <w:vAlign w:val="bottom"/>
          </w:tcPr>
          <w:p>
            <w:pPr>
              <w:ind w:left="60"/>
              <w:spacing w:after="0"/>
              <w:rPr>
                <w:sz w:val="20"/>
                <w:szCs w:val="20"/>
                <w:color w:val="auto"/>
              </w:rPr>
            </w:pPr>
            <w:r>
              <w:rPr>
                <w:rFonts w:ascii="Arial" w:cs="Arial" w:eastAsia="Arial" w:hAnsi="Arial"/>
                <w:sz w:val="14"/>
                <w:szCs w:val="14"/>
                <w:b w:val="1"/>
                <w:bCs w:val="1"/>
                <w:color w:val="auto"/>
              </w:rPr>
              <w:t>Jonas Prising</w:t>
            </w:r>
          </w:p>
        </w:tc>
        <w:tc>
          <w:tcPr>
            <w:tcW w:w="2660" w:type="dxa"/>
            <w:vAlign w:val="bottom"/>
          </w:tcPr>
          <w:p>
            <w:pPr>
              <w:jc w:val="right"/>
              <w:ind w:right="405"/>
              <w:spacing w:after="0"/>
              <w:rPr>
                <w:sz w:val="20"/>
                <w:szCs w:val="20"/>
                <w:color w:val="auto"/>
              </w:rPr>
            </w:pPr>
            <w:r>
              <w:rPr>
                <w:rFonts w:ascii="Arial" w:cs="Arial" w:eastAsia="Arial" w:hAnsi="Arial"/>
                <w:sz w:val="15"/>
                <w:szCs w:val="15"/>
                <w:color w:val="auto"/>
              </w:rPr>
              <w:t>43,949</w:t>
            </w:r>
          </w:p>
        </w:tc>
        <w:tc>
          <w:tcPr>
            <w:tcW w:w="1720" w:type="dxa"/>
            <w:vAlign w:val="bottom"/>
          </w:tcPr>
          <w:p>
            <w:pPr>
              <w:jc w:val="right"/>
              <w:spacing w:after="0"/>
              <w:rPr>
                <w:sz w:val="20"/>
                <w:szCs w:val="20"/>
                <w:color w:val="auto"/>
              </w:rPr>
            </w:pPr>
            <w:r>
              <w:rPr>
                <w:rFonts w:ascii="Arial" w:cs="Arial" w:eastAsia="Arial" w:hAnsi="Arial"/>
                <w:sz w:val="15"/>
                <w:szCs w:val="15"/>
                <w:color w:val="auto"/>
              </w:rPr>
              <w:t>21,975</w:t>
            </w:r>
          </w:p>
        </w:tc>
      </w:tr>
      <w:tr>
        <w:trPr>
          <w:trHeight w:val="50"/>
        </w:trPr>
        <w:tc>
          <w:tcPr>
            <w:tcW w:w="478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1720" w:type="dxa"/>
            <w:vAlign w:val="bottom"/>
            <w:tcBorders>
              <w:bottom w:val="single" w:sz="8" w:color="5D89B4"/>
            </w:tcBorders>
          </w:tcPr>
          <w:p>
            <w:pPr>
              <w:spacing w:after="0"/>
              <w:rPr>
                <w:sz w:val="4"/>
                <w:szCs w:val="4"/>
                <w:color w:val="auto"/>
              </w:rPr>
            </w:pPr>
          </w:p>
        </w:tc>
      </w:tr>
      <w:tr>
        <w:trPr>
          <w:trHeight w:val="225"/>
        </w:trPr>
        <w:tc>
          <w:tcPr>
            <w:tcW w:w="4780" w:type="dxa"/>
            <w:vAlign w:val="bottom"/>
          </w:tcPr>
          <w:p>
            <w:pPr>
              <w:ind w:left="60"/>
              <w:spacing w:after="0"/>
              <w:rPr>
                <w:sz w:val="20"/>
                <w:szCs w:val="20"/>
                <w:color w:val="auto"/>
              </w:rPr>
            </w:pPr>
            <w:r>
              <w:rPr>
                <w:rFonts w:ascii="Arial" w:cs="Arial" w:eastAsia="Arial" w:hAnsi="Arial"/>
                <w:sz w:val="14"/>
                <w:szCs w:val="14"/>
                <w:b w:val="1"/>
                <w:bCs w:val="1"/>
                <w:color w:val="auto"/>
              </w:rPr>
              <w:t>John T. McGinnis</w:t>
            </w:r>
          </w:p>
        </w:tc>
        <w:tc>
          <w:tcPr>
            <w:tcW w:w="2660" w:type="dxa"/>
            <w:vAlign w:val="bottom"/>
          </w:tcPr>
          <w:p>
            <w:pPr>
              <w:jc w:val="right"/>
              <w:ind w:right="405"/>
              <w:spacing w:after="0"/>
              <w:rPr>
                <w:sz w:val="20"/>
                <w:szCs w:val="20"/>
                <w:color w:val="auto"/>
              </w:rPr>
            </w:pPr>
            <w:r>
              <w:rPr>
                <w:rFonts w:ascii="Arial" w:cs="Arial" w:eastAsia="Arial" w:hAnsi="Arial"/>
                <w:sz w:val="15"/>
                <w:szCs w:val="15"/>
                <w:color w:val="auto"/>
              </w:rPr>
              <w:t>11,720</w:t>
            </w:r>
          </w:p>
        </w:tc>
        <w:tc>
          <w:tcPr>
            <w:tcW w:w="1720" w:type="dxa"/>
            <w:vAlign w:val="bottom"/>
          </w:tcPr>
          <w:p>
            <w:pPr>
              <w:jc w:val="right"/>
              <w:spacing w:after="0"/>
              <w:rPr>
                <w:sz w:val="20"/>
                <w:szCs w:val="20"/>
                <w:color w:val="auto"/>
              </w:rPr>
            </w:pPr>
            <w:r>
              <w:rPr>
                <w:rFonts w:ascii="Arial" w:cs="Arial" w:eastAsia="Arial" w:hAnsi="Arial"/>
                <w:sz w:val="15"/>
                <w:szCs w:val="15"/>
                <w:color w:val="auto"/>
              </w:rPr>
              <w:t>5,860</w:t>
            </w:r>
          </w:p>
        </w:tc>
      </w:tr>
      <w:tr>
        <w:trPr>
          <w:trHeight w:val="50"/>
        </w:trPr>
        <w:tc>
          <w:tcPr>
            <w:tcW w:w="478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1720" w:type="dxa"/>
            <w:vAlign w:val="bottom"/>
            <w:tcBorders>
              <w:bottom w:val="single" w:sz="8" w:color="5D89B4"/>
            </w:tcBorders>
          </w:tcPr>
          <w:p>
            <w:pPr>
              <w:spacing w:after="0"/>
              <w:rPr>
                <w:sz w:val="4"/>
                <w:szCs w:val="4"/>
                <w:color w:val="auto"/>
              </w:rPr>
            </w:pPr>
          </w:p>
        </w:tc>
      </w:tr>
      <w:tr>
        <w:trPr>
          <w:trHeight w:val="225"/>
        </w:trPr>
        <w:tc>
          <w:tcPr>
            <w:tcW w:w="4780" w:type="dxa"/>
            <w:vAlign w:val="bottom"/>
          </w:tcPr>
          <w:p>
            <w:pPr>
              <w:ind w:left="60"/>
              <w:spacing w:after="0"/>
              <w:rPr>
                <w:sz w:val="20"/>
                <w:szCs w:val="20"/>
                <w:color w:val="auto"/>
              </w:rPr>
            </w:pPr>
            <w:r>
              <w:rPr>
                <w:rFonts w:ascii="Arial" w:cs="Arial" w:eastAsia="Arial" w:hAnsi="Arial"/>
                <w:sz w:val="14"/>
                <w:szCs w:val="14"/>
                <w:b w:val="1"/>
                <w:bCs w:val="1"/>
                <w:color w:val="auto"/>
              </w:rPr>
              <w:t>Michelle S. Nettles(1)</w:t>
            </w:r>
          </w:p>
        </w:tc>
        <w:tc>
          <w:tcPr>
            <w:tcW w:w="266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478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1720" w:type="dxa"/>
            <w:vAlign w:val="bottom"/>
            <w:tcBorders>
              <w:bottom w:val="single" w:sz="8" w:color="5D89B4"/>
            </w:tcBorders>
          </w:tcPr>
          <w:p>
            <w:pPr>
              <w:spacing w:after="0"/>
              <w:rPr>
                <w:sz w:val="4"/>
                <w:szCs w:val="4"/>
                <w:color w:val="auto"/>
              </w:rPr>
            </w:pPr>
          </w:p>
        </w:tc>
      </w:tr>
      <w:tr>
        <w:trPr>
          <w:trHeight w:val="225"/>
        </w:trPr>
        <w:tc>
          <w:tcPr>
            <w:tcW w:w="4780" w:type="dxa"/>
            <w:vAlign w:val="bottom"/>
          </w:tcPr>
          <w:p>
            <w:pPr>
              <w:ind w:left="60"/>
              <w:spacing w:after="0"/>
              <w:rPr>
                <w:sz w:val="20"/>
                <w:szCs w:val="20"/>
                <w:color w:val="auto"/>
              </w:rPr>
            </w:pPr>
            <w:r>
              <w:rPr>
                <w:rFonts w:ascii="Arial" w:cs="Arial" w:eastAsia="Arial" w:hAnsi="Arial"/>
                <w:sz w:val="14"/>
                <w:szCs w:val="14"/>
                <w:b w:val="1"/>
                <w:bCs w:val="1"/>
                <w:color w:val="auto"/>
              </w:rPr>
              <w:t>Richard Buchband</w:t>
            </w:r>
          </w:p>
        </w:tc>
        <w:tc>
          <w:tcPr>
            <w:tcW w:w="2660" w:type="dxa"/>
            <w:vAlign w:val="bottom"/>
          </w:tcPr>
          <w:p>
            <w:pPr>
              <w:jc w:val="right"/>
              <w:ind w:right="405"/>
              <w:spacing w:after="0"/>
              <w:rPr>
                <w:sz w:val="20"/>
                <w:szCs w:val="20"/>
                <w:color w:val="auto"/>
              </w:rPr>
            </w:pPr>
            <w:r>
              <w:rPr>
                <w:rFonts w:ascii="Arial" w:cs="Arial" w:eastAsia="Arial" w:hAnsi="Arial"/>
                <w:sz w:val="15"/>
                <w:szCs w:val="15"/>
                <w:color w:val="auto"/>
              </w:rPr>
              <w:t>3,907</w:t>
            </w:r>
          </w:p>
        </w:tc>
        <w:tc>
          <w:tcPr>
            <w:tcW w:w="1720" w:type="dxa"/>
            <w:vAlign w:val="bottom"/>
          </w:tcPr>
          <w:p>
            <w:pPr>
              <w:jc w:val="right"/>
              <w:spacing w:after="0"/>
              <w:rPr>
                <w:sz w:val="20"/>
                <w:szCs w:val="20"/>
                <w:color w:val="auto"/>
              </w:rPr>
            </w:pPr>
            <w:r>
              <w:rPr>
                <w:rFonts w:ascii="Arial" w:cs="Arial" w:eastAsia="Arial" w:hAnsi="Arial"/>
                <w:sz w:val="15"/>
                <w:szCs w:val="15"/>
                <w:color w:val="auto"/>
              </w:rPr>
              <w:t>1,954</w:t>
            </w:r>
          </w:p>
        </w:tc>
      </w:tr>
      <w:tr>
        <w:trPr>
          <w:trHeight w:val="50"/>
        </w:trPr>
        <w:tc>
          <w:tcPr>
            <w:tcW w:w="478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1720" w:type="dxa"/>
            <w:vAlign w:val="bottom"/>
            <w:tcBorders>
              <w:bottom w:val="single" w:sz="8" w:color="5D89B4"/>
            </w:tcBorders>
          </w:tcPr>
          <w:p>
            <w:pPr>
              <w:spacing w:after="0"/>
              <w:rPr>
                <w:sz w:val="4"/>
                <w:szCs w:val="4"/>
                <w:color w:val="auto"/>
              </w:rPr>
            </w:pPr>
          </w:p>
        </w:tc>
      </w:tr>
      <w:tr>
        <w:trPr>
          <w:trHeight w:val="225"/>
        </w:trPr>
        <w:tc>
          <w:tcPr>
            <w:tcW w:w="4780" w:type="dxa"/>
            <w:vAlign w:val="bottom"/>
          </w:tcPr>
          <w:p>
            <w:pPr>
              <w:ind w:left="60"/>
              <w:spacing w:after="0"/>
              <w:rPr>
                <w:sz w:val="20"/>
                <w:szCs w:val="20"/>
                <w:color w:val="auto"/>
              </w:rPr>
            </w:pPr>
            <w:r>
              <w:rPr>
                <w:rFonts w:ascii="Arial" w:cs="Arial" w:eastAsia="Arial" w:hAnsi="Arial"/>
                <w:sz w:val="14"/>
                <w:szCs w:val="14"/>
                <w:b w:val="1"/>
                <w:bCs w:val="1"/>
                <w:color w:val="auto"/>
              </w:rPr>
              <w:t>Mara E. Swan(2)</w:t>
            </w:r>
          </w:p>
        </w:tc>
        <w:tc>
          <w:tcPr>
            <w:tcW w:w="2660" w:type="dxa"/>
            <w:vAlign w:val="bottom"/>
          </w:tcPr>
          <w:p>
            <w:pPr>
              <w:jc w:val="right"/>
              <w:ind w:right="405"/>
              <w:spacing w:after="0"/>
              <w:rPr>
                <w:sz w:val="20"/>
                <w:szCs w:val="20"/>
                <w:color w:val="auto"/>
              </w:rPr>
            </w:pPr>
            <w:r>
              <w:rPr>
                <w:rFonts w:ascii="Arial" w:cs="Arial" w:eastAsia="Arial" w:hAnsi="Arial"/>
                <w:sz w:val="15"/>
                <w:szCs w:val="15"/>
                <w:color w:val="auto"/>
              </w:rPr>
              <w:t>6,593</w:t>
            </w:r>
          </w:p>
        </w:tc>
        <w:tc>
          <w:tcPr>
            <w:tcW w:w="1720" w:type="dxa"/>
            <w:vAlign w:val="bottom"/>
          </w:tcPr>
          <w:p>
            <w:pPr>
              <w:jc w:val="right"/>
              <w:spacing w:after="0"/>
              <w:rPr>
                <w:sz w:val="20"/>
                <w:szCs w:val="20"/>
                <w:color w:val="auto"/>
              </w:rPr>
            </w:pPr>
            <w:r>
              <w:rPr>
                <w:rFonts w:ascii="Arial" w:cs="Arial" w:eastAsia="Arial" w:hAnsi="Arial"/>
                <w:sz w:val="15"/>
                <w:szCs w:val="15"/>
                <w:color w:val="auto"/>
              </w:rPr>
              <w:t>3,297</w:t>
            </w:r>
          </w:p>
        </w:tc>
      </w:tr>
      <w:tr>
        <w:trPr>
          <w:trHeight w:val="50"/>
        </w:trPr>
        <w:tc>
          <w:tcPr>
            <w:tcW w:w="478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172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1300" w:hanging="316"/>
        <w:spacing w:after="0"/>
        <w:tabs>
          <w:tab w:leader="none" w:pos="13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Ms. Nettles was not an employee of ManpowerGroup at the time of the grant of the 2018 PSUs.</w:t>
      </w:r>
    </w:p>
    <w:p>
      <w:pPr>
        <w:spacing w:after="0" w:line="79" w:lineRule="exact"/>
        <w:rPr>
          <w:rFonts w:ascii="Arial" w:cs="Arial" w:eastAsia="Arial" w:hAnsi="Arial"/>
          <w:sz w:val="14"/>
          <w:szCs w:val="14"/>
          <w:color w:val="auto"/>
        </w:rPr>
      </w:pPr>
    </w:p>
    <w:p>
      <w:pPr>
        <w:ind w:left="1300" w:right="1000" w:hanging="316"/>
        <w:spacing w:after="0" w:line="254" w:lineRule="auto"/>
        <w:tabs>
          <w:tab w:leader="none" w:pos="13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Under the terms of Ms. Swan’s PSU agreement, upon retirement, she was entitled to receive any PSUs earned related to the 2018 PSU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42</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480" w:top="1165" w:right="55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Introduction of a Special Grant and Utilization of a One-Year Performance Period</w:t>
      </w:r>
    </w:p>
    <w:p>
      <w:pPr>
        <w:spacing w:after="0" w:line="121"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Even during typical business cycles, it is challenging for the Committee and its independent compensation consultant to develop three-year targets that properly incentivize the Company’s leadership. The pandemic disrupted the Committee’s normal target-setting process, making the OPMP targets set in February 2020 for the 2020-2022 PSU cycle obsolete weeks after their adoption. In response, the Committee has focused on incentivizing all PSU participants, including the executive team, to drive Company performance for the critical periods of 2021 and 2022. In light of this, the Committee made special PSU grants in February 2021 with more realistic two-year average OPMP goals. These were sized at approximately two-thirds of the 2020 grant value. These grants also include the KPI modifier feature that can increase or decrease the final payout by up to 30% based on an evaluation of pre-established objectives over the performance period.</w:t>
      </w:r>
    </w:p>
    <w:p>
      <w:pPr>
        <w:spacing w:after="0" w:line="194" w:lineRule="exact"/>
        <w:rPr>
          <w:sz w:val="20"/>
          <w:szCs w:val="20"/>
          <w:color w:val="auto"/>
        </w:rPr>
      </w:pPr>
    </w:p>
    <w:p>
      <w:pPr>
        <w:jc w:val="both"/>
        <w:ind w:right="100"/>
        <w:spacing w:after="0" w:line="232" w:lineRule="auto"/>
        <w:rPr>
          <w:sz w:val="20"/>
          <w:szCs w:val="20"/>
          <w:color w:val="auto"/>
        </w:rPr>
      </w:pPr>
      <w:r>
        <w:rPr>
          <w:rFonts w:ascii="Arial" w:cs="Arial" w:eastAsia="Arial" w:hAnsi="Arial"/>
          <w:sz w:val="15"/>
          <w:szCs w:val="15"/>
          <w:color w:val="auto"/>
        </w:rPr>
        <w:t>Similarly, while the Committee continues to believe that three-year vesting periods are an important retention feature for its PSU program, because of the difficulty in projecting a multi-year OPMP target, our regular 2021-2023 PSU grants will measure one-year OPMP performance. However, the modifier feature will continue to measure progress against objectives over a full three years, and the grants will not vest until the end of the three-year period.</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Stock Options</w:t>
      </w:r>
    </w:p>
    <w:p>
      <w:pPr>
        <w:spacing w:after="0" w:line="90"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The Committee uses stock options to align the interests of the NEOs with long-term shareholder value. Consistent with past years, these vest ratably over a four-year period.</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Restricted Stock Units</w:t>
      </w:r>
    </w:p>
    <w:p>
      <w:pPr>
        <w:spacing w:after="0" w:line="77"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The Committee uses RSUs to align the interests of the NEOs with long-term shareholder value and add balance to the compensation program as they provide both upside potential and downside risk. In addition, RSUs provide a retention incentive to the NEOs as they are only payable in stock if the NEO remains with the Company through the vesting date. The RSUs have a three-year cliff vest.</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Career Shares, Retirement and Deferred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Career Shares</w:t>
      </w:r>
    </w:p>
    <w:p>
      <w:pPr>
        <w:spacing w:after="0" w:line="77" w:lineRule="exact"/>
        <w:rPr>
          <w:sz w:val="20"/>
          <w:szCs w:val="20"/>
          <w:color w:val="auto"/>
        </w:rPr>
      </w:pPr>
    </w:p>
    <w:p>
      <w:pPr>
        <w:ind w:right="420"/>
        <w:spacing w:after="0" w:line="237" w:lineRule="auto"/>
        <w:rPr>
          <w:sz w:val="20"/>
          <w:szCs w:val="20"/>
          <w:color w:val="auto"/>
        </w:rPr>
      </w:pPr>
      <w:r>
        <w:rPr>
          <w:rFonts w:ascii="Arial" w:cs="Arial" w:eastAsia="Arial" w:hAnsi="Arial"/>
          <w:sz w:val="15"/>
          <w:szCs w:val="15"/>
          <w:color w:val="auto"/>
        </w:rPr>
        <w:t>The Committee selectively grants RSUs in order to provide a retention incentive. These career shares vest completely on a single date several years into the future. The Committee considers each year whether to make any such grants. None of the NEOs received a career share grant in 2020.</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Retirement and Deferred Compensation Plans</w:t>
      </w:r>
    </w:p>
    <w:p>
      <w:pPr>
        <w:spacing w:after="0" w:line="117" w:lineRule="exact"/>
        <w:rPr>
          <w:sz w:val="20"/>
          <w:szCs w:val="20"/>
          <w:color w:val="auto"/>
        </w:rPr>
      </w:pPr>
    </w:p>
    <w:p>
      <w:pPr>
        <w:ind w:right="80"/>
        <w:spacing w:after="0" w:line="227" w:lineRule="auto"/>
        <w:rPr>
          <w:sz w:val="20"/>
          <w:szCs w:val="20"/>
          <w:color w:val="auto"/>
        </w:rPr>
      </w:pPr>
      <w:r>
        <w:rPr>
          <w:rFonts w:ascii="Arial" w:cs="Arial" w:eastAsia="Arial" w:hAnsi="Arial"/>
          <w:sz w:val="15"/>
          <w:szCs w:val="15"/>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in their first year of employment or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43</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Other Benefits</w:t>
      </w:r>
    </w:p>
    <w:p>
      <w:pPr>
        <w:spacing w:after="0" w:line="179"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127" w:lineRule="exact"/>
        <w:rPr>
          <w:sz w:val="20"/>
          <w:szCs w:val="20"/>
          <w:color w:val="auto"/>
        </w:rPr>
      </w:pPr>
    </w:p>
    <w:p>
      <w:pPr>
        <w:ind w:right="260"/>
        <w:spacing w:after="0" w:line="232" w:lineRule="auto"/>
        <w:rPr>
          <w:sz w:val="20"/>
          <w:szCs w:val="20"/>
          <w:color w:val="auto"/>
        </w:rPr>
      </w:pPr>
      <w:r>
        <w:rPr>
          <w:rFonts w:ascii="Arial" w:cs="Arial" w:eastAsia="Arial" w:hAnsi="Arial"/>
          <w:sz w:val="15"/>
          <w:szCs w:val="15"/>
          <w:color w:val="auto"/>
        </w:rPr>
        <w:t>ManpowerGroup also reimburses NEOs for financial planning and tax preparation services as well as annual executive physicals. In addition, for some of our NEOs, the company pays dues at a club in Milwaukee that is used for business entertainment. Any personal use of the club would be covered by the executive; however, none of the NEOs used this club for personal use in 2020.</w:t>
      </w:r>
    </w:p>
    <w:p>
      <w:pPr>
        <w:spacing w:after="0" w:line="115" w:lineRule="exact"/>
        <w:rPr>
          <w:sz w:val="20"/>
          <w:szCs w:val="20"/>
          <w:color w:val="auto"/>
        </w:rPr>
      </w:pPr>
    </w:p>
    <w:p>
      <w:pPr>
        <w:ind w:right="160"/>
        <w:spacing w:after="0" w:line="230" w:lineRule="auto"/>
        <w:rPr>
          <w:sz w:val="20"/>
          <w:szCs w:val="20"/>
          <w:color w:val="auto"/>
        </w:rPr>
      </w:pPr>
      <w:r>
        <w:rPr>
          <w:rFonts w:ascii="Arial" w:cs="Arial" w:eastAsia="Arial" w:hAnsi="Arial"/>
          <w:sz w:val="15"/>
          <w:szCs w:val="15"/>
          <w:color w:val="auto"/>
        </w:rPr>
        <w:t>ManpowerGroup historically maintained a broad-based auto program covering approximately 300 management employees in the U.S., including the U.S. based NEOs. Under this program, ManpowerGroup paid 75% of the cost of a leased car for participating NEOs. Mr. Prising ceased participating in the program in 2016, and the program itself is being phased out beginning in 2020. As current leases expire, they will instead be replaced with an auto allowance, including for participating NEOs.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Severance Agreements</w:t>
      </w:r>
    </w:p>
    <w:p>
      <w:pPr>
        <w:spacing w:after="0" w:line="90"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These severance agreements are more fully described on pages 57-59.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agreements do not provide for any tax gross up payments and require a double trigger in order for our NEOs to receive benefits following a change in control.</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Governance Features of Our Executive Compensation Programs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Have Stock Ownership Guidelines for Executive Officers</w:t>
      </w:r>
    </w:p>
    <w:p>
      <w:pPr>
        <w:spacing w:after="0" w:line="77" w:lineRule="exact"/>
        <w:rPr>
          <w:sz w:val="20"/>
          <w:szCs w:val="20"/>
          <w:color w:val="auto"/>
        </w:rPr>
      </w:pPr>
    </w:p>
    <w:p>
      <w:pPr>
        <w:ind w:right="40"/>
        <w:spacing w:after="0"/>
        <w:rPr>
          <w:sz w:val="20"/>
          <w:szCs w:val="20"/>
          <w:color w:val="auto"/>
        </w:rPr>
      </w:pPr>
      <w:r>
        <w:rPr>
          <w:rFonts w:ascii="Arial" w:cs="Arial" w:eastAsia="Arial" w:hAnsi="Arial"/>
          <w:sz w:val="15"/>
          <w:szCs w:val="15"/>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RSUs, and unvested PSUs calculated at the threshold level. The Committee does not consider any stock options or PSUs above the threshold level held by the NEOs. Additionally, to enforce our stock ownership policies, we limit the ability of an executive officer to sell equity until he or she is in compliance with the guidelines. An executive who has not yet met, or who falls below, the stock ownership guidelines, is required to hold 50% of the shares received from the exercise of stock options or the vesting of RSUs or PSUs until the ownership guidelines have been satisfied. The following table shows the status as of December 31, 2020 of each of the NEOs guidelines.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20" w:type="dxa"/>
            <w:vAlign w:val="bottom"/>
            <w:shd w:val="clear" w:color="auto" w:fill="EAEAEA"/>
          </w:tcPr>
          <w:p>
            <w:pPr>
              <w:spacing w:after="0"/>
              <w:rPr>
                <w:sz w:val="15"/>
                <w:szCs w:val="15"/>
                <w:color w:val="auto"/>
              </w:rPr>
            </w:pPr>
          </w:p>
        </w:tc>
        <w:tc>
          <w:tcPr>
            <w:tcW w:w="1520" w:type="dxa"/>
            <w:vAlign w:val="bottom"/>
            <w:shd w:val="clear" w:color="auto" w:fill="EAEAEA"/>
          </w:tcPr>
          <w:p>
            <w:pPr>
              <w:jc w:val="center"/>
              <w:ind w:left="189"/>
              <w:spacing w:after="0"/>
              <w:rPr>
                <w:sz w:val="20"/>
                <w:szCs w:val="20"/>
                <w:color w:val="auto"/>
              </w:rPr>
            </w:pPr>
            <w:r>
              <w:rPr>
                <w:rFonts w:ascii="Arial" w:cs="Arial" w:eastAsia="Arial" w:hAnsi="Arial"/>
                <w:sz w:val="12"/>
                <w:szCs w:val="12"/>
                <w:b w:val="1"/>
                <w:bCs w:val="1"/>
                <w:color w:val="5D89B4"/>
              </w:rPr>
              <w:t>TARGET AS</w:t>
            </w:r>
          </w:p>
        </w:tc>
        <w:tc>
          <w:tcPr>
            <w:tcW w:w="1260" w:type="dxa"/>
            <w:vAlign w:val="bottom"/>
            <w:shd w:val="clear" w:color="auto" w:fill="EAEAEA"/>
          </w:tcPr>
          <w:p>
            <w:pPr>
              <w:spacing w:after="0"/>
              <w:rPr>
                <w:sz w:val="15"/>
                <w:szCs w:val="15"/>
                <w:color w:val="auto"/>
              </w:rPr>
            </w:pPr>
          </w:p>
        </w:tc>
        <w:tc>
          <w:tcPr>
            <w:tcW w:w="2040" w:type="dxa"/>
            <w:vAlign w:val="bottom"/>
            <w:shd w:val="clear" w:color="auto" w:fill="EAEAEA"/>
          </w:tcPr>
          <w:p>
            <w:pPr>
              <w:spacing w:after="0"/>
              <w:rPr>
                <w:sz w:val="15"/>
                <w:szCs w:val="15"/>
                <w:color w:val="auto"/>
              </w:rPr>
            </w:pPr>
          </w:p>
        </w:tc>
        <w:tc>
          <w:tcPr>
            <w:tcW w:w="1980" w:type="dxa"/>
            <w:vAlign w:val="bottom"/>
            <w:shd w:val="clear" w:color="auto" w:fill="EAEAEA"/>
          </w:tcPr>
          <w:p>
            <w:pPr>
              <w:jc w:val="right"/>
              <w:ind w:right="249"/>
              <w:spacing w:after="0"/>
              <w:rPr>
                <w:sz w:val="20"/>
                <w:szCs w:val="20"/>
                <w:color w:val="auto"/>
              </w:rPr>
            </w:pPr>
            <w:r>
              <w:rPr>
                <w:rFonts w:ascii="Arial" w:cs="Arial" w:eastAsia="Arial" w:hAnsi="Arial"/>
                <w:sz w:val="12"/>
                <w:szCs w:val="12"/>
                <w:b w:val="1"/>
                <w:bCs w:val="1"/>
                <w:color w:val="5D89B4"/>
              </w:rPr>
              <w:t>NUMBER OF</w:t>
            </w:r>
          </w:p>
        </w:tc>
        <w:tc>
          <w:tcPr>
            <w:tcW w:w="1500" w:type="dxa"/>
            <w:vAlign w:val="bottom"/>
            <w:shd w:val="clear" w:color="auto" w:fill="EAEAEA"/>
          </w:tcPr>
          <w:p>
            <w:pPr>
              <w:spacing w:after="0"/>
              <w:rPr>
                <w:sz w:val="15"/>
                <w:szCs w:val="15"/>
                <w:color w:val="auto"/>
              </w:rPr>
            </w:pPr>
          </w:p>
        </w:tc>
      </w:tr>
      <w:tr>
        <w:trPr>
          <w:trHeight w:val="134"/>
        </w:trPr>
        <w:tc>
          <w:tcPr>
            <w:tcW w:w="2620" w:type="dxa"/>
            <w:vAlign w:val="bottom"/>
            <w:shd w:val="clear" w:color="auto" w:fill="EAEAEA"/>
          </w:tcPr>
          <w:p>
            <w:pPr>
              <w:spacing w:after="0"/>
              <w:rPr>
                <w:sz w:val="11"/>
                <w:szCs w:val="11"/>
                <w:color w:val="auto"/>
              </w:rPr>
            </w:pPr>
          </w:p>
        </w:tc>
        <w:tc>
          <w:tcPr>
            <w:tcW w:w="1520" w:type="dxa"/>
            <w:vAlign w:val="bottom"/>
            <w:shd w:val="clear" w:color="auto" w:fill="EAEAEA"/>
          </w:tcPr>
          <w:p>
            <w:pPr>
              <w:jc w:val="center"/>
              <w:ind w:left="189"/>
              <w:spacing w:after="0" w:line="134" w:lineRule="exact"/>
              <w:rPr>
                <w:sz w:val="20"/>
                <w:szCs w:val="20"/>
                <w:color w:val="auto"/>
              </w:rPr>
            </w:pPr>
            <w:r>
              <w:rPr>
                <w:rFonts w:ascii="Arial" w:cs="Arial" w:eastAsia="Arial" w:hAnsi="Arial"/>
                <w:sz w:val="12"/>
                <w:szCs w:val="12"/>
                <w:b w:val="1"/>
                <w:bCs w:val="1"/>
                <w:color w:val="5D89B4"/>
              </w:rPr>
              <w:t>A MULTIPLE</w:t>
            </w:r>
          </w:p>
        </w:tc>
        <w:tc>
          <w:tcPr>
            <w:tcW w:w="1260" w:type="dxa"/>
            <w:vAlign w:val="bottom"/>
            <w:shd w:val="clear" w:color="auto" w:fill="EAEAEA"/>
          </w:tcPr>
          <w:p>
            <w:pPr>
              <w:jc w:val="right"/>
              <w:ind w:right="208"/>
              <w:spacing w:after="0" w:line="134" w:lineRule="exact"/>
              <w:rPr>
                <w:sz w:val="20"/>
                <w:szCs w:val="20"/>
                <w:color w:val="auto"/>
              </w:rPr>
            </w:pPr>
            <w:r>
              <w:rPr>
                <w:rFonts w:ascii="Arial" w:cs="Arial" w:eastAsia="Arial" w:hAnsi="Arial"/>
                <w:sz w:val="12"/>
                <w:szCs w:val="12"/>
                <w:b w:val="1"/>
                <w:bCs w:val="1"/>
                <w:color w:val="5D89B4"/>
              </w:rPr>
              <w:t>TARGET</w:t>
            </w:r>
          </w:p>
        </w:tc>
        <w:tc>
          <w:tcPr>
            <w:tcW w:w="2040" w:type="dxa"/>
            <w:vAlign w:val="bottom"/>
            <w:shd w:val="clear" w:color="auto" w:fill="EAEAEA"/>
          </w:tcPr>
          <w:p>
            <w:pPr>
              <w:jc w:val="right"/>
              <w:ind w:right="228"/>
              <w:spacing w:after="0" w:line="134" w:lineRule="exact"/>
              <w:rPr>
                <w:sz w:val="20"/>
                <w:szCs w:val="20"/>
                <w:color w:val="auto"/>
              </w:rPr>
            </w:pPr>
            <w:r>
              <w:rPr>
                <w:rFonts w:ascii="Arial" w:cs="Arial" w:eastAsia="Arial" w:hAnsi="Arial"/>
                <w:sz w:val="12"/>
                <w:szCs w:val="12"/>
                <w:b w:val="1"/>
                <w:bCs w:val="1"/>
                <w:color w:val="5D89B4"/>
              </w:rPr>
              <w:t>TARGET</w:t>
            </w:r>
          </w:p>
        </w:tc>
        <w:tc>
          <w:tcPr>
            <w:tcW w:w="1980" w:type="dxa"/>
            <w:vAlign w:val="bottom"/>
            <w:shd w:val="clear" w:color="auto" w:fill="EAEAEA"/>
          </w:tcPr>
          <w:p>
            <w:pPr>
              <w:jc w:val="right"/>
              <w:ind w:right="249"/>
              <w:spacing w:after="0" w:line="134" w:lineRule="exact"/>
              <w:rPr>
                <w:sz w:val="20"/>
                <w:szCs w:val="20"/>
                <w:color w:val="auto"/>
              </w:rPr>
            </w:pPr>
            <w:r>
              <w:rPr>
                <w:rFonts w:ascii="Arial" w:cs="Arial" w:eastAsia="Arial" w:hAnsi="Arial"/>
                <w:sz w:val="12"/>
                <w:szCs w:val="12"/>
                <w:b w:val="1"/>
                <w:bCs w:val="1"/>
                <w:color w:val="5D89B4"/>
              </w:rPr>
              <w:t>SHARES HELD AS OF</w:t>
            </w:r>
          </w:p>
        </w:tc>
        <w:tc>
          <w:tcPr>
            <w:tcW w:w="1500" w:type="dxa"/>
            <w:vAlign w:val="bottom"/>
            <w:shd w:val="clear" w:color="auto" w:fill="EAEAEA"/>
          </w:tcPr>
          <w:p>
            <w:pPr>
              <w:jc w:val="center"/>
              <w:ind w:left="193"/>
              <w:spacing w:after="0" w:line="134" w:lineRule="exact"/>
              <w:rPr>
                <w:sz w:val="20"/>
                <w:szCs w:val="20"/>
                <w:color w:val="auto"/>
              </w:rPr>
            </w:pPr>
            <w:r>
              <w:rPr>
                <w:rFonts w:ascii="Arial" w:cs="Arial" w:eastAsia="Arial" w:hAnsi="Arial"/>
                <w:sz w:val="12"/>
                <w:szCs w:val="12"/>
                <w:b w:val="1"/>
                <w:bCs w:val="1"/>
                <w:color w:val="5D89B4"/>
                <w:w w:val="99"/>
              </w:rPr>
              <w:t>STATUS AS OF</w:t>
            </w:r>
          </w:p>
        </w:tc>
      </w:tr>
      <w:tr>
        <w:trPr>
          <w:trHeight w:val="201"/>
        </w:trPr>
        <w:tc>
          <w:tcPr>
            <w:tcW w:w="26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NEO</w:t>
            </w:r>
          </w:p>
        </w:tc>
        <w:tc>
          <w:tcPr>
            <w:tcW w:w="1520" w:type="dxa"/>
            <w:vAlign w:val="bottom"/>
            <w:tcBorders>
              <w:bottom w:val="single" w:sz="8" w:color="EAEAEA"/>
            </w:tcBorders>
            <w:shd w:val="clear" w:color="auto" w:fill="EAEAEA"/>
          </w:tcPr>
          <w:p>
            <w:pPr>
              <w:jc w:val="center"/>
              <w:ind w:left="169"/>
              <w:spacing w:after="0"/>
              <w:rPr>
                <w:sz w:val="20"/>
                <w:szCs w:val="20"/>
                <w:color w:val="auto"/>
              </w:rPr>
            </w:pPr>
            <w:r>
              <w:rPr>
                <w:rFonts w:ascii="Arial" w:cs="Arial" w:eastAsia="Arial" w:hAnsi="Arial"/>
                <w:sz w:val="12"/>
                <w:szCs w:val="12"/>
                <w:b w:val="1"/>
                <w:bCs w:val="1"/>
                <w:color w:val="5D89B4"/>
              </w:rPr>
              <w:t>OF SALARY</w:t>
            </w:r>
          </w:p>
        </w:tc>
        <w:tc>
          <w:tcPr>
            <w:tcW w:w="1260" w:type="dxa"/>
            <w:vAlign w:val="bottom"/>
            <w:tcBorders>
              <w:bottom w:val="single" w:sz="8" w:color="EAEAEA"/>
            </w:tcBorders>
            <w:shd w:val="clear" w:color="auto" w:fill="EAEAEA"/>
          </w:tcPr>
          <w:p>
            <w:pPr>
              <w:jc w:val="right"/>
              <w:ind w:right="208"/>
              <w:spacing w:after="0"/>
              <w:rPr>
                <w:sz w:val="20"/>
                <w:szCs w:val="20"/>
                <w:color w:val="auto"/>
              </w:rPr>
            </w:pPr>
            <w:r>
              <w:rPr>
                <w:rFonts w:ascii="Arial" w:cs="Arial" w:eastAsia="Arial" w:hAnsi="Arial"/>
                <w:sz w:val="12"/>
                <w:szCs w:val="12"/>
                <w:b w:val="1"/>
                <w:bCs w:val="1"/>
                <w:color w:val="5D89B4"/>
              </w:rPr>
              <w:t>VALUE($)(1)</w:t>
            </w:r>
          </w:p>
        </w:tc>
        <w:tc>
          <w:tcPr>
            <w:tcW w:w="2040" w:type="dxa"/>
            <w:vAlign w:val="bottom"/>
            <w:tcBorders>
              <w:bottom w:val="single" w:sz="8" w:color="EAEAEA"/>
            </w:tcBorders>
            <w:shd w:val="clear" w:color="auto" w:fill="EAEAEA"/>
          </w:tcPr>
          <w:p>
            <w:pPr>
              <w:jc w:val="right"/>
              <w:ind w:right="228"/>
              <w:spacing w:after="0"/>
              <w:rPr>
                <w:sz w:val="20"/>
                <w:szCs w:val="20"/>
                <w:color w:val="auto"/>
              </w:rPr>
            </w:pPr>
            <w:r>
              <w:rPr>
                <w:rFonts w:ascii="Arial" w:cs="Arial" w:eastAsia="Arial" w:hAnsi="Arial"/>
                <w:sz w:val="12"/>
                <w:szCs w:val="12"/>
                <w:b w:val="1"/>
                <w:bCs w:val="1"/>
                <w:color w:val="5D89B4"/>
              </w:rPr>
              <w:t>NUMBER OF SHARES(#)</w:t>
            </w:r>
          </w:p>
        </w:tc>
        <w:tc>
          <w:tcPr>
            <w:tcW w:w="1980" w:type="dxa"/>
            <w:vAlign w:val="bottom"/>
            <w:tcBorders>
              <w:bottom w:val="single" w:sz="8" w:color="EAEAEA"/>
            </w:tcBorders>
            <w:shd w:val="clear" w:color="auto" w:fill="EAEAEA"/>
          </w:tcPr>
          <w:p>
            <w:pPr>
              <w:jc w:val="right"/>
              <w:ind w:right="249"/>
              <w:spacing w:after="0"/>
              <w:rPr>
                <w:sz w:val="20"/>
                <w:szCs w:val="20"/>
                <w:color w:val="auto"/>
              </w:rPr>
            </w:pPr>
            <w:r>
              <w:rPr>
                <w:rFonts w:ascii="Arial" w:cs="Arial" w:eastAsia="Arial" w:hAnsi="Arial"/>
                <w:sz w:val="12"/>
                <w:szCs w:val="12"/>
                <w:b w:val="1"/>
                <w:bCs w:val="1"/>
                <w:color w:val="5D89B4"/>
              </w:rPr>
              <w:t>DECEMBER 31, 2020(#)</w:t>
            </w:r>
          </w:p>
        </w:tc>
        <w:tc>
          <w:tcPr>
            <w:tcW w:w="1500" w:type="dxa"/>
            <w:vAlign w:val="bottom"/>
            <w:tcBorders>
              <w:bottom w:val="single" w:sz="8" w:color="EAEAEA"/>
            </w:tcBorders>
            <w:shd w:val="clear" w:color="auto" w:fill="EAEAEA"/>
          </w:tcPr>
          <w:p>
            <w:pPr>
              <w:jc w:val="center"/>
              <w:ind w:left="193"/>
              <w:spacing w:after="0"/>
              <w:rPr>
                <w:sz w:val="20"/>
                <w:szCs w:val="20"/>
                <w:color w:val="auto"/>
              </w:rPr>
            </w:pPr>
            <w:r>
              <w:rPr>
                <w:rFonts w:ascii="Arial" w:cs="Arial" w:eastAsia="Arial" w:hAnsi="Arial"/>
                <w:sz w:val="12"/>
                <w:szCs w:val="12"/>
                <w:b w:val="1"/>
                <w:bCs w:val="1"/>
                <w:color w:val="5D89B4"/>
              </w:rPr>
              <w:t>DECEMBER 31, 2020</w:t>
            </w:r>
          </w:p>
        </w:tc>
      </w:tr>
      <w:tr>
        <w:trPr>
          <w:trHeight w:val="245"/>
        </w:trPr>
        <w:tc>
          <w:tcPr>
            <w:tcW w:w="262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520" w:type="dxa"/>
            <w:vAlign w:val="bottom"/>
          </w:tcPr>
          <w:p>
            <w:pPr>
              <w:jc w:val="center"/>
              <w:ind w:left="169"/>
              <w:spacing w:after="0"/>
              <w:rPr>
                <w:sz w:val="20"/>
                <w:szCs w:val="20"/>
                <w:color w:val="auto"/>
              </w:rPr>
            </w:pPr>
            <w:r>
              <w:rPr>
                <w:rFonts w:ascii="Arial" w:cs="Arial" w:eastAsia="Arial" w:hAnsi="Arial"/>
                <w:sz w:val="15"/>
                <w:szCs w:val="15"/>
                <w:color w:val="auto"/>
                <w:w w:val="95"/>
              </w:rPr>
              <w:t>6</w:t>
            </w:r>
          </w:p>
        </w:tc>
        <w:tc>
          <w:tcPr>
            <w:tcW w:w="1260" w:type="dxa"/>
            <w:vAlign w:val="bottom"/>
          </w:tcPr>
          <w:p>
            <w:pPr>
              <w:jc w:val="right"/>
              <w:ind w:right="208"/>
              <w:spacing w:after="0"/>
              <w:rPr>
                <w:sz w:val="20"/>
                <w:szCs w:val="20"/>
                <w:color w:val="auto"/>
              </w:rPr>
            </w:pPr>
            <w:r>
              <w:rPr>
                <w:rFonts w:ascii="Arial" w:cs="Arial" w:eastAsia="Arial" w:hAnsi="Arial"/>
                <w:sz w:val="15"/>
                <w:szCs w:val="15"/>
                <w:color w:val="auto"/>
              </w:rPr>
              <w:t>6,600,000</w:t>
            </w:r>
          </w:p>
        </w:tc>
        <w:tc>
          <w:tcPr>
            <w:tcW w:w="2040" w:type="dxa"/>
            <w:vAlign w:val="bottom"/>
          </w:tcPr>
          <w:p>
            <w:pPr>
              <w:jc w:val="right"/>
              <w:ind w:right="228"/>
              <w:spacing w:after="0"/>
              <w:rPr>
                <w:sz w:val="20"/>
                <w:szCs w:val="20"/>
                <w:color w:val="auto"/>
              </w:rPr>
            </w:pPr>
            <w:r>
              <w:rPr>
                <w:rFonts w:ascii="Arial" w:cs="Arial" w:eastAsia="Arial" w:hAnsi="Arial"/>
                <w:sz w:val="15"/>
                <w:szCs w:val="15"/>
                <w:color w:val="auto"/>
              </w:rPr>
              <w:t>94,011</w:t>
            </w:r>
          </w:p>
        </w:tc>
        <w:tc>
          <w:tcPr>
            <w:tcW w:w="1980" w:type="dxa"/>
            <w:vAlign w:val="bottom"/>
          </w:tcPr>
          <w:p>
            <w:pPr>
              <w:jc w:val="right"/>
              <w:ind w:right="249"/>
              <w:spacing w:after="0"/>
              <w:rPr>
                <w:sz w:val="20"/>
                <w:szCs w:val="20"/>
                <w:color w:val="auto"/>
              </w:rPr>
            </w:pPr>
            <w:r>
              <w:rPr>
                <w:rFonts w:ascii="Arial" w:cs="Arial" w:eastAsia="Arial" w:hAnsi="Arial"/>
                <w:sz w:val="15"/>
                <w:szCs w:val="15"/>
                <w:color w:val="auto"/>
              </w:rPr>
              <w:t>359,185</w:t>
            </w:r>
          </w:p>
        </w:tc>
        <w:tc>
          <w:tcPr>
            <w:tcW w:w="1500" w:type="dxa"/>
            <w:vAlign w:val="bottom"/>
          </w:tcPr>
          <w:p>
            <w:pPr>
              <w:spacing w:after="0"/>
              <w:rPr>
                <w:sz w:val="21"/>
                <w:szCs w:val="21"/>
                <w:color w:val="auto"/>
              </w:rPr>
            </w:pPr>
          </w:p>
        </w:tc>
      </w:tr>
      <w:tr>
        <w:trPr>
          <w:trHeight w:val="50"/>
        </w:trPr>
        <w:tc>
          <w:tcPr>
            <w:tcW w:w="26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r>
      <w:tr>
        <w:trPr>
          <w:trHeight w:val="225"/>
        </w:trPr>
        <w:tc>
          <w:tcPr>
            <w:tcW w:w="2620" w:type="dxa"/>
            <w:vAlign w:val="bottom"/>
          </w:tcPr>
          <w:p>
            <w:pPr>
              <w:ind w:left="80"/>
              <w:spacing w:after="0"/>
              <w:rPr>
                <w:sz w:val="20"/>
                <w:szCs w:val="20"/>
                <w:color w:val="auto"/>
              </w:rPr>
            </w:pPr>
            <w:r>
              <w:rPr>
                <w:rFonts w:ascii="Arial" w:cs="Arial" w:eastAsia="Arial" w:hAnsi="Arial"/>
                <w:sz w:val="14"/>
                <w:szCs w:val="14"/>
                <w:b w:val="1"/>
                <w:bCs w:val="1"/>
                <w:color w:val="auto"/>
              </w:rPr>
              <w:t>John T. McGinnis(2)</w:t>
            </w:r>
          </w:p>
        </w:tc>
        <w:tc>
          <w:tcPr>
            <w:tcW w:w="1520" w:type="dxa"/>
            <w:vAlign w:val="bottom"/>
          </w:tcPr>
          <w:p>
            <w:pPr>
              <w:jc w:val="center"/>
              <w:ind w:left="169"/>
              <w:spacing w:after="0"/>
              <w:rPr>
                <w:sz w:val="20"/>
                <w:szCs w:val="20"/>
                <w:color w:val="auto"/>
              </w:rPr>
            </w:pPr>
            <w:r>
              <w:rPr>
                <w:rFonts w:ascii="Arial" w:cs="Arial" w:eastAsia="Arial" w:hAnsi="Arial"/>
                <w:sz w:val="15"/>
                <w:szCs w:val="15"/>
                <w:color w:val="auto"/>
                <w:w w:val="95"/>
              </w:rPr>
              <w:t>4</w:t>
            </w:r>
          </w:p>
        </w:tc>
        <w:tc>
          <w:tcPr>
            <w:tcW w:w="1260" w:type="dxa"/>
            <w:vAlign w:val="bottom"/>
          </w:tcPr>
          <w:p>
            <w:pPr>
              <w:jc w:val="right"/>
              <w:ind w:right="208"/>
              <w:spacing w:after="0"/>
              <w:rPr>
                <w:sz w:val="20"/>
                <w:szCs w:val="20"/>
                <w:color w:val="auto"/>
              </w:rPr>
            </w:pPr>
            <w:r>
              <w:rPr>
                <w:rFonts w:ascii="Arial" w:cs="Arial" w:eastAsia="Arial" w:hAnsi="Arial"/>
                <w:sz w:val="15"/>
                <w:szCs w:val="15"/>
                <w:color w:val="auto"/>
              </w:rPr>
              <w:t>2,400,000</w:t>
            </w:r>
          </w:p>
        </w:tc>
        <w:tc>
          <w:tcPr>
            <w:tcW w:w="2040" w:type="dxa"/>
            <w:vAlign w:val="bottom"/>
          </w:tcPr>
          <w:p>
            <w:pPr>
              <w:jc w:val="right"/>
              <w:ind w:right="228"/>
              <w:spacing w:after="0"/>
              <w:rPr>
                <w:sz w:val="20"/>
                <w:szCs w:val="20"/>
                <w:color w:val="auto"/>
              </w:rPr>
            </w:pPr>
            <w:r>
              <w:rPr>
                <w:rFonts w:ascii="Arial" w:cs="Arial" w:eastAsia="Arial" w:hAnsi="Arial"/>
                <w:sz w:val="15"/>
                <w:szCs w:val="15"/>
                <w:color w:val="auto"/>
              </w:rPr>
              <w:t>32,994</w:t>
            </w:r>
          </w:p>
        </w:tc>
        <w:tc>
          <w:tcPr>
            <w:tcW w:w="1980" w:type="dxa"/>
            <w:vAlign w:val="bottom"/>
          </w:tcPr>
          <w:p>
            <w:pPr>
              <w:jc w:val="right"/>
              <w:ind w:right="249"/>
              <w:spacing w:after="0"/>
              <w:rPr>
                <w:sz w:val="20"/>
                <w:szCs w:val="20"/>
                <w:color w:val="auto"/>
              </w:rPr>
            </w:pPr>
            <w:r>
              <w:rPr>
                <w:rFonts w:ascii="Arial" w:cs="Arial" w:eastAsia="Arial" w:hAnsi="Arial"/>
                <w:sz w:val="15"/>
                <w:szCs w:val="15"/>
                <w:color w:val="auto"/>
              </w:rPr>
              <w:t>56,265</w:t>
            </w:r>
          </w:p>
        </w:tc>
        <w:tc>
          <w:tcPr>
            <w:tcW w:w="1500" w:type="dxa"/>
            <w:vAlign w:val="bottom"/>
          </w:tcPr>
          <w:p>
            <w:pPr>
              <w:spacing w:after="0"/>
              <w:rPr>
                <w:sz w:val="19"/>
                <w:szCs w:val="19"/>
                <w:color w:val="auto"/>
              </w:rPr>
            </w:pPr>
          </w:p>
        </w:tc>
      </w:tr>
      <w:tr>
        <w:trPr>
          <w:trHeight w:val="50"/>
        </w:trPr>
        <w:tc>
          <w:tcPr>
            <w:tcW w:w="26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r>
      <w:tr>
        <w:trPr>
          <w:trHeight w:val="225"/>
        </w:trPr>
        <w:tc>
          <w:tcPr>
            <w:tcW w:w="2620" w:type="dxa"/>
            <w:vAlign w:val="bottom"/>
          </w:tcPr>
          <w:p>
            <w:pPr>
              <w:ind w:left="80"/>
              <w:spacing w:after="0"/>
              <w:rPr>
                <w:sz w:val="20"/>
                <w:szCs w:val="20"/>
                <w:color w:val="auto"/>
              </w:rPr>
            </w:pPr>
            <w:r>
              <w:rPr>
                <w:rFonts w:ascii="Arial" w:cs="Arial" w:eastAsia="Arial" w:hAnsi="Arial"/>
                <w:sz w:val="14"/>
                <w:szCs w:val="14"/>
                <w:b w:val="1"/>
                <w:bCs w:val="1"/>
                <w:color w:val="auto"/>
              </w:rPr>
              <w:t>Michelle S. Nettles(2)</w:t>
            </w:r>
          </w:p>
        </w:tc>
        <w:tc>
          <w:tcPr>
            <w:tcW w:w="1520" w:type="dxa"/>
            <w:vAlign w:val="bottom"/>
          </w:tcPr>
          <w:p>
            <w:pPr>
              <w:jc w:val="center"/>
              <w:ind w:left="169"/>
              <w:spacing w:after="0"/>
              <w:rPr>
                <w:sz w:val="20"/>
                <w:szCs w:val="20"/>
                <w:color w:val="auto"/>
              </w:rPr>
            </w:pPr>
            <w:r>
              <w:rPr>
                <w:rFonts w:ascii="Arial" w:cs="Arial" w:eastAsia="Arial" w:hAnsi="Arial"/>
                <w:sz w:val="15"/>
                <w:szCs w:val="15"/>
                <w:color w:val="auto"/>
                <w:w w:val="95"/>
              </w:rPr>
              <w:t>3</w:t>
            </w:r>
          </w:p>
        </w:tc>
        <w:tc>
          <w:tcPr>
            <w:tcW w:w="1260" w:type="dxa"/>
            <w:vAlign w:val="bottom"/>
          </w:tcPr>
          <w:p>
            <w:pPr>
              <w:jc w:val="right"/>
              <w:ind w:right="208"/>
              <w:spacing w:after="0"/>
              <w:rPr>
                <w:sz w:val="20"/>
                <w:szCs w:val="20"/>
                <w:color w:val="auto"/>
              </w:rPr>
            </w:pPr>
            <w:r>
              <w:rPr>
                <w:rFonts w:ascii="Arial" w:cs="Arial" w:eastAsia="Arial" w:hAnsi="Arial"/>
                <w:sz w:val="15"/>
                <w:szCs w:val="15"/>
                <w:color w:val="auto"/>
              </w:rPr>
              <w:t>1,650,000</w:t>
            </w:r>
          </w:p>
        </w:tc>
        <w:tc>
          <w:tcPr>
            <w:tcW w:w="2040" w:type="dxa"/>
            <w:vAlign w:val="bottom"/>
          </w:tcPr>
          <w:p>
            <w:pPr>
              <w:jc w:val="right"/>
              <w:ind w:right="228"/>
              <w:spacing w:after="0"/>
              <w:rPr>
                <w:sz w:val="20"/>
                <w:szCs w:val="20"/>
                <w:color w:val="auto"/>
              </w:rPr>
            </w:pPr>
            <w:r>
              <w:rPr>
                <w:rFonts w:ascii="Arial" w:cs="Arial" w:eastAsia="Arial" w:hAnsi="Arial"/>
                <w:sz w:val="15"/>
                <w:szCs w:val="15"/>
                <w:color w:val="auto"/>
              </w:rPr>
              <w:t>22,968</w:t>
            </w:r>
          </w:p>
        </w:tc>
        <w:tc>
          <w:tcPr>
            <w:tcW w:w="1980" w:type="dxa"/>
            <w:vAlign w:val="bottom"/>
          </w:tcPr>
          <w:p>
            <w:pPr>
              <w:jc w:val="right"/>
              <w:ind w:right="249"/>
              <w:spacing w:after="0"/>
              <w:rPr>
                <w:sz w:val="20"/>
                <w:szCs w:val="20"/>
                <w:color w:val="auto"/>
              </w:rPr>
            </w:pPr>
            <w:r>
              <w:rPr>
                <w:rFonts w:ascii="Arial" w:cs="Arial" w:eastAsia="Arial" w:hAnsi="Arial"/>
                <w:sz w:val="15"/>
                <w:szCs w:val="15"/>
                <w:color w:val="auto"/>
              </w:rPr>
              <w:t>23,115</w:t>
            </w:r>
          </w:p>
        </w:tc>
        <w:tc>
          <w:tcPr>
            <w:tcW w:w="1500" w:type="dxa"/>
            <w:vAlign w:val="bottom"/>
          </w:tcPr>
          <w:p>
            <w:pPr>
              <w:spacing w:after="0"/>
              <w:rPr>
                <w:sz w:val="19"/>
                <w:szCs w:val="19"/>
                <w:color w:val="auto"/>
              </w:rPr>
            </w:pPr>
          </w:p>
        </w:tc>
      </w:tr>
      <w:tr>
        <w:trPr>
          <w:trHeight w:val="50"/>
        </w:trPr>
        <w:tc>
          <w:tcPr>
            <w:tcW w:w="26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r>
      <w:tr>
        <w:trPr>
          <w:trHeight w:val="225"/>
        </w:trPr>
        <w:tc>
          <w:tcPr>
            <w:tcW w:w="262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520" w:type="dxa"/>
            <w:vAlign w:val="bottom"/>
          </w:tcPr>
          <w:p>
            <w:pPr>
              <w:jc w:val="center"/>
              <w:ind w:left="169"/>
              <w:spacing w:after="0"/>
              <w:rPr>
                <w:sz w:val="20"/>
                <w:szCs w:val="20"/>
                <w:color w:val="auto"/>
              </w:rPr>
            </w:pPr>
            <w:r>
              <w:rPr>
                <w:rFonts w:ascii="Arial" w:cs="Arial" w:eastAsia="Arial" w:hAnsi="Arial"/>
                <w:sz w:val="15"/>
                <w:szCs w:val="15"/>
                <w:color w:val="auto"/>
                <w:w w:val="95"/>
              </w:rPr>
              <w:t>2</w:t>
            </w:r>
          </w:p>
        </w:tc>
        <w:tc>
          <w:tcPr>
            <w:tcW w:w="1260" w:type="dxa"/>
            <w:vAlign w:val="bottom"/>
          </w:tcPr>
          <w:p>
            <w:pPr>
              <w:jc w:val="right"/>
              <w:ind w:right="208"/>
              <w:spacing w:after="0"/>
              <w:rPr>
                <w:sz w:val="20"/>
                <w:szCs w:val="20"/>
                <w:color w:val="auto"/>
              </w:rPr>
            </w:pPr>
            <w:r>
              <w:rPr>
                <w:rFonts w:ascii="Arial" w:cs="Arial" w:eastAsia="Arial" w:hAnsi="Arial"/>
                <w:sz w:val="15"/>
                <w:szCs w:val="15"/>
                <w:color w:val="auto"/>
              </w:rPr>
              <w:t>910,000</w:t>
            </w:r>
          </w:p>
        </w:tc>
        <w:tc>
          <w:tcPr>
            <w:tcW w:w="2040" w:type="dxa"/>
            <w:vAlign w:val="bottom"/>
          </w:tcPr>
          <w:p>
            <w:pPr>
              <w:jc w:val="right"/>
              <w:ind w:right="228"/>
              <w:spacing w:after="0"/>
              <w:rPr>
                <w:sz w:val="20"/>
                <w:szCs w:val="20"/>
                <w:color w:val="auto"/>
              </w:rPr>
            </w:pPr>
            <w:r>
              <w:rPr>
                <w:rFonts w:ascii="Arial" w:cs="Arial" w:eastAsia="Arial" w:hAnsi="Arial"/>
                <w:sz w:val="15"/>
                <w:szCs w:val="15"/>
                <w:color w:val="auto"/>
              </w:rPr>
              <w:t>12,962</w:t>
            </w:r>
          </w:p>
        </w:tc>
        <w:tc>
          <w:tcPr>
            <w:tcW w:w="1980" w:type="dxa"/>
            <w:vAlign w:val="bottom"/>
          </w:tcPr>
          <w:p>
            <w:pPr>
              <w:jc w:val="right"/>
              <w:ind w:right="249"/>
              <w:spacing w:after="0"/>
              <w:rPr>
                <w:sz w:val="20"/>
                <w:szCs w:val="20"/>
                <w:color w:val="auto"/>
              </w:rPr>
            </w:pPr>
            <w:r>
              <w:rPr>
                <w:rFonts w:ascii="Arial" w:cs="Arial" w:eastAsia="Arial" w:hAnsi="Arial"/>
                <w:sz w:val="15"/>
                <w:szCs w:val="15"/>
                <w:color w:val="auto"/>
              </w:rPr>
              <w:t>18,981</w:t>
            </w:r>
          </w:p>
        </w:tc>
        <w:tc>
          <w:tcPr>
            <w:tcW w:w="1500" w:type="dxa"/>
            <w:vAlign w:val="bottom"/>
          </w:tcPr>
          <w:p>
            <w:pPr>
              <w:spacing w:after="0"/>
              <w:rPr>
                <w:sz w:val="19"/>
                <w:szCs w:val="19"/>
                <w:color w:val="auto"/>
              </w:rPr>
            </w:pPr>
          </w:p>
        </w:tc>
      </w:tr>
      <w:tr>
        <w:trPr>
          <w:trHeight w:val="50"/>
        </w:trPr>
        <w:tc>
          <w:tcPr>
            <w:tcW w:w="26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r>
      <w:tr>
        <w:trPr>
          <w:trHeight w:val="225"/>
        </w:trPr>
        <w:tc>
          <w:tcPr>
            <w:tcW w:w="2620" w:type="dxa"/>
            <w:vAlign w:val="bottom"/>
          </w:tcPr>
          <w:p>
            <w:pPr>
              <w:ind w:left="80"/>
              <w:spacing w:after="0"/>
              <w:rPr>
                <w:sz w:val="20"/>
                <w:szCs w:val="20"/>
                <w:color w:val="auto"/>
              </w:rPr>
            </w:pPr>
            <w:r>
              <w:rPr>
                <w:rFonts w:ascii="Arial" w:cs="Arial" w:eastAsia="Arial" w:hAnsi="Arial"/>
                <w:sz w:val="14"/>
                <w:szCs w:val="14"/>
                <w:b w:val="1"/>
                <w:bCs w:val="1"/>
                <w:color w:val="auto"/>
              </w:rPr>
              <w:t>Mara E. Swan(3)</w:t>
            </w:r>
          </w:p>
        </w:tc>
        <w:tc>
          <w:tcPr>
            <w:tcW w:w="1520" w:type="dxa"/>
            <w:vAlign w:val="bottom"/>
          </w:tcPr>
          <w:p>
            <w:pPr>
              <w:jc w:val="center"/>
              <w:ind w:left="169"/>
              <w:spacing w:after="0"/>
              <w:rPr>
                <w:sz w:val="20"/>
                <w:szCs w:val="20"/>
                <w:color w:val="auto"/>
              </w:rPr>
            </w:pPr>
            <w:r>
              <w:rPr>
                <w:rFonts w:ascii="Arial" w:cs="Arial" w:eastAsia="Arial" w:hAnsi="Arial"/>
                <w:sz w:val="15"/>
                <w:szCs w:val="15"/>
                <w:color w:val="auto"/>
                <w:w w:val="95"/>
              </w:rPr>
              <w:t>3</w:t>
            </w:r>
          </w:p>
        </w:tc>
        <w:tc>
          <w:tcPr>
            <w:tcW w:w="1260" w:type="dxa"/>
            <w:vAlign w:val="bottom"/>
          </w:tcPr>
          <w:p>
            <w:pPr>
              <w:jc w:val="right"/>
              <w:ind w:right="208"/>
              <w:spacing w:after="0"/>
              <w:rPr>
                <w:sz w:val="20"/>
                <w:szCs w:val="20"/>
                <w:color w:val="auto"/>
              </w:rPr>
            </w:pPr>
            <w:r>
              <w:rPr>
                <w:rFonts w:ascii="Arial" w:cs="Arial" w:eastAsia="Arial" w:hAnsi="Arial"/>
                <w:sz w:val="15"/>
                <w:szCs w:val="15"/>
                <w:color w:val="auto"/>
              </w:rPr>
              <w:t>1,680,000</w:t>
            </w:r>
          </w:p>
        </w:tc>
        <w:tc>
          <w:tcPr>
            <w:tcW w:w="2040" w:type="dxa"/>
            <w:vAlign w:val="bottom"/>
          </w:tcPr>
          <w:p>
            <w:pPr>
              <w:jc w:val="right"/>
              <w:ind w:right="228"/>
              <w:spacing w:after="0"/>
              <w:rPr>
                <w:sz w:val="20"/>
                <w:szCs w:val="20"/>
                <w:color w:val="auto"/>
              </w:rPr>
            </w:pPr>
            <w:r>
              <w:rPr>
                <w:rFonts w:ascii="Arial" w:cs="Arial" w:eastAsia="Arial" w:hAnsi="Arial"/>
                <w:sz w:val="15"/>
                <w:szCs w:val="15"/>
                <w:color w:val="auto"/>
              </w:rPr>
              <w:t>23,931</w:t>
            </w:r>
          </w:p>
        </w:tc>
        <w:tc>
          <w:tcPr>
            <w:tcW w:w="1980" w:type="dxa"/>
            <w:vAlign w:val="bottom"/>
          </w:tcPr>
          <w:p>
            <w:pPr>
              <w:jc w:val="right"/>
              <w:ind w:right="189"/>
              <w:spacing w:after="0"/>
              <w:rPr>
                <w:sz w:val="20"/>
                <w:szCs w:val="20"/>
                <w:color w:val="auto"/>
              </w:rPr>
            </w:pPr>
            <w:r>
              <w:rPr>
                <w:rFonts w:ascii="Arial" w:cs="Arial" w:eastAsia="Arial" w:hAnsi="Arial"/>
                <w:sz w:val="15"/>
                <w:szCs w:val="15"/>
                <w:color w:val="auto"/>
              </w:rPr>
              <w:t>(3)</w:t>
            </w:r>
          </w:p>
        </w:tc>
        <w:tc>
          <w:tcPr>
            <w:tcW w:w="1500" w:type="dxa"/>
            <w:vAlign w:val="bottom"/>
          </w:tcPr>
          <w:p>
            <w:pPr>
              <w:jc w:val="center"/>
              <w:ind w:left="193"/>
              <w:spacing w:after="0"/>
              <w:rPr>
                <w:sz w:val="20"/>
                <w:szCs w:val="20"/>
                <w:color w:val="auto"/>
              </w:rPr>
            </w:pPr>
            <w:r>
              <w:rPr>
                <w:rFonts w:ascii="Arial" w:cs="Arial" w:eastAsia="Arial" w:hAnsi="Arial"/>
                <w:sz w:val="15"/>
                <w:szCs w:val="15"/>
                <w:color w:val="auto"/>
              </w:rPr>
              <w:t>(3)</w:t>
            </w:r>
          </w:p>
        </w:tc>
      </w:tr>
      <w:tr>
        <w:trPr>
          <w:trHeight w:val="50"/>
        </w:trPr>
        <w:tc>
          <w:tcPr>
            <w:tcW w:w="26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6518275</wp:posOffset>
            </wp:positionH>
            <wp:positionV relativeFrom="paragraph">
              <wp:posOffset>-857250</wp:posOffset>
            </wp:positionV>
            <wp:extent cx="50800" cy="596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-670560</wp:posOffset>
            </wp:positionV>
            <wp:extent cx="50800" cy="596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-483235</wp:posOffset>
            </wp:positionV>
            <wp:extent cx="50800" cy="596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-296545</wp:posOffset>
            </wp:positionV>
            <wp:extent cx="50800" cy="596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105" w:lineRule="exact"/>
        <w:rPr>
          <w:sz w:val="20"/>
          <w:szCs w:val="20"/>
          <w:color w:val="auto"/>
        </w:rPr>
      </w:pPr>
    </w:p>
    <w:p>
      <w:pPr>
        <w:ind w:left="440" w:right="160" w:hanging="433"/>
        <w:spacing w:after="0" w:line="254" w:lineRule="auto"/>
        <w:tabs>
          <w:tab w:leader="none" w:pos="4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and Ms. Nettles. Under the policy, executive officers have five years from January 1, 2014 to attain the targeted ownership levels or five years from date of hire for executive officers that were hired after January 1, 2014.</w:t>
      </w:r>
    </w:p>
    <w:p>
      <w:pPr>
        <w:spacing w:after="0" w:line="47" w:lineRule="exact"/>
        <w:rPr>
          <w:rFonts w:ascii="Arial" w:cs="Arial" w:eastAsia="Arial" w:hAnsi="Arial"/>
          <w:sz w:val="14"/>
          <w:szCs w:val="14"/>
          <w:color w:val="auto"/>
        </w:rPr>
      </w:pPr>
    </w:p>
    <w:p>
      <w:pPr>
        <w:ind w:left="440" w:hanging="433"/>
        <w:spacing w:after="0"/>
        <w:tabs>
          <w:tab w:leader="none" w:pos="4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target values for Mr. McGinnis and Ms. Nettles are based on each of their base salaries and stock price on their dates of hire.</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Ms. Swan remained in compliance with her stock ownership guidelines through March 7, 2020, the effective date of her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44</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Have a Clawback Policy</w:t>
      </w:r>
    </w:p>
    <w:p>
      <w:pPr>
        <w:spacing w:after="0" w:line="117"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Prohibit Hedging, Pledging and Short-Sale Transactions</w:t>
      </w:r>
    </w:p>
    <w:p>
      <w:pPr>
        <w:spacing w:after="0" w:line="117" w:lineRule="exact"/>
        <w:rPr>
          <w:sz w:val="20"/>
          <w:szCs w:val="20"/>
          <w:color w:val="auto"/>
        </w:rPr>
      </w:pPr>
    </w:p>
    <w:p>
      <w:pPr>
        <w:ind w:right="120"/>
        <w:spacing w:after="0" w:line="229" w:lineRule="auto"/>
        <w:rPr>
          <w:sz w:val="20"/>
          <w:szCs w:val="20"/>
          <w:color w:val="auto"/>
        </w:rPr>
      </w:pPr>
      <w:r>
        <w:rPr>
          <w:rFonts w:ascii="Arial" w:cs="Arial" w:eastAsia="Arial" w:hAnsi="Arial"/>
          <w:sz w:val="15"/>
          <w:szCs w:val="15"/>
          <w:color w:val="auto"/>
        </w:rPr>
        <w:t>Under ManpowerGroup’s Insider Trading Policy, all directors, officers and employees of the Company and their respective household members (collectively,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 as collateral for a loan.</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Realizable Pay in 2020</w:t>
      </w:r>
    </w:p>
    <w:p>
      <w:pPr>
        <w:spacing w:after="0" w:line="139" w:lineRule="exact"/>
        <w:rPr>
          <w:sz w:val="20"/>
          <w:szCs w:val="20"/>
          <w:color w:val="auto"/>
        </w:rPr>
      </w:pPr>
    </w:p>
    <w:p>
      <w:pPr>
        <w:ind w:right="340"/>
        <w:spacing w:after="0" w:line="232" w:lineRule="auto"/>
        <w:rPr>
          <w:sz w:val="20"/>
          <w:szCs w:val="20"/>
          <w:color w:val="auto"/>
        </w:rPr>
      </w:pPr>
      <w:r>
        <w:rPr>
          <w:rFonts w:ascii="Arial" w:cs="Arial" w:eastAsia="Arial" w:hAnsi="Arial"/>
          <w:sz w:val="15"/>
          <w:szCs w:val="15"/>
          <w:color w:val="auto"/>
        </w:rPr>
        <w:t>Due to the limitations of the Summary Compensation Table rules, we also provide a realizable pay calculation for Mr. Prising. This is a measure of the value of compensation granted or awarded during the reporting year. It shows the year-end value of the CEO’s compensation package, as impacted by Company performance and stock price changes during the year, and is different from the Summary Compensation Table on page 48.</w:t>
      </w:r>
    </w:p>
    <w:p>
      <w:pPr>
        <w:spacing w:after="0" w:line="128"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In particular, our calculation of realizable pay does not value equity awards using the accounting grant date fair value metric, as required in the Summary Compensation Table under Topic 718. Instead, for realizable pay we measure equity awards at their period-end value, in this case using the year-end stock price on December 31, 2020 of $90.18.</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For realizable pay our method of calculating equity award values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6929755" cy="12312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29755" cy="123126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p>
      <w:pPr>
        <w:spacing w:after="0" w:line="33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5D89B4"/>
        </w:rPr>
        <w:t>Stock Options</w:t>
      </w:r>
    </w:p>
    <w:p>
      <w:pPr>
        <w:spacing w:after="0" w:line="13" w:lineRule="exact"/>
        <w:rPr>
          <w:sz w:val="20"/>
          <w:szCs w:val="20"/>
          <w:color w:val="auto"/>
        </w:rPr>
      </w:pPr>
    </w:p>
    <w:p>
      <w:pPr>
        <w:ind w:left="360" w:right="560"/>
        <w:spacing w:after="0" w:line="229" w:lineRule="auto"/>
        <w:rPr>
          <w:sz w:val="20"/>
          <w:szCs w:val="20"/>
          <w:color w:val="auto"/>
        </w:rPr>
      </w:pPr>
      <w:r>
        <w:rPr>
          <w:rFonts w:ascii="Arial" w:cs="Arial" w:eastAsia="Arial" w:hAnsi="Arial"/>
          <w:sz w:val="15"/>
          <w:szCs w:val="15"/>
          <w:color w:val="auto"/>
        </w:rPr>
        <w:t>We use the “intrinsic value” of the stock options granted to Mr. Prising in February 2020, meaning the spread between the grant price and the price of the underlying stock at year end.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Restricted Stock Units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We use the year-end value of the</w:t>
      </w:r>
    </w:p>
    <w:p>
      <w:pPr>
        <w:spacing w:after="0" w:line="223" w:lineRule="auto"/>
        <w:rPr>
          <w:sz w:val="20"/>
          <w:szCs w:val="20"/>
          <w:color w:val="auto"/>
        </w:rPr>
      </w:pPr>
      <w:r>
        <w:rPr>
          <w:rFonts w:ascii="Arial" w:cs="Arial" w:eastAsia="Arial" w:hAnsi="Arial"/>
          <w:sz w:val="15"/>
          <w:szCs w:val="15"/>
          <w:color w:val="auto"/>
        </w:rPr>
        <w:t>RSUs awarded to Mr. Prising in</w:t>
      </w:r>
    </w:p>
    <w:p>
      <w:pPr>
        <w:spacing w:after="0" w:line="223" w:lineRule="auto"/>
        <w:rPr>
          <w:sz w:val="20"/>
          <w:szCs w:val="20"/>
          <w:color w:val="auto"/>
        </w:rPr>
      </w:pPr>
      <w:r>
        <w:rPr>
          <w:rFonts w:ascii="Arial" w:cs="Arial" w:eastAsia="Arial" w:hAnsi="Arial"/>
          <w:sz w:val="15"/>
          <w:szCs w:val="15"/>
          <w:color w:val="auto"/>
        </w:rPr>
        <w:t>February 2020 and value these</w:t>
      </w:r>
    </w:p>
    <w:p>
      <w:pPr>
        <w:spacing w:after="0" w:line="223" w:lineRule="auto"/>
        <w:rPr>
          <w:sz w:val="20"/>
          <w:szCs w:val="20"/>
          <w:color w:val="auto"/>
        </w:rPr>
      </w:pPr>
      <w:r>
        <w:rPr>
          <w:rFonts w:ascii="Arial" w:cs="Arial" w:eastAsia="Arial" w:hAnsi="Arial"/>
          <w:sz w:val="15"/>
          <w:szCs w:val="15"/>
          <w:color w:val="auto"/>
        </w:rPr>
        <w:t>shares using the year-end stock price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on December 31, 2020.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Performance Share Units</w:t>
      </w:r>
    </w:p>
    <w:p>
      <w:pPr>
        <w:spacing w:after="0" w:line="13" w:lineRule="exact"/>
        <w:rPr>
          <w:sz w:val="20"/>
          <w:szCs w:val="20"/>
          <w:color w:val="auto"/>
        </w:rPr>
      </w:pPr>
    </w:p>
    <w:p>
      <w:pPr>
        <w:ind w:right="540"/>
        <w:spacing w:after="0" w:line="230" w:lineRule="auto"/>
        <w:rPr>
          <w:sz w:val="20"/>
          <w:szCs w:val="20"/>
          <w:color w:val="auto"/>
        </w:rPr>
      </w:pPr>
      <w:r>
        <w:rPr>
          <w:rFonts w:ascii="Arial" w:cs="Arial" w:eastAsia="Arial" w:hAnsi="Arial"/>
          <w:sz w:val="15"/>
          <w:szCs w:val="15"/>
          <w:color w:val="auto"/>
        </w:rPr>
        <w:t>We calculate PSUs using the target PSUs granted in 2020 and value these shares using the year-end stock price on December 31, 2020.</w:t>
      </w:r>
    </w:p>
    <w:p>
      <w:pPr>
        <w:spacing w:after="0" w:line="101" w:lineRule="exact"/>
        <w:rPr>
          <w:sz w:val="20"/>
          <w:szCs w:val="20"/>
          <w:color w:val="auto"/>
        </w:rPr>
      </w:pPr>
    </w:p>
    <w:p>
      <w:pPr>
        <w:ind w:right="520"/>
        <w:spacing w:after="0" w:line="230" w:lineRule="auto"/>
        <w:rPr>
          <w:sz w:val="20"/>
          <w:szCs w:val="20"/>
          <w:color w:val="auto"/>
        </w:rPr>
      </w:pPr>
      <w:r>
        <w:rPr>
          <w:rFonts w:ascii="Arial" w:cs="Arial" w:eastAsia="Arial" w:hAnsi="Arial"/>
          <w:sz w:val="15"/>
          <w:szCs w:val="15"/>
          <w:color w:val="auto"/>
        </w:rPr>
        <w:t>We have supplementally calculated the PSUs granted in 2020 using the performance to date of the OPMP goals set by the Committee.</w:t>
      </w:r>
    </w:p>
    <w:p>
      <w:pPr>
        <w:spacing w:after="0" w:line="200" w:lineRule="exact"/>
        <w:rPr>
          <w:sz w:val="20"/>
          <w:szCs w:val="20"/>
          <w:color w:val="auto"/>
        </w:rPr>
      </w:pPr>
    </w:p>
    <w:p>
      <w:pPr>
        <w:sectPr>
          <w:pgSz w:w="11900" w:h="16838" w:orient="portrait"/>
          <w:cols w:equalWidth="0" w:num="3">
            <w:col w:w="3440" w:space="720"/>
            <w:col w:w="3120" w:space="720"/>
            <w:col w:w="2920"/>
          </w:cols>
          <w:pgMar w:left="480" w:top="1165" w:right="499" w:bottom="1440" w:gutter="0" w:footer="0" w:header="0"/>
          <w:type w:val="continuous"/>
        </w:sectPr>
      </w:pPr>
    </w:p>
    <w:p>
      <w:pPr>
        <w:spacing w:after="0" w:line="155" w:lineRule="exact"/>
        <w:rPr>
          <w:sz w:val="20"/>
          <w:szCs w:val="20"/>
          <w:color w:val="auto"/>
        </w:rPr>
      </w:pPr>
    </w:p>
    <w:p>
      <w:pPr>
        <w:ind w:right="480"/>
        <w:spacing w:after="0" w:line="223" w:lineRule="auto"/>
        <w:rPr>
          <w:sz w:val="20"/>
          <w:szCs w:val="20"/>
          <w:color w:val="auto"/>
        </w:rPr>
      </w:pPr>
      <w:r>
        <w:rPr>
          <w:rFonts w:ascii="Arial" w:cs="Arial" w:eastAsia="Arial" w:hAnsi="Arial"/>
          <w:sz w:val="15"/>
          <w:szCs w:val="15"/>
          <w:color w:val="auto"/>
        </w:rPr>
        <w:t>Our realizable pay calculation reflects the significant equity component of Mr. Prising’s total compensation and illustrates how the value of Mr. Prising’s 2020 compensation is sensitive to movements in our stock price. The Company’s stock price declined in 2020: from $97.10 on January 1, 2020 to $90.18 as of December 31, 2020. In addition, the December 31, 2020 stock price was lower than the fair market value used to value the equity grants of $ 92.70 as of February 14, 2020 (the closing stock price on the date of grant). This depreciation in stock price resulted in Mr. Prising’s calculated realizable pay being</w:t>
      </w:r>
    </w:p>
    <w:p>
      <w:pPr>
        <w:spacing w:after="0" w:line="1" w:lineRule="exact"/>
        <w:rPr>
          <w:sz w:val="20"/>
          <w:szCs w:val="20"/>
          <w:color w:val="auto"/>
        </w:rPr>
      </w:pPr>
    </w:p>
    <w:p>
      <w:pPr>
        <w:jc w:val="both"/>
        <w:ind w:right="100"/>
        <w:spacing w:after="0" w:line="232" w:lineRule="auto"/>
        <w:rPr>
          <w:sz w:val="20"/>
          <w:szCs w:val="20"/>
          <w:color w:val="auto"/>
        </w:rPr>
      </w:pPr>
      <w:r>
        <w:rPr>
          <w:rFonts w:ascii="Arial" w:cs="Arial" w:eastAsia="Arial" w:hAnsi="Arial"/>
          <w:sz w:val="15"/>
          <w:szCs w:val="15"/>
          <w:color w:val="auto"/>
        </w:rPr>
        <w:t>$9.6 million for 2020. This is lower than $11.9 million of total compensation shown in the Summary Compensation Table using SEC reporting methodology. It also reflects a 26% decrease from his realizable pay for 2019, when strong operating performance and considerable stock price appreciation resulted in realizable pay that was greater than reported compensation.</w:t>
      </w:r>
    </w:p>
    <w:p>
      <w:pPr>
        <w:spacing w:after="0" w:line="115"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COVID-19 adversely impacted the value of the PSUs granted in 2020, which were premised on projections and goals set in February 2020, before the onset of the pandemic. Based on performance to date against those goals, the likely value of the 2020 PSU grants is $0. We have supplementally calculated Realizable Pay on this basis, showing no shares being earned. In this calculation, Mr. Prising’s realizable pay for 2020 is $3.8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9297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45</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65" w:lineRule="exact"/>
        <w:rPr>
          <w:sz w:val="20"/>
          <w:szCs w:val="20"/>
          <w:color w:val="auto"/>
        </w:rPr>
      </w:pPr>
    </w:p>
    <w:p>
      <w:pPr>
        <w:ind w:right="240"/>
        <w:spacing w:after="0" w:line="232" w:lineRule="auto"/>
        <w:rPr>
          <w:sz w:val="20"/>
          <w:szCs w:val="20"/>
          <w:color w:val="auto"/>
        </w:rPr>
      </w:pPr>
      <w:r>
        <w:rPr>
          <w:rFonts w:ascii="Arial" w:cs="Arial" w:eastAsia="Arial" w:hAnsi="Arial"/>
          <w:sz w:val="15"/>
          <w:szCs w:val="15"/>
          <w:color w:val="auto"/>
        </w:rPr>
        <w:t>The table below shows realizable pay for Mr. Prising in 2020. The three columns reflect (i) compensation for 2020 as reported in the Summary Compensation Table on page 48, (ii) realizable pay assuming that the 2020 PSU grant is valued at target levels, and (iii) realizable pay assuming that the 2020 PSU grants are without value.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D89B4"/>
        </w:rPr>
        <w:t>Supplemental Table of CEO Realizable Compensation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2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90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2020</w:t>
            </w:r>
          </w:p>
        </w:tc>
        <w:tc>
          <w:tcPr>
            <w:tcW w:w="700" w:type="dxa"/>
            <w:vAlign w:val="bottom"/>
            <w:shd w:val="clear" w:color="auto" w:fill="EAEAEA"/>
          </w:tcPr>
          <w:p>
            <w:pPr>
              <w:spacing w:after="0"/>
              <w:rPr>
                <w:sz w:val="18"/>
                <w:szCs w:val="18"/>
                <w:color w:val="auto"/>
              </w:rPr>
            </w:pPr>
          </w:p>
        </w:tc>
        <w:tc>
          <w:tcPr>
            <w:tcW w:w="2140" w:type="dxa"/>
            <w:vAlign w:val="bottom"/>
            <w:shd w:val="clear" w:color="auto" w:fill="EAEAEA"/>
          </w:tcPr>
          <w:p>
            <w:pPr>
              <w:jc w:val="right"/>
              <w:ind w:right="486"/>
              <w:spacing w:after="0"/>
              <w:rPr>
                <w:sz w:val="20"/>
                <w:szCs w:val="20"/>
                <w:color w:val="auto"/>
              </w:rPr>
            </w:pPr>
            <w:r>
              <w:rPr>
                <w:rFonts w:ascii="Arial" w:cs="Arial" w:eastAsia="Arial" w:hAnsi="Arial"/>
                <w:sz w:val="14"/>
                <w:szCs w:val="14"/>
                <w:b w:val="1"/>
                <w:bCs w:val="1"/>
                <w:color w:val="5D89B4"/>
              </w:rPr>
              <w:t>2020</w:t>
            </w:r>
          </w:p>
        </w:tc>
        <w:tc>
          <w:tcPr>
            <w:tcW w:w="66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2020</w:t>
            </w:r>
          </w:p>
        </w:tc>
      </w:tr>
      <w:tr>
        <w:trPr>
          <w:trHeight w:val="160"/>
        </w:trPr>
        <w:tc>
          <w:tcPr>
            <w:tcW w:w="322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190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COMPENSATION AS</w:t>
            </w:r>
          </w:p>
        </w:tc>
        <w:tc>
          <w:tcPr>
            <w:tcW w:w="700" w:type="dxa"/>
            <w:vAlign w:val="bottom"/>
            <w:shd w:val="clear" w:color="auto" w:fill="EAEAEA"/>
          </w:tcPr>
          <w:p>
            <w:pPr>
              <w:spacing w:after="0"/>
              <w:rPr>
                <w:sz w:val="13"/>
                <w:szCs w:val="13"/>
                <w:color w:val="auto"/>
              </w:rPr>
            </w:pPr>
          </w:p>
        </w:tc>
        <w:tc>
          <w:tcPr>
            <w:tcW w:w="2140" w:type="dxa"/>
            <w:vAlign w:val="bottom"/>
            <w:shd w:val="clear" w:color="auto" w:fill="EAEAEA"/>
          </w:tcPr>
          <w:p>
            <w:pPr>
              <w:jc w:val="right"/>
              <w:ind w:right="486"/>
              <w:spacing w:after="0"/>
              <w:rPr>
                <w:sz w:val="20"/>
                <w:szCs w:val="20"/>
                <w:color w:val="auto"/>
              </w:rPr>
            </w:pPr>
            <w:r>
              <w:rPr>
                <w:rFonts w:ascii="Arial" w:cs="Arial" w:eastAsia="Arial" w:hAnsi="Arial"/>
                <w:sz w:val="14"/>
                <w:szCs w:val="14"/>
                <w:b w:val="1"/>
                <w:bCs w:val="1"/>
                <w:color w:val="5D89B4"/>
              </w:rPr>
              <w:t>TOTAL REALIZABLE</w:t>
            </w:r>
          </w:p>
        </w:tc>
        <w:tc>
          <w:tcPr>
            <w:tcW w:w="2000" w:type="dxa"/>
            <w:vAlign w:val="bottom"/>
            <w:gridSpan w:val="2"/>
            <w:shd w:val="clear" w:color="auto" w:fill="EAEAEA"/>
          </w:tcPr>
          <w:p>
            <w:pPr>
              <w:jc w:val="right"/>
              <w:spacing w:after="0"/>
              <w:rPr>
                <w:sz w:val="20"/>
                <w:szCs w:val="20"/>
                <w:color w:val="auto"/>
              </w:rPr>
            </w:pPr>
            <w:r>
              <w:rPr>
                <w:rFonts w:ascii="Arial" w:cs="Arial" w:eastAsia="Arial" w:hAnsi="Arial"/>
                <w:sz w:val="14"/>
                <w:szCs w:val="14"/>
                <w:b w:val="1"/>
                <w:bCs w:val="1"/>
                <w:color w:val="5D89B4"/>
              </w:rPr>
              <w:t>TOTAL REALIZABLE</w:t>
            </w:r>
          </w:p>
        </w:tc>
      </w:tr>
      <w:tr>
        <w:trPr>
          <w:trHeight w:val="160"/>
        </w:trPr>
        <w:tc>
          <w:tcPr>
            <w:tcW w:w="322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190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REPORTED IN THE</w:t>
            </w:r>
          </w:p>
        </w:tc>
        <w:tc>
          <w:tcPr>
            <w:tcW w:w="700" w:type="dxa"/>
            <w:vAlign w:val="bottom"/>
            <w:shd w:val="clear" w:color="auto" w:fill="EAEAEA"/>
          </w:tcPr>
          <w:p>
            <w:pPr>
              <w:spacing w:after="0"/>
              <w:rPr>
                <w:sz w:val="13"/>
                <w:szCs w:val="13"/>
                <w:color w:val="auto"/>
              </w:rPr>
            </w:pPr>
          </w:p>
        </w:tc>
        <w:tc>
          <w:tcPr>
            <w:tcW w:w="2140" w:type="dxa"/>
            <w:vAlign w:val="bottom"/>
            <w:shd w:val="clear" w:color="auto" w:fill="EAEAEA"/>
          </w:tcPr>
          <w:p>
            <w:pPr>
              <w:jc w:val="right"/>
              <w:ind w:right="486"/>
              <w:spacing w:after="0"/>
              <w:rPr>
                <w:sz w:val="20"/>
                <w:szCs w:val="20"/>
                <w:color w:val="auto"/>
              </w:rPr>
            </w:pPr>
            <w:r>
              <w:rPr>
                <w:rFonts w:ascii="Arial" w:cs="Arial" w:eastAsia="Arial" w:hAnsi="Arial"/>
                <w:sz w:val="14"/>
                <w:szCs w:val="14"/>
                <w:b w:val="1"/>
                <w:bCs w:val="1"/>
                <w:color w:val="5D89B4"/>
              </w:rPr>
              <w:t>COMPENSATION</w:t>
            </w:r>
          </w:p>
        </w:tc>
        <w:tc>
          <w:tcPr>
            <w:tcW w:w="660" w:type="dxa"/>
            <w:vAlign w:val="bottom"/>
            <w:shd w:val="clear" w:color="auto" w:fill="EAEAEA"/>
          </w:tcPr>
          <w:p>
            <w:pPr>
              <w:spacing w:after="0"/>
              <w:rPr>
                <w:sz w:val="13"/>
                <w:szCs w:val="13"/>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COMPENSATION</w:t>
            </w:r>
          </w:p>
        </w:tc>
      </w:tr>
      <w:tr>
        <w:trPr>
          <w:trHeight w:val="160"/>
        </w:trPr>
        <w:tc>
          <w:tcPr>
            <w:tcW w:w="322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190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SUMMARY</w:t>
            </w:r>
          </w:p>
        </w:tc>
        <w:tc>
          <w:tcPr>
            <w:tcW w:w="700" w:type="dxa"/>
            <w:vAlign w:val="bottom"/>
            <w:shd w:val="clear" w:color="auto" w:fill="EAEAEA"/>
          </w:tcPr>
          <w:p>
            <w:pPr>
              <w:spacing w:after="0"/>
              <w:rPr>
                <w:sz w:val="13"/>
                <w:szCs w:val="13"/>
                <w:color w:val="auto"/>
              </w:rPr>
            </w:pPr>
          </w:p>
        </w:tc>
        <w:tc>
          <w:tcPr>
            <w:tcW w:w="2140" w:type="dxa"/>
            <w:vAlign w:val="bottom"/>
            <w:shd w:val="clear" w:color="auto" w:fill="EAEAEA"/>
          </w:tcPr>
          <w:p>
            <w:pPr>
              <w:jc w:val="right"/>
              <w:ind w:right="486"/>
              <w:spacing w:after="0"/>
              <w:rPr>
                <w:sz w:val="20"/>
                <w:szCs w:val="20"/>
                <w:color w:val="auto"/>
              </w:rPr>
            </w:pPr>
            <w:r>
              <w:rPr>
                <w:rFonts w:ascii="Arial" w:cs="Arial" w:eastAsia="Arial" w:hAnsi="Arial"/>
                <w:sz w:val="14"/>
                <w:szCs w:val="14"/>
                <w:b w:val="1"/>
                <w:bCs w:val="1"/>
                <w:color w:val="5D89B4"/>
              </w:rPr>
              <w:t>WITH PSU</w:t>
            </w:r>
            <w:r>
              <w:rPr>
                <w:rFonts w:ascii="Arial" w:cs="Arial" w:eastAsia="Arial" w:hAnsi="Arial"/>
                <w:sz w:val="10"/>
                <w:szCs w:val="10"/>
                <w:b w:val="1"/>
                <w:bCs w:val="1"/>
                <w:color w:val="5D89B4"/>
              </w:rPr>
              <w:t>S</w:t>
            </w:r>
            <w:r>
              <w:rPr>
                <w:rFonts w:ascii="Arial" w:cs="Arial" w:eastAsia="Arial" w:hAnsi="Arial"/>
                <w:sz w:val="14"/>
                <w:szCs w:val="14"/>
                <w:b w:val="1"/>
                <w:bCs w:val="1"/>
                <w:color w:val="5D89B4"/>
              </w:rPr>
              <w:t xml:space="preserve"> AT</w:t>
            </w:r>
          </w:p>
        </w:tc>
        <w:tc>
          <w:tcPr>
            <w:tcW w:w="660" w:type="dxa"/>
            <w:vAlign w:val="bottom"/>
            <w:shd w:val="clear" w:color="auto" w:fill="EAEAEA"/>
          </w:tcPr>
          <w:p>
            <w:pPr>
              <w:spacing w:after="0"/>
              <w:rPr>
                <w:sz w:val="13"/>
                <w:szCs w:val="13"/>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WITH PSU</w:t>
            </w:r>
            <w:r>
              <w:rPr>
                <w:rFonts w:ascii="Arial" w:cs="Arial" w:eastAsia="Arial" w:hAnsi="Arial"/>
                <w:sz w:val="10"/>
                <w:szCs w:val="10"/>
                <w:b w:val="1"/>
                <w:bCs w:val="1"/>
                <w:color w:val="5D89B4"/>
              </w:rPr>
              <w:t>S</w:t>
            </w:r>
            <w:r>
              <w:rPr>
                <w:rFonts w:ascii="Arial" w:cs="Arial" w:eastAsia="Arial" w:hAnsi="Arial"/>
                <w:sz w:val="14"/>
                <w:szCs w:val="14"/>
                <w:b w:val="1"/>
                <w:bCs w:val="1"/>
                <w:color w:val="5D89B4"/>
              </w:rPr>
              <w:t xml:space="preserve"> AT NO</w:t>
            </w:r>
          </w:p>
        </w:tc>
      </w:tr>
      <w:tr>
        <w:trPr>
          <w:trHeight w:val="189"/>
        </w:trPr>
        <w:tc>
          <w:tcPr>
            <w:tcW w:w="3220" w:type="dxa"/>
            <w:vAlign w:val="bottom"/>
            <w:shd w:val="clear" w:color="auto" w:fill="EAEAEA"/>
          </w:tcPr>
          <w:p>
            <w:pPr>
              <w:spacing w:after="0"/>
              <w:rPr>
                <w:sz w:val="16"/>
                <w:szCs w:val="16"/>
                <w:color w:val="auto"/>
              </w:rPr>
            </w:pPr>
          </w:p>
        </w:tc>
        <w:tc>
          <w:tcPr>
            <w:tcW w:w="2860" w:type="dxa"/>
            <w:vAlign w:val="bottom"/>
            <w:gridSpan w:val="2"/>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COMPENSATION TABLE</w:t>
            </w:r>
          </w:p>
        </w:tc>
        <w:tc>
          <w:tcPr>
            <w:tcW w:w="2840" w:type="dxa"/>
            <w:vAlign w:val="bottom"/>
            <w:gridSpan w:val="2"/>
            <w:shd w:val="clear" w:color="auto" w:fill="EAEAEA"/>
          </w:tcPr>
          <w:p>
            <w:pPr>
              <w:jc w:val="right"/>
              <w:ind w:right="486"/>
              <w:spacing w:after="0"/>
              <w:rPr>
                <w:sz w:val="20"/>
                <w:szCs w:val="20"/>
                <w:color w:val="auto"/>
              </w:rPr>
            </w:pPr>
            <w:r>
              <w:rPr>
                <w:rFonts w:ascii="Arial" w:cs="Arial" w:eastAsia="Arial" w:hAnsi="Arial"/>
                <w:sz w:val="14"/>
                <w:szCs w:val="14"/>
                <w:b w:val="1"/>
                <w:bCs w:val="1"/>
                <w:color w:val="5D89B4"/>
              </w:rPr>
              <w:t>TARGET SHARES EARNED</w:t>
            </w:r>
          </w:p>
        </w:tc>
        <w:tc>
          <w:tcPr>
            <w:tcW w:w="660" w:type="dxa"/>
            <w:vAlign w:val="bottom"/>
            <w:shd w:val="clear" w:color="auto" w:fill="EAEAEA"/>
          </w:tcPr>
          <w:p>
            <w:pPr>
              <w:spacing w:after="0"/>
              <w:rPr>
                <w:sz w:val="16"/>
                <w:szCs w:val="16"/>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SHARES EARNED</w:t>
            </w:r>
          </w:p>
        </w:tc>
      </w:tr>
      <w:tr>
        <w:trPr>
          <w:trHeight w:val="65"/>
        </w:trPr>
        <w:tc>
          <w:tcPr>
            <w:tcW w:w="3220" w:type="dxa"/>
            <w:vAlign w:val="bottom"/>
            <w:shd w:val="clear" w:color="auto" w:fill="EAEAEA"/>
          </w:tcPr>
          <w:p>
            <w:pPr>
              <w:spacing w:after="0"/>
              <w:rPr>
                <w:sz w:val="5"/>
                <w:szCs w:val="5"/>
                <w:color w:val="auto"/>
              </w:rPr>
            </w:pPr>
          </w:p>
        </w:tc>
        <w:tc>
          <w:tcPr>
            <w:tcW w:w="960" w:type="dxa"/>
            <w:vAlign w:val="bottom"/>
            <w:shd w:val="clear" w:color="auto" w:fill="EAEAEA"/>
          </w:tcPr>
          <w:p>
            <w:pPr>
              <w:spacing w:after="0"/>
              <w:rPr>
                <w:sz w:val="5"/>
                <w:szCs w:val="5"/>
                <w:color w:val="auto"/>
              </w:rPr>
            </w:pPr>
          </w:p>
        </w:tc>
        <w:tc>
          <w:tcPr>
            <w:tcW w:w="190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2140" w:type="dxa"/>
            <w:vAlign w:val="bottom"/>
            <w:shd w:val="clear" w:color="auto" w:fill="EAEAEA"/>
          </w:tcPr>
          <w:p>
            <w:pPr>
              <w:spacing w:after="0"/>
              <w:rPr>
                <w:sz w:val="5"/>
                <w:szCs w:val="5"/>
                <w:color w:val="auto"/>
              </w:rPr>
            </w:pPr>
          </w:p>
        </w:tc>
        <w:tc>
          <w:tcPr>
            <w:tcW w:w="660" w:type="dxa"/>
            <w:vAlign w:val="bottom"/>
            <w:shd w:val="clear" w:color="auto" w:fill="EAEAEA"/>
          </w:tcPr>
          <w:p>
            <w:pPr>
              <w:spacing w:after="0"/>
              <w:rPr>
                <w:sz w:val="5"/>
                <w:szCs w:val="5"/>
                <w:color w:val="auto"/>
              </w:rPr>
            </w:pPr>
          </w:p>
        </w:tc>
        <w:tc>
          <w:tcPr>
            <w:tcW w:w="1340" w:type="dxa"/>
            <w:vAlign w:val="bottom"/>
            <w:shd w:val="clear" w:color="auto" w:fill="EAEAEA"/>
          </w:tcPr>
          <w:p>
            <w:pPr>
              <w:spacing w:after="0"/>
              <w:rPr>
                <w:sz w:val="5"/>
                <w:szCs w:val="5"/>
                <w:color w:val="auto"/>
              </w:rPr>
            </w:pPr>
          </w:p>
        </w:tc>
      </w:tr>
      <w:tr>
        <w:trPr>
          <w:trHeight w:val="189"/>
        </w:trPr>
        <w:tc>
          <w:tcPr>
            <w:tcW w:w="3220" w:type="dxa"/>
            <w:vAlign w:val="bottom"/>
          </w:tcPr>
          <w:p>
            <w:pPr>
              <w:ind w:left="80"/>
              <w:spacing w:after="0"/>
              <w:rPr>
                <w:sz w:val="20"/>
                <w:szCs w:val="20"/>
                <w:color w:val="auto"/>
              </w:rPr>
            </w:pPr>
            <w:r>
              <w:rPr>
                <w:rFonts w:ascii="Arial" w:cs="Arial" w:eastAsia="Arial" w:hAnsi="Arial"/>
                <w:sz w:val="14"/>
                <w:szCs w:val="14"/>
                <w:b w:val="1"/>
                <w:bCs w:val="1"/>
                <w:color w:val="auto"/>
              </w:rPr>
              <w:t>Base Salary</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346"/>
              <w:spacing w:after="0"/>
              <w:rPr>
                <w:sz w:val="20"/>
                <w:szCs w:val="20"/>
                <w:color w:val="auto"/>
              </w:rPr>
            </w:pPr>
            <w:r>
              <w:rPr>
                <w:rFonts w:ascii="Arial" w:cs="Arial" w:eastAsia="Arial" w:hAnsi="Arial"/>
                <w:sz w:val="15"/>
                <w:szCs w:val="15"/>
                <w:color w:val="auto"/>
              </w:rPr>
              <w:t>1,105,769</w:t>
            </w:r>
          </w:p>
        </w:tc>
        <w:tc>
          <w:tcPr>
            <w:tcW w:w="7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140" w:type="dxa"/>
            <w:vAlign w:val="bottom"/>
          </w:tcPr>
          <w:p>
            <w:pPr>
              <w:jc w:val="right"/>
              <w:ind w:right="486"/>
              <w:spacing w:after="0"/>
              <w:rPr>
                <w:sz w:val="20"/>
                <w:szCs w:val="20"/>
                <w:color w:val="auto"/>
              </w:rPr>
            </w:pPr>
            <w:r>
              <w:rPr>
                <w:rFonts w:ascii="Arial" w:cs="Arial" w:eastAsia="Arial" w:hAnsi="Arial"/>
                <w:sz w:val="15"/>
                <w:szCs w:val="15"/>
                <w:color w:val="auto"/>
              </w:rPr>
              <w:t>1,105,769</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1,105,769</w:t>
            </w:r>
          </w:p>
        </w:tc>
      </w:tr>
      <w:tr>
        <w:trPr>
          <w:trHeight w:val="283"/>
        </w:trPr>
        <w:tc>
          <w:tcPr>
            <w:tcW w:w="3220" w:type="dxa"/>
            <w:vAlign w:val="bottom"/>
          </w:tcPr>
          <w:p>
            <w:pPr>
              <w:ind w:left="80"/>
              <w:spacing w:after="0"/>
              <w:rPr>
                <w:sz w:val="20"/>
                <w:szCs w:val="20"/>
                <w:color w:val="auto"/>
              </w:rPr>
            </w:pPr>
            <w:r>
              <w:rPr>
                <w:rFonts w:ascii="Arial" w:cs="Arial" w:eastAsia="Arial" w:hAnsi="Arial"/>
                <w:sz w:val="14"/>
                <w:szCs w:val="14"/>
                <w:b w:val="1"/>
                <w:bCs w:val="1"/>
                <w:color w:val="auto"/>
              </w:rPr>
              <w:t>Annual Incentive</w:t>
            </w:r>
          </w:p>
        </w:tc>
        <w:tc>
          <w:tcPr>
            <w:tcW w:w="960" w:type="dxa"/>
            <w:vAlign w:val="bottom"/>
          </w:tcPr>
          <w:p>
            <w:pPr>
              <w:spacing w:after="0"/>
              <w:rPr>
                <w:sz w:val="24"/>
                <w:szCs w:val="24"/>
                <w:color w:val="auto"/>
              </w:rPr>
            </w:pPr>
          </w:p>
        </w:tc>
        <w:tc>
          <w:tcPr>
            <w:tcW w:w="1900" w:type="dxa"/>
            <w:vAlign w:val="bottom"/>
          </w:tcPr>
          <w:p>
            <w:pPr>
              <w:jc w:val="right"/>
              <w:ind w:right="346"/>
              <w:spacing w:after="0"/>
              <w:rPr>
                <w:sz w:val="20"/>
                <w:szCs w:val="20"/>
                <w:color w:val="auto"/>
              </w:rPr>
            </w:pPr>
            <w:r>
              <w:rPr>
                <w:rFonts w:ascii="Arial" w:cs="Arial" w:eastAsia="Arial" w:hAnsi="Arial"/>
                <w:sz w:val="15"/>
                <w:szCs w:val="15"/>
                <w:color w:val="auto"/>
              </w:rPr>
              <w:t>760,000</w:t>
            </w:r>
          </w:p>
        </w:tc>
        <w:tc>
          <w:tcPr>
            <w:tcW w:w="700" w:type="dxa"/>
            <w:vAlign w:val="bottom"/>
          </w:tcPr>
          <w:p>
            <w:pPr>
              <w:spacing w:after="0"/>
              <w:rPr>
                <w:sz w:val="24"/>
                <w:szCs w:val="24"/>
                <w:color w:val="auto"/>
              </w:rPr>
            </w:pPr>
          </w:p>
        </w:tc>
        <w:tc>
          <w:tcPr>
            <w:tcW w:w="2140" w:type="dxa"/>
            <w:vAlign w:val="bottom"/>
          </w:tcPr>
          <w:p>
            <w:pPr>
              <w:jc w:val="right"/>
              <w:ind w:right="486"/>
              <w:spacing w:after="0"/>
              <w:rPr>
                <w:sz w:val="20"/>
                <w:szCs w:val="20"/>
                <w:color w:val="auto"/>
              </w:rPr>
            </w:pPr>
            <w:r>
              <w:rPr>
                <w:rFonts w:ascii="Arial" w:cs="Arial" w:eastAsia="Arial" w:hAnsi="Arial"/>
                <w:sz w:val="15"/>
                <w:szCs w:val="15"/>
                <w:color w:val="auto"/>
              </w:rPr>
              <w:t>760,000</w:t>
            </w: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760,000</w:t>
            </w:r>
          </w:p>
        </w:tc>
      </w:tr>
      <w:tr>
        <w:trPr>
          <w:trHeight w:val="50"/>
        </w:trPr>
        <w:tc>
          <w:tcPr>
            <w:tcW w:w="32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3220" w:type="dxa"/>
            <w:vAlign w:val="bottom"/>
          </w:tcPr>
          <w:p>
            <w:pPr>
              <w:ind w:left="80"/>
              <w:spacing w:after="0"/>
              <w:rPr>
                <w:sz w:val="20"/>
                <w:szCs w:val="20"/>
                <w:color w:val="auto"/>
              </w:rPr>
            </w:pPr>
            <w:r>
              <w:rPr>
                <w:rFonts w:ascii="Arial" w:cs="Arial" w:eastAsia="Arial" w:hAnsi="Arial"/>
                <w:sz w:val="14"/>
                <w:szCs w:val="14"/>
                <w:b w:val="1"/>
                <w:bCs w:val="1"/>
                <w:color w:val="auto"/>
              </w:rPr>
              <w:t>Total Cash</w:t>
            </w:r>
          </w:p>
        </w:tc>
        <w:tc>
          <w:tcPr>
            <w:tcW w:w="960" w:type="dxa"/>
            <w:vAlign w:val="bottom"/>
          </w:tcPr>
          <w:p>
            <w:pPr>
              <w:spacing w:after="0"/>
              <w:rPr>
                <w:sz w:val="19"/>
                <w:szCs w:val="19"/>
                <w:color w:val="auto"/>
              </w:rPr>
            </w:pPr>
          </w:p>
        </w:tc>
        <w:tc>
          <w:tcPr>
            <w:tcW w:w="1900" w:type="dxa"/>
            <w:vAlign w:val="bottom"/>
          </w:tcPr>
          <w:p>
            <w:pPr>
              <w:jc w:val="right"/>
              <w:ind w:right="346"/>
              <w:spacing w:after="0"/>
              <w:rPr>
                <w:sz w:val="20"/>
                <w:szCs w:val="20"/>
                <w:color w:val="auto"/>
              </w:rPr>
            </w:pPr>
            <w:r>
              <w:rPr>
                <w:rFonts w:ascii="Arial" w:cs="Arial" w:eastAsia="Arial" w:hAnsi="Arial"/>
                <w:sz w:val="15"/>
                <w:szCs w:val="15"/>
                <w:color w:val="auto"/>
              </w:rPr>
              <w:t>1,865,769</w:t>
            </w:r>
          </w:p>
        </w:tc>
        <w:tc>
          <w:tcPr>
            <w:tcW w:w="700" w:type="dxa"/>
            <w:vAlign w:val="bottom"/>
          </w:tcPr>
          <w:p>
            <w:pPr>
              <w:spacing w:after="0"/>
              <w:rPr>
                <w:sz w:val="19"/>
                <w:szCs w:val="19"/>
                <w:color w:val="auto"/>
              </w:rPr>
            </w:pPr>
          </w:p>
        </w:tc>
        <w:tc>
          <w:tcPr>
            <w:tcW w:w="2140" w:type="dxa"/>
            <w:vAlign w:val="bottom"/>
          </w:tcPr>
          <w:p>
            <w:pPr>
              <w:jc w:val="right"/>
              <w:ind w:right="486"/>
              <w:spacing w:after="0"/>
              <w:rPr>
                <w:sz w:val="20"/>
                <w:szCs w:val="20"/>
                <w:color w:val="auto"/>
              </w:rPr>
            </w:pPr>
            <w:r>
              <w:rPr>
                <w:rFonts w:ascii="Arial" w:cs="Arial" w:eastAsia="Arial" w:hAnsi="Arial"/>
                <w:sz w:val="15"/>
                <w:szCs w:val="15"/>
                <w:color w:val="auto"/>
              </w:rPr>
              <w:t>1,865,769</w:t>
            </w: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1,865,769</w:t>
            </w:r>
          </w:p>
        </w:tc>
      </w:tr>
      <w:tr>
        <w:trPr>
          <w:trHeight w:val="50"/>
        </w:trPr>
        <w:tc>
          <w:tcPr>
            <w:tcW w:w="32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182"/>
        </w:trPr>
        <w:tc>
          <w:tcPr>
            <w:tcW w:w="3220" w:type="dxa"/>
            <w:vAlign w:val="bottom"/>
          </w:tcPr>
          <w:p>
            <w:pPr>
              <w:ind w:left="80"/>
              <w:spacing w:after="0"/>
              <w:rPr>
                <w:sz w:val="20"/>
                <w:szCs w:val="20"/>
                <w:color w:val="auto"/>
              </w:rPr>
            </w:pPr>
            <w:r>
              <w:rPr>
                <w:rFonts w:ascii="Arial" w:cs="Arial" w:eastAsia="Arial" w:hAnsi="Arial"/>
                <w:sz w:val="14"/>
                <w:szCs w:val="14"/>
                <w:b w:val="1"/>
                <w:bCs w:val="1"/>
                <w:color w:val="auto"/>
              </w:rPr>
              <w:t>Stock Options</w:t>
            </w:r>
          </w:p>
        </w:tc>
        <w:tc>
          <w:tcPr>
            <w:tcW w:w="960" w:type="dxa"/>
            <w:vAlign w:val="bottom"/>
          </w:tcPr>
          <w:p>
            <w:pPr>
              <w:spacing w:after="0"/>
              <w:rPr>
                <w:sz w:val="15"/>
                <w:szCs w:val="15"/>
                <w:color w:val="auto"/>
              </w:rPr>
            </w:pPr>
          </w:p>
        </w:tc>
        <w:tc>
          <w:tcPr>
            <w:tcW w:w="1900" w:type="dxa"/>
            <w:vAlign w:val="bottom"/>
          </w:tcPr>
          <w:p>
            <w:pPr>
              <w:jc w:val="right"/>
              <w:ind w:right="346"/>
              <w:spacing w:after="0"/>
              <w:rPr>
                <w:sz w:val="20"/>
                <w:szCs w:val="20"/>
                <w:color w:val="auto"/>
              </w:rPr>
            </w:pPr>
            <w:r>
              <w:rPr>
                <w:rFonts w:ascii="Arial" w:cs="Arial" w:eastAsia="Arial" w:hAnsi="Arial"/>
                <w:sz w:val="15"/>
                <w:szCs w:val="15"/>
                <w:color w:val="auto"/>
              </w:rPr>
              <w:t>2,000,002</w:t>
            </w:r>
          </w:p>
        </w:tc>
        <w:tc>
          <w:tcPr>
            <w:tcW w:w="700" w:type="dxa"/>
            <w:vAlign w:val="bottom"/>
          </w:tcPr>
          <w:p>
            <w:pPr>
              <w:spacing w:after="0"/>
              <w:rPr>
                <w:sz w:val="15"/>
                <w:szCs w:val="15"/>
                <w:color w:val="auto"/>
              </w:rPr>
            </w:pPr>
          </w:p>
        </w:tc>
        <w:tc>
          <w:tcPr>
            <w:tcW w:w="214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3220" w:type="dxa"/>
            <w:vAlign w:val="bottom"/>
          </w:tcPr>
          <w:p>
            <w:pPr>
              <w:ind w:left="80"/>
              <w:spacing w:after="0"/>
              <w:rPr>
                <w:sz w:val="20"/>
                <w:szCs w:val="20"/>
                <w:color w:val="auto"/>
              </w:rPr>
            </w:pPr>
            <w:r>
              <w:rPr>
                <w:rFonts w:ascii="Arial" w:cs="Arial" w:eastAsia="Arial" w:hAnsi="Arial"/>
                <w:sz w:val="14"/>
                <w:szCs w:val="14"/>
                <w:b w:val="1"/>
                <w:bCs w:val="1"/>
                <w:color w:val="auto"/>
              </w:rPr>
              <w:t>RSUs</w:t>
            </w:r>
          </w:p>
        </w:tc>
        <w:tc>
          <w:tcPr>
            <w:tcW w:w="960" w:type="dxa"/>
            <w:vAlign w:val="bottom"/>
          </w:tcPr>
          <w:p>
            <w:pPr>
              <w:spacing w:after="0"/>
              <w:rPr>
                <w:sz w:val="18"/>
                <w:szCs w:val="18"/>
                <w:color w:val="auto"/>
              </w:rPr>
            </w:pPr>
          </w:p>
        </w:tc>
        <w:tc>
          <w:tcPr>
            <w:tcW w:w="1900" w:type="dxa"/>
            <w:vAlign w:val="bottom"/>
          </w:tcPr>
          <w:p>
            <w:pPr>
              <w:jc w:val="right"/>
              <w:ind w:right="346"/>
              <w:spacing w:after="0"/>
              <w:rPr>
                <w:sz w:val="20"/>
                <w:szCs w:val="20"/>
                <w:color w:val="auto"/>
              </w:rPr>
            </w:pPr>
            <w:r>
              <w:rPr>
                <w:rFonts w:ascii="Arial" w:cs="Arial" w:eastAsia="Arial" w:hAnsi="Arial"/>
                <w:sz w:val="15"/>
                <w:szCs w:val="15"/>
                <w:color w:val="auto"/>
              </w:rPr>
              <w:t>2,000,002</w:t>
            </w:r>
          </w:p>
        </w:tc>
        <w:tc>
          <w:tcPr>
            <w:tcW w:w="700" w:type="dxa"/>
            <w:vAlign w:val="bottom"/>
          </w:tcPr>
          <w:p>
            <w:pPr>
              <w:spacing w:after="0"/>
              <w:rPr>
                <w:sz w:val="18"/>
                <w:szCs w:val="18"/>
                <w:color w:val="auto"/>
              </w:rPr>
            </w:pPr>
          </w:p>
        </w:tc>
        <w:tc>
          <w:tcPr>
            <w:tcW w:w="2140" w:type="dxa"/>
            <w:vAlign w:val="bottom"/>
          </w:tcPr>
          <w:p>
            <w:pPr>
              <w:jc w:val="right"/>
              <w:ind w:right="486"/>
              <w:spacing w:after="0"/>
              <w:rPr>
                <w:sz w:val="20"/>
                <w:szCs w:val="20"/>
                <w:color w:val="auto"/>
              </w:rPr>
            </w:pPr>
            <w:r>
              <w:rPr>
                <w:rFonts w:ascii="Arial" w:cs="Arial" w:eastAsia="Arial" w:hAnsi="Arial"/>
                <w:sz w:val="15"/>
                <w:szCs w:val="15"/>
                <w:color w:val="auto"/>
              </w:rPr>
              <w:t>1,945,634</w:t>
            </w:r>
          </w:p>
        </w:tc>
        <w:tc>
          <w:tcPr>
            <w:tcW w:w="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1,945,634</w:t>
            </w:r>
          </w:p>
        </w:tc>
      </w:tr>
      <w:tr>
        <w:trPr>
          <w:trHeight w:val="294"/>
        </w:trPr>
        <w:tc>
          <w:tcPr>
            <w:tcW w:w="3220" w:type="dxa"/>
            <w:vAlign w:val="bottom"/>
          </w:tcPr>
          <w:p>
            <w:pPr>
              <w:ind w:left="80"/>
              <w:spacing w:after="0"/>
              <w:rPr>
                <w:sz w:val="20"/>
                <w:szCs w:val="20"/>
                <w:color w:val="auto"/>
              </w:rPr>
            </w:pPr>
            <w:r>
              <w:rPr>
                <w:rFonts w:ascii="Arial" w:cs="Arial" w:eastAsia="Arial" w:hAnsi="Arial"/>
                <w:sz w:val="14"/>
                <w:szCs w:val="14"/>
                <w:b w:val="1"/>
                <w:bCs w:val="1"/>
                <w:color w:val="auto"/>
              </w:rPr>
              <w:t>PSUs</w:t>
            </w:r>
          </w:p>
        </w:tc>
        <w:tc>
          <w:tcPr>
            <w:tcW w:w="960" w:type="dxa"/>
            <w:vAlign w:val="bottom"/>
          </w:tcPr>
          <w:p>
            <w:pPr>
              <w:spacing w:after="0"/>
              <w:rPr>
                <w:sz w:val="24"/>
                <w:szCs w:val="24"/>
                <w:color w:val="auto"/>
              </w:rPr>
            </w:pPr>
          </w:p>
        </w:tc>
        <w:tc>
          <w:tcPr>
            <w:tcW w:w="1900" w:type="dxa"/>
            <w:vAlign w:val="bottom"/>
          </w:tcPr>
          <w:p>
            <w:pPr>
              <w:jc w:val="right"/>
              <w:ind w:right="346"/>
              <w:spacing w:after="0"/>
              <w:rPr>
                <w:sz w:val="20"/>
                <w:szCs w:val="20"/>
                <w:color w:val="auto"/>
              </w:rPr>
            </w:pPr>
            <w:r>
              <w:rPr>
                <w:rFonts w:ascii="Arial" w:cs="Arial" w:eastAsia="Arial" w:hAnsi="Arial"/>
                <w:sz w:val="15"/>
                <w:szCs w:val="15"/>
                <w:color w:val="auto"/>
              </w:rPr>
              <w:t>6,000,008</w:t>
            </w:r>
          </w:p>
        </w:tc>
        <w:tc>
          <w:tcPr>
            <w:tcW w:w="700" w:type="dxa"/>
            <w:vAlign w:val="bottom"/>
          </w:tcPr>
          <w:p>
            <w:pPr>
              <w:spacing w:after="0"/>
              <w:rPr>
                <w:sz w:val="24"/>
                <w:szCs w:val="24"/>
                <w:color w:val="auto"/>
              </w:rPr>
            </w:pPr>
          </w:p>
        </w:tc>
        <w:tc>
          <w:tcPr>
            <w:tcW w:w="2140" w:type="dxa"/>
            <w:vAlign w:val="bottom"/>
          </w:tcPr>
          <w:p>
            <w:pPr>
              <w:jc w:val="right"/>
              <w:ind w:right="486"/>
              <w:spacing w:after="0"/>
              <w:rPr>
                <w:sz w:val="20"/>
                <w:szCs w:val="20"/>
                <w:color w:val="auto"/>
              </w:rPr>
            </w:pPr>
            <w:r>
              <w:rPr>
                <w:rFonts w:ascii="Arial" w:cs="Arial" w:eastAsia="Arial" w:hAnsi="Arial"/>
                <w:sz w:val="15"/>
                <w:szCs w:val="15"/>
                <w:color w:val="auto"/>
              </w:rPr>
              <w:t>5,836,901</w:t>
            </w: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32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322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9"/>
                <w:szCs w:val="19"/>
                <w:color w:val="auto"/>
              </w:rPr>
            </w:pPr>
          </w:p>
        </w:tc>
        <w:tc>
          <w:tcPr>
            <w:tcW w:w="1900" w:type="dxa"/>
            <w:vAlign w:val="bottom"/>
          </w:tcPr>
          <w:p>
            <w:pPr>
              <w:jc w:val="right"/>
              <w:ind w:right="346"/>
              <w:spacing w:after="0"/>
              <w:rPr>
                <w:sz w:val="20"/>
                <w:szCs w:val="20"/>
                <w:color w:val="auto"/>
              </w:rPr>
            </w:pPr>
            <w:r>
              <w:rPr>
                <w:rFonts w:ascii="Arial" w:cs="Arial" w:eastAsia="Arial" w:hAnsi="Arial"/>
                <w:sz w:val="15"/>
                <w:szCs w:val="15"/>
                <w:color w:val="auto"/>
              </w:rPr>
              <w:t>11,865,781</w:t>
            </w:r>
          </w:p>
        </w:tc>
        <w:tc>
          <w:tcPr>
            <w:tcW w:w="700" w:type="dxa"/>
            <w:vAlign w:val="bottom"/>
          </w:tcPr>
          <w:p>
            <w:pPr>
              <w:spacing w:after="0"/>
              <w:rPr>
                <w:sz w:val="19"/>
                <w:szCs w:val="19"/>
                <w:color w:val="auto"/>
              </w:rPr>
            </w:pPr>
          </w:p>
        </w:tc>
        <w:tc>
          <w:tcPr>
            <w:tcW w:w="2140" w:type="dxa"/>
            <w:vAlign w:val="bottom"/>
          </w:tcPr>
          <w:p>
            <w:pPr>
              <w:jc w:val="right"/>
              <w:ind w:right="486"/>
              <w:spacing w:after="0"/>
              <w:rPr>
                <w:sz w:val="20"/>
                <w:szCs w:val="20"/>
                <w:color w:val="auto"/>
              </w:rPr>
            </w:pPr>
            <w:r>
              <w:rPr>
                <w:rFonts w:ascii="Arial" w:cs="Arial" w:eastAsia="Arial" w:hAnsi="Arial"/>
                <w:sz w:val="15"/>
                <w:szCs w:val="15"/>
                <w:color w:val="auto"/>
              </w:rPr>
              <w:t>9,648,304</w:t>
            </w: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3,811,403</w:t>
            </w:r>
          </w:p>
        </w:tc>
      </w:tr>
      <w:tr>
        <w:trPr>
          <w:trHeight w:val="50"/>
        </w:trPr>
        <w:tc>
          <w:tcPr>
            <w:tcW w:w="32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Other Material Tax Implications of the Executive Compensation Program</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Tax Implications for ManpowerGroup</w:t>
      </w:r>
    </w:p>
    <w:p>
      <w:pPr>
        <w:spacing w:after="0" w:line="90"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Section 162(m) of the Internal Revenue Code generally disallows a tax deduction to public corporations for compensation over $1,000,000 paid in any tax year to any “covered employee.” Covered employees include the corporation’s CEO, CFO and each of its three most highly compensated NEOs (other than the CEO and CFO) regardless of whether they were in service as of the end of any such tax year.</w:t>
      </w:r>
    </w:p>
    <w:p>
      <w:pPr>
        <w:spacing w:after="0" w:line="115" w:lineRule="exact"/>
        <w:rPr>
          <w:sz w:val="20"/>
          <w:szCs w:val="20"/>
          <w:color w:val="auto"/>
        </w:rPr>
      </w:pPr>
    </w:p>
    <w:p>
      <w:pPr>
        <w:jc w:val="both"/>
        <w:ind w:right="180"/>
        <w:spacing w:after="0" w:line="232" w:lineRule="auto"/>
        <w:rPr>
          <w:sz w:val="20"/>
          <w:szCs w:val="20"/>
          <w:color w:val="auto"/>
        </w:rPr>
      </w:pPr>
      <w:r>
        <w:rPr>
          <w:rFonts w:ascii="Arial" w:cs="Arial" w:eastAsia="Arial" w:hAnsi="Arial"/>
          <w:sz w:val="15"/>
          <w:szCs w:val="15"/>
          <w:color w:val="auto"/>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128" w:lineRule="exact"/>
        <w:rPr>
          <w:sz w:val="20"/>
          <w:szCs w:val="20"/>
          <w:color w:val="auto"/>
        </w:rPr>
      </w:pPr>
    </w:p>
    <w:p>
      <w:pPr>
        <w:ind w:right="80"/>
        <w:spacing w:after="0" w:line="232" w:lineRule="auto"/>
        <w:rPr>
          <w:sz w:val="20"/>
          <w:szCs w:val="20"/>
          <w:color w:val="auto"/>
        </w:rPr>
      </w:pPr>
      <w:r>
        <w:rPr>
          <w:rFonts w:ascii="Arial" w:cs="Arial" w:eastAsia="Arial" w:hAnsi="Arial"/>
          <w:sz w:val="15"/>
          <w:szCs w:val="15"/>
          <w:color w:val="auto"/>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Tax Implications for NEOs</w:t>
      </w:r>
    </w:p>
    <w:p>
      <w:pPr>
        <w:spacing w:after="0" w:line="77"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46</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58" w:name="page59"/>
    <w:bookmarkEnd w:id="58"/>
    <w:p>
      <w:pPr>
        <w:ind w:right="500"/>
        <w:spacing w:after="0" w:line="288" w:lineRule="auto"/>
        <w:rPr>
          <w:sz w:val="20"/>
          <w:szCs w:val="20"/>
          <w:color w:val="auto"/>
        </w:rPr>
      </w:pPr>
      <w:r>
        <w:rPr>
          <w:rFonts w:ascii="Arial" w:cs="Arial" w:eastAsia="Arial" w:hAnsi="Arial"/>
          <w:sz w:val="42"/>
          <w:szCs w:val="42"/>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Report of the Executive Compensation and Human Resources Committee of the Board of Directors</w:t>
      </w:r>
    </w:p>
    <w:p>
      <w:pPr>
        <w:spacing w:after="0" w:line="202"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5D89B4"/>
        </w:rPr>
        <w:t>The Executive Compensation and Human Resources Committee</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Elizabeth P. Sartain, Chair</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Cari M. Dominguez</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William Downe</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William P. Gipson</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Julie M. Howard</w:t>
      </w:r>
    </w:p>
    <w:p>
      <w:pPr>
        <w:spacing w:after="0" w:line="376" w:lineRule="exact"/>
        <w:rPr>
          <w:sz w:val="20"/>
          <w:szCs w:val="20"/>
          <w:color w:val="auto"/>
        </w:rPr>
      </w:pPr>
    </w:p>
    <w:p>
      <w:pPr>
        <w:ind w:right="960"/>
        <w:spacing w:after="0" w:line="288" w:lineRule="auto"/>
        <w:rPr>
          <w:sz w:val="20"/>
          <w:szCs w:val="20"/>
          <w:color w:val="auto"/>
        </w:rPr>
      </w:pPr>
      <w:r>
        <w:rPr>
          <w:rFonts w:ascii="Arial" w:cs="Arial" w:eastAsia="Arial" w:hAnsi="Arial"/>
          <w:sz w:val="42"/>
          <w:szCs w:val="42"/>
          <w:b w:val="1"/>
          <w:bCs w:val="1"/>
          <w:color w:val="5D89B4"/>
        </w:rPr>
        <w:t>Executive Compensation and Human Resources Committee Interlocks and Insider Participation</w:t>
      </w:r>
    </w:p>
    <w:p>
      <w:pPr>
        <w:spacing w:after="0" w:line="202"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No member of the executive compensation and human resources committee has ever been an officer or employee of ManpowerGroup or any of our subsidiaries or had any relationships requiring disclosure under Item 404 of Regulation S-K. None of our executive officers have served on the compensation committee or board of directors of any company of which any of our other directors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20"/>
          </w:cols>
          <w:pgMar w:left="480" w:top="1250" w:right="599" w:bottom="1440" w:gutter="0" w:footer="0" w:header="0"/>
        </w:sectPr>
      </w:pPr>
    </w:p>
    <w:bookmarkStart w:id="59" w:name="page60"/>
    <w:bookmarkEnd w:id="59"/>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Summary Compensation Table</w:t>
      </w:r>
    </w:p>
    <w:p>
      <w:pPr>
        <w:spacing w:after="0" w:line="139" w:lineRule="exact"/>
        <w:rPr>
          <w:sz w:val="20"/>
          <w:szCs w:val="20"/>
          <w:color w:val="auto"/>
        </w:rPr>
      </w:pPr>
    </w:p>
    <w:p>
      <w:pPr>
        <w:jc w:val="both"/>
        <w:ind w:right="40"/>
        <w:spacing w:after="0" w:line="230" w:lineRule="auto"/>
        <w:rPr>
          <w:sz w:val="20"/>
          <w:szCs w:val="20"/>
          <w:color w:val="auto"/>
        </w:rPr>
      </w:pPr>
      <w:r>
        <w:rPr>
          <w:rFonts w:ascii="Arial" w:cs="Arial" w:eastAsia="Arial" w:hAnsi="Arial"/>
          <w:sz w:val="15"/>
          <w:szCs w:val="15"/>
          <w:color w:val="auto"/>
        </w:rPr>
        <w:t>The table below sets forth the compensation information for our NEOs during the fiscal years ended December 31, 2020, December 31, 2019, and December 31, 2018. Ms. Nettles was not an NEO in 2019 or 2018, therefore, in accordance with the SEC’s disclosure rules, information regarding compensation for those years is not included in the tables below. All amounts are calculated in accordance with SEC disclosure rules, including amounts with respect to our equity compensation plan awards, as further described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840" w:type="dxa"/>
            <w:vAlign w:val="bottom"/>
            <w:shd w:val="clear" w:color="auto" w:fill="EAEAEA"/>
          </w:tcPr>
          <w:p>
            <w:pPr>
              <w:spacing w:after="0"/>
              <w:rPr>
                <w:sz w:val="15"/>
                <w:szCs w:val="15"/>
                <w:color w:val="auto"/>
              </w:rPr>
            </w:pPr>
          </w:p>
        </w:tc>
        <w:tc>
          <w:tcPr>
            <w:tcW w:w="680" w:type="dxa"/>
            <w:vAlign w:val="bottom"/>
            <w:shd w:val="clear" w:color="auto" w:fill="EAEAEA"/>
          </w:tcPr>
          <w:p>
            <w:pPr>
              <w:spacing w:after="0"/>
              <w:rPr>
                <w:sz w:val="15"/>
                <w:szCs w:val="15"/>
                <w:color w:val="auto"/>
              </w:rPr>
            </w:pPr>
          </w:p>
        </w:tc>
        <w:tc>
          <w:tcPr>
            <w:tcW w:w="88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1220" w:type="dxa"/>
            <w:vAlign w:val="bottom"/>
            <w:shd w:val="clear" w:color="auto" w:fill="EAEAEA"/>
          </w:tcPr>
          <w:p>
            <w:pPr>
              <w:spacing w:after="0"/>
              <w:rPr>
                <w:sz w:val="15"/>
                <w:szCs w:val="15"/>
                <w:color w:val="auto"/>
              </w:rPr>
            </w:pPr>
          </w:p>
        </w:tc>
        <w:tc>
          <w:tcPr>
            <w:tcW w:w="1220" w:type="dxa"/>
            <w:vAlign w:val="bottom"/>
            <w:shd w:val="clear" w:color="auto" w:fill="EAEAEA"/>
          </w:tcPr>
          <w:p>
            <w:pPr>
              <w:jc w:val="right"/>
              <w:ind w:right="32"/>
              <w:spacing w:after="0"/>
              <w:rPr>
                <w:sz w:val="20"/>
                <w:szCs w:val="20"/>
                <w:color w:val="auto"/>
              </w:rPr>
            </w:pPr>
            <w:r>
              <w:rPr>
                <w:rFonts w:ascii="Arial" w:cs="Arial" w:eastAsia="Arial" w:hAnsi="Arial"/>
                <w:sz w:val="12"/>
                <w:szCs w:val="12"/>
                <w:b w:val="1"/>
                <w:bCs w:val="1"/>
                <w:color w:val="5D89B4"/>
              </w:rPr>
              <w:t>CHANGE IN</w:t>
            </w:r>
          </w:p>
        </w:tc>
        <w:tc>
          <w:tcPr>
            <w:tcW w:w="1220" w:type="dxa"/>
            <w:vAlign w:val="bottom"/>
            <w:shd w:val="clear" w:color="auto" w:fill="EAEAEA"/>
          </w:tcPr>
          <w:p>
            <w:pPr>
              <w:spacing w:after="0"/>
              <w:rPr>
                <w:sz w:val="15"/>
                <w:szCs w:val="15"/>
                <w:color w:val="auto"/>
              </w:rPr>
            </w:pPr>
          </w:p>
        </w:tc>
        <w:tc>
          <w:tcPr>
            <w:tcW w:w="88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PENSION VALUE</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AND NON-</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QUALIFIED</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NON-EQUITY</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DEFERRED</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NAME &amp;</w:t>
            </w: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80" w:type="dxa"/>
            <w:vAlign w:val="bottom"/>
            <w:shd w:val="clear" w:color="auto" w:fill="EAEAEA"/>
          </w:tcPr>
          <w:p>
            <w:pPr>
              <w:jc w:val="right"/>
              <w:ind w:right="50"/>
              <w:spacing w:after="0" w:line="134" w:lineRule="exact"/>
              <w:rPr>
                <w:sz w:val="20"/>
                <w:szCs w:val="20"/>
                <w:color w:val="auto"/>
              </w:rPr>
            </w:pPr>
            <w:r>
              <w:rPr>
                <w:rFonts w:ascii="Arial" w:cs="Arial" w:eastAsia="Arial" w:hAnsi="Arial"/>
                <w:sz w:val="12"/>
                <w:szCs w:val="12"/>
                <w:b w:val="1"/>
                <w:bCs w:val="1"/>
                <w:color w:val="5D89B4"/>
              </w:rPr>
              <w:t>STOCK</w:t>
            </w:r>
          </w:p>
        </w:tc>
        <w:tc>
          <w:tcPr>
            <w:tcW w:w="86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OPTION</w:t>
            </w: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INCENTIVE PLAN</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ALL OTHER</w:t>
            </w: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PRINCIPAL</w:t>
            </w: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jc w:val="right"/>
              <w:ind w:right="10"/>
              <w:spacing w:after="0" w:line="134" w:lineRule="exact"/>
              <w:rPr>
                <w:sz w:val="20"/>
                <w:szCs w:val="20"/>
                <w:color w:val="auto"/>
              </w:rPr>
            </w:pPr>
            <w:r>
              <w:rPr>
                <w:rFonts w:ascii="Arial" w:cs="Arial" w:eastAsia="Arial" w:hAnsi="Arial"/>
                <w:sz w:val="12"/>
                <w:szCs w:val="12"/>
                <w:b w:val="1"/>
                <w:bCs w:val="1"/>
                <w:color w:val="5D89B4"/>
              </w:rPr>
              <w:t>SALARY</w:t>
            </w:r>
          </w:p>
        </w:tc>
        <w:tc>
          <w:tcPr>
            <w:tcW w:w="680" w:type="dxa"/>
            <w:vAlign w:val="bottom"/>
            <w:shd w:val="clear" w:color="auto" w:fill="EAEAEA"/>
          </w:tcPr>
          <w:p>
            <w:pPr>
              <w:jc w:val="right"/>
              <w:ind w:right="50"/>
              <w:spacing w:after="0" w:line="134" w:lineRule="exact"/>
              <w:rPr>
                <w:sz w:val="20"/>
                <w:szCs w:val="20"/>
                <w:color w:val="auto"/>
              </w:rPr>
            </w:pPr>
            <w:r>
              <w:rPr>
                <w:rFonts w:ascii="Arial" w:cs="Arial" w:eastAsia="Arial" w:hAnsi="Arial"/>
                <w:sz w:val="12"/>
                <w:szCs w:val="12"/>
                <w:b w:val="1"/>
                <w:bCs w:val="1"/>
                <w:color w:val="5D89B4"/>
              </w:rPr>
              <w:t>BONUS</w:t>
            </w:r>
          </w:p>
        </w:tc>
        <w:tc>
          <w:tcPr>
            <w:tcW w:w="880" w:type="dxa"/>
            <w:vAlign w:val="bottom"/>
            <w:shd w:val="clear" w:color="auto" w:fill="EAEAEA"/>
          </w:tcPr>
          <w:p>
            <w:pPr>
              <w:jc w:val="right"/>
              <w:ind w:right="50"/>
              <w:spacing w:after="0" w:line="134" w:lineRule="exact"/>
              <w:rPr>
                <w:sz w:val="20"/>
                <w:szCs w:val="20"/>
                <w:color w:val="auto"/>
              </w:rPr>
            </w:pPr>
            <w:r>
              <w:rPr>
                <w:rFonts w:ascii="Arial" w:cs="Arial" w:eastAsia="Arial" w:hAnsi="Arial"/>
                <w:sz w:val="12"/>
                <w:szCs w:val="12"/>
                <w:b w:val="1"/>
                <w:bCs w:val="1"/>
                <w:color w:val="5D89B4"/>
              </w:rPr>
              <w:t>AWARDS</w:t>
            </w:r>
          </w:p>
        </w:tc>
        <w:tc>
          <w:tcPr>
            <w:tcW w:w="86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AWARDS</w:t>
            </w: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EARNINGS</w:t>
            </w:r>
          </w:p>
        </w:tc>
        <w:tc>
          <w:tcPr>
            <w:tcW w:w="122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COMPENSATION</w:t>
            </w:r>
          </w:p>
        </w:tc>
        <w:tc>
          <w:tcPr>
            <w:tcW w:w="88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TOTAL</w:t>
            </w:r>
          </w:p>
        </w:tc>
        <w:tc>
          <w:tcPr>
            <w:tcW w:w="0" w:type="dxa"/>
            <w:vAlign w:val="bottom"/>
          </w:tcPr>
          <w:p>
            <w:pPr>
              <w:spacing w:after="0"/>
              <w:rPr>
                <w:sz w:val="1"/>
                <w:szCs w:val="1"/>
                <w:color w:val="auto"/>
              </w:rPr>
            </w:pPr>
          </w:p>
        </w:tc>
      </w:tr>
      <w:tr>
        <w:trPr>
          <w:trHeight w:val="214"/>
        </w:trPr>
        <w:tc>
          <w:tcPr>
            <w:tcW w:w="25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POSITION</w:t>
            </w:r>
          </w:p>
        </w:tc>
        <w:tc>
          <w:tcPr>
            <w:tcW w:w="620" w:type="dxa"/>
            <w:vAlign w:val="bottom"/>
            <w:tcBorders>
              <w:bottom w:val="single" w:sz="8" w:color="EAEAEA"/>
            </w:tcBorders>
            <w:shd w:val="clear" w:color="auto" w:fill="EAEAEA"/>
          </w:tcPr>
          <w:p>
            <w:pPr>
              <w:jc w:val="right"/>
              <w:ind w:right="49"/>
              <w:spacing w:after="0"/>
              <w:rPr>
                <w:sz w:val="20"/>
                <w:szCs w:val="20"/>
                <w:color w:val="auto"/>
              </w:rPr>
            </w:pPr>
            <w:r>
              <w:rPr>
                <w:rFonts w:ascii="Arial" w:cs="Arial" w:eastAsia="Arial" w:hAnsi="Arial"/>
                <w:sz w:val="12"/>
                <w:szCs w:val="12"/>
                <w:b w:val="1"/>
                <w:bCs w:val="1"/>
                <w:color w:val="5D89B4"/>
              </w:rPr>
              <w:t>YEAR</w:t>
            </w:r>
          </w:p>
        </w:tc>
        <w:tc>
          <w:tcPr>
            <w:tcW w:w="840" w:type="dxa"/>
            <w:vAlign w:val="bottom"/>
            <w:tcBorders>
              <w:bottom w:val="single" w:sz="8" w:color="EAEAEA"/>
            </w:tcBorders>
            <w:shd w:val="clear" w:color="auto" w:fill="EAEAEA"/>
          </w:tcPr>
          <w:p>
            <w:pPr>
              <w:jc w:val="right"/>
              <w:ind w:right="10"/>
              <w:spacing w:after="0"/>
              <w:rPr>
                <w:sz w:val="20"/>
                <w:szCs w:val="20"/>
                <w:color w:val="auto"/>
              </w:rPr>
            </w:pPr>
            <w:r>
              <w:rPr>
                <w:rFonts w:ascii="Arial" w:cs="Arial" w:eastAsia="Arial" w:hAnsi="Arial"/>
                <w:sz w:val="12"/>
                <w:szCs w:val="12"/>
                <w:b w:val="1"/>
                <w:bCs w:val="1"/>
                <w:color w:val="5D89B4"/>
              </w:rPr>
              <w:t>($)(1)</w:t>
            </w:r>
          </w:p>
        </w:tc>
        <w:tc>
          <w:tcPr>
            <w:tcW w:w="680" w:type="dxa"/>
            <w:vAlign w:val="bottom"/>
            <w:tcBorders>
              <w:bottom w:val="single" w:sz="8" w:color="EAEAEA"/>
            </w:tcBorders>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w:t>
            </w:r>
          </w:p>
        </w:tc>
        <w:tc>
          <w:tcPr>
            <w:tcW w:w="880" w:type="dxa"/>
            <w:vAlign w:val="bottom"/>
            <w:tcBorders>
              <w:bottom w:val="single" w:sz="8" w:color="EAEAEA"/>
            </w:tcBorders>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($)(2)</w:t>
            </w:r>
          </w:p>
        </w:tc>
        <w:tc>
          <w:tcPr>
            <w:tcW w:w="860" w:type="dxa"/>
            <w:vAlign w:val="bottom"/>
            <w:tcBorders>
              <w:bottom w:val="single" w:sz="8" w:color="EAEAEA"/>
            </w:tcBorders>
            <w:shd w:val="clear" w:color="auto" w:fill="EAEAEA"/>
          </w:tcPr>
          <w:p>
            <w:pPr>
              <w:jc w:val="right"/>
              <w:ind w:right="30"/>
              <w:spacing w:after="0"/>
              <w:rPr>
                <w:sz w:val="20"/>
                <w:szCs w:val="20"/>
                <w:color w:val="auto"/>
              </w:rPr>
            </w:pPr>
            <w:r>
              <w:rPr>
                <w:rFonts w:ascii="Arial" w:cs="Arial" w:eastAsia="Arial" w:hAnsi="Arial"/>
                <w:sz w:val="12"/>
                <w:szCs w:val="12"/>
                <w:b w:val="1"/>
                <w:bCs w:val="1"/>
                <w:color w:val="5D89B4"/>
              </w:rPr>
              <w:t>($)(3)</w:t>
            </w:r>
          </w:p>
        </w:tc>
        <w:tc>
          <w:tcPr>
            <w:tcW w:w="1220" w:type="dxa"/>
            <w:vAlign w:val="bottom"/>
            <w:tcBorders>
              <w:bottom w:val="single" w:sz="8" w:color="EAEAEA"/>
            </w:tcBorders>
            <w:shd w:val="clear" w:color="auto" w:fill="EAEAEA"/>
          </w:tcPr>
          <w:p>
            <w:pPr>
              <w:jc w:val="right"/>
              <w:ind w:right="11"/>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32"/>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30"/>
              <w:spacing w:after="0"/>
              <w:rPr>
                <w:sz w:val="20"/>
                <w:szCs w:val="20"/>
                <w:color w:val="auto"/>
              </w:rPr>
            </w:pPr>
            <w:r>
              <w:rPr>
                <w:rFonts w:ascii="Arial" w:cs="Arial" w:eastAsia="Arial" w:hAnsi="Arial"/>
                <w:sz w:val="12"/>
                <w:szCs w:val="12"/>
                <w:b w:val="1"/>
                <w:bCs w:val="1"/>
                <w:color w:val="5D89B4"/>
              </w:rPr>
              <w:t>($)(4)</w:t>
            </w:r>
          </w:p>
        </w:tc>
        <w:tc>
          <w:tcPr>
            <w:tcW w:w="8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c>
          <w:tcPr>
            <w:tcW w:w="0" w:type="dxa"/>
            <w:vAlign w:val="bottom"/>
          </w:tcPr>
          <w:p>
            <w:pPr>
              <w:spacing w:after="0"/>
              <w:rPr>
                <w:sz w:val="1"/>
                <w:szCs w:val="1"/>
                <w:color w:val="auto"/>
              </w:rPr>
            </w:pPr>
          </w:p>
        </w:tc>
      </w:tr>
      <w:tr>
        <w:trPr>
          <w:trHeight w:val="165"/>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2020</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1,105,769</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8,000,010</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2,000,002</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760,000</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37,790</w:t>
            </w:r>
          </w:p>
        </w:tc>
        <w:tc>
          <w:tcPr>
            <w:tcW w:w="880" w:type="dxa"/>
            <w:vAlign w:val="bottom"/>
          </w:tcPr>
          <w:p>
            <w:pPr>
              <w:jc w:val="right"/>
              <w:spacing w:after="0"/>
              <w:rPr>
                <w:sz w:val="20"/>
                <w:szCs w:val="20"/>
                <w:color w:val="auto"/>
              </w:rPr>
            </w:pPr>
            <w:r>
              <w:rPr>
                <w:rFonts w:ascii="Arial" w:cs="Arial" w:eastAsia="Arial" w:hAnsi="Arial"/>
                <w:sz w:val="14"/>
                <w:szCs w:val="14"/>
                <w:color w:val="auto"/>
              </w:rPr>
              <w:t>11,903,571</w:t>
            </w:r>
          </w:p>
        </w:tc>
        <w:tc>
          <w:tcPr>
            <w:tcW w:w="0" w:type="dxa"/>
            <w:vAlign w:val="bottom"/>
          </w:tcPr>
          <w:p>
            <w:pPr>
              <w:spacing w:after="0"/>
              <w:rPr>
                <w:sz w:val="1"/>
                <w:szCs w:val="1"/>
                <w:color w:val="auto"/>
              </w:rPr>
            </w:pPr>
          </w:p>
        </w:tc>
      </w:tr>
      <w:tr>
        <w:trPr>
          <w:trHeight w:val="171"/>
        </w:trPr>
        <w:tc>
          <w:tcPr>
            <w:tcW w:w="2500" w:type="dxa"/>
            <w:vAlign w:val="bottom"/>
          </w:tcPr>
          <w:p>
            <w:pPr>
              <w:ind w:left="80"/>
              <w:spacing w:after="0"/>
              <w:rPr>
                <w:sz w:val="20"/>
                <w:szCs w:val="20"/>
                <w:color w:val="auto"/>
              </w:rPr>
            </w:pPr>
            <w:r>
              <w:rPr>
                <w:rFonts w:ascii="Arial" w:cs="Arial" w:eastAsia="Arial" w:hAnsi="Arial"/>
                <w:sz w:val="14"/>
                <w:szCs w:val="14"/>
                <w:color w:val="333333"/>
              </w:rPr>
              <w:t>CEO</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1,250,000</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7,400,036</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1,850,009</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1,995,564</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50,323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12,545,932</w:t>
            </w: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1,250,000</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7,200,060</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1,800,015</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1,137,277</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56,658</w:t>
            </w:r>
          </w:p>
        </w:tc>
        <w:tc>
          <w:tcPr>
            <w:tcW w:w="880" w:type="dxa"/>
            <w:vAlign w:val="bottom"/>
          </w:tcPr>
          <w:p>
            <w:pPr>
              <w:jc w:val="right"/>
              <w:spacing w:after="0"/>
              <w:rPr>
                <w:sz w:val="20"/>
                <w:szCs w:val="20"/>
                <w:color w:val="auto"/>
              </w:rPr>
            </w:pPr>
            <w:r>
              <w:rPr>
                <w:rFonts w:ascii="Arial" w:cs="Arial" w:eastAsia="Arial" w:hAnsi="Arial"/>
                <w:sz w:val="14"/>
                <w:szCs w:val="14"/>
                <w:color w:val="auto"/>
              </w:rPr>
              <w:t>11,444,010</w:t>
            </w:r>
          </w:p>
        </w:tc>
        <w:tc>
          <w:tcPr>
            <w:tcW w:w="0" w:type="dxa"/>
            <w:vAlign w:val="bottom"/>
          </w:tcPr>
          <w:p>
            <w:pPr>
              <w:spacing w:after="0"/>
              <w:rPr>
                <w:sz w:val="1"/>
                <w:szCs w:val="1"/>
                <w:color w:val="auto"/>
              </w:rPr>
            </w:pPr>
          </w:p>
        </w:tc>
      </w:tr>
      <w:tr>
        <w:trPr>
          <w:trHeight w:val="52"/>
        </w:trPr>
        <w:tc>
          <w:tcPr>
            <w:tcW w:w="25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5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John T. McGinnis</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2020</w:t>
            </w:r>
          </w:p>
        </w:tc>
        <w:tc>
          <w:tcPr>
            <w:tcW w:w="840" w:type="dxa"/>
            <w:vAlign w:val="bottom"/>
          </w:tcPr>
          <w:p>
            <w:pPr>
              <w:jc w:val="right"/>
              <w:ind w:right="10"/>
              <w:spacing w:after="0" w:line="159" w:lineRule="exact"/>
              <w:rPr>
                <w:sz w:val="20"/>
                <w:szCs w:val="20"/>
                <w:color w:val="auto"/>
              </w:rPr>
            </w:pPr>
            <w:r>
              <w:rPr>
                <w:rFonts w:ascii="Arial" w:cs="Arial" w:eastAsia="Arial" w:hAnsi="Arial"/>
                <w:sz w:val="14"/>
                <w:szCs w:val="14"/>
                <w:color w:val="auto"/>
              </w:rPr>
              <w:t>683,173</w:t>
            </w:r>
          </w:p>
        </w:tc>
        <w:tc>
          <w:tcPr>
            <w:tcW w:w="6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2,400,096</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600,014</w:t>
            </w:r>
          </w:p>
        </w:tc>
        <w:tc>
          <w:tcPr>
            <w:tcW w:w="1220" w:type="dxa"/>
            <w:vAlign w:val="bottom"/>
          </w:tcPr>
          <w:p>
            <w:pPr>
              <w:jc w:val="right"/>
              <w:ind w:right="11"/>
              <w:spacing w:after="0" w:line="159" w:lineRule="exact"/>
              <w:rPr>
                <w:sz w:val="20"/>
                <w:szCs w:val="20"/>
                <w:color w:val="auto"/>
              </w:rPr>
            </w:pPr>
            <w:r>
              <w:rPr>
                <w:rFonts w:ascii="Arial" w:cs="Arial" w:eastAsia="Arial" w:hAnsi="Arial"/>
                <w:sz w:val="14"/>
                <w:szCs w:val="14"/>
                <w:color w:val="auto"/>
              </w:rPr>
              <w:t>279,125</w:t>
            </w:r>
          </w:p>
        </w:tc>
        <w:tc>
          <w:tcPr>
            <w:tcW w:w="12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line="159" w:lineRule="exact"/>
              <w:rPr>
                <w:sz w:val="20"/>
                <w:szCs w:val="20"/>
                <w:color w:val="auto"/>
              </w:rPr>
            </w:pPr>
            <w:r>
              <w:rPr>
                <w:rFonts w:ascii="Arial" w:cs="Arial" w:eastAsia="Arial" w:hAnsi="Arial"/>
                <w:sz w:val="14"/>
                <w:szCs w:val="14"/>
                <w:color w:val="auto"/>
              </w:rPr>
              <w:t>58,687</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4,021,095</w:t>
            </w:r>
          </w:p>
        </w:tc>
        <w:tc>
          <w:tcPr>
            <w:tcW w:w="0" w:type="dxa"/>
            <w:vAlign w:val="bottom"/>
          </w:tcPr>
          <w:p>
            <w:pPr>
              <w:spacing w:after="0"/>
              <w:rPr>
                <w:sz w:val="1"/>
                <w:szCs w:val="1"/>
                <w:color w:val="auto"/>
              </w:rPr>
            </w:pPr>
          </w:p>
        </w:tc>
      </w:tr>
      <w:tr>
        <w:trPr>
          <w:trHeight w:val="171"/>
        </w:trPr>
        <w:tc>
          <w:tcPr>
            <w:tcW w:w="2500" w:type="dxa"/>
            <w:vAlign w:val="bottom"/>
          </w:tcPr>
          <w:p>
            <w:pPr>
              <w:ind w:left="80"/>
              <w:spacing w:after="0"/>
              <w:rPr>
                <w:sz w:val="20"/>
                <w:szCs w:val="20"/>
                <w:color w:val="auto"/>
              </w:rPr>
            </w:pPr>
            <w:r>
              <w:rPr>
                <w:rFonts w:ascii="Arial" w:cs="Arial" w:eastAsia="Arial" w:hAnsi="Arial"/>
                <w:sz w:val="14"/>
                <w:szCs w:val="14"/>
                <w:color w:val="333333"/>
              </w:rPr>
              <w:t>CFO</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725,000</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2,040,082</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510,002</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788,655</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66,704</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4,130,443</w:t>
            </w: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700,000</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1,920,089</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480,017</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500,000</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88,227</w:t>
            </w:r>
          </w:p>
        </w:tc>
        <w:tc>
          <w:tcPr>
            <w:tcW w:w="880" w:type="dxa"/>
            <w:vAlign w:val="bottom"/>
          </w:tcPr>
          <w:p>
            <w:pPr>
              <w:jc w:val="right"/>
              <w:spacing w:after="0"/>
              <w:rPr>
                <w:sz w:val="20"/>
                <w:szCs w:val="20"/>
                <w:color w:val="auto"/>
              </w:rPr>
            </w:pPr>
            <w:r>
              <w:rPr>
                <w:rFonts w:ascii="Arial" w:cs="Arial" w:eastAsia="Arial" w:hAnsi="Arial"/>
                <w:sz w:val="14"/>
                <w:szCs w:val="14"/>
                <w:color w:val="auto"/>
              </w:rPr>
              <w:t>3,688,333</w:t>
            </w:r>
          </w:p>
        </w:tc>
        <w:tc>
          <w:tcPr>
            <w:tcW w:w="0" w:type="dxa"/>
            <w:vAlign w:val="bottom"/>
          </w:tcPr>
          <w:p>
            <w:pPr>
              <w:spacing w:after="0"/>
              <w:rPr>
                <w:sz w:val="1"/>
                <w:szCs w:val="1"/>
                <w:color w:val="auto"/>
              </w:rPr>
            </w:pPr>
          </w:p>
        </w:tc>
      </w:tr>
      <w:tr>
        <w:trPr>
          <w:trHeight w:val="52"/>
        </w:trPr>
        <w:tc>
          <w:tcPr>
            <w:tcW w:w="25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5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Michelle S. Nettles</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2020</w:t>
            </w:r>
          </w:p>
        </w:tc>
        <w:tc>
          <w:tcPr>
            <w:tcW w:w="840" w:type="dxa"/>
            <w:vAlign w:val="bottom"/>
          </w:tcPr>
          <w:p>
            <w:pPr>
              <w:jc w:val="right"/>
              <w:ind w:right="10"/>
              <w:spacing w:after="0" w:line="159" w:lineRule="exact"/>
              <w:rPr>
                <w:sz w:val="20"/>
                <w:szCs w:val="20"/>
                <w:color w:val="auto"/>
              </w:rPr>
            </w:pPr>
            <w:r>
              <w:rPr>
                <w:rFonts w:ascii="Arial" w:cs="Arial" w:eastAsia="Arial" w:hAnsi="Arial"/>
                <w:sz w:val="14"/>
                <w:szCs w:val="14"/>
                <w:color w:val="auto"/>
              </w:rPr>
              <w:t>518,269</w:t>
            </w:r>
          </w:p>
        </w:tc>
        <w:tc>
          <w:tcPr>
            <w:tcW w:w="6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800,094</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200,017</w:t>
            </w:r>
          </w:p>
        </w:tc>
        <w:tc>
          <w:tcPr>
            <w:tcW w:w="1220" w:type="dxa"/>
            <w:vAlign w:val="bottom"/>
          </w:tcPr>
          <w:p>
            <w:pPr>
              <w:jc w:val="right"/>
              <w:ind w:right="11"/>
              <w:spacing w:after="0" w:line="159" w:lineRule="exact"/>
              <w:rPr>
                <w:sz w:val="20"/>
                <w:szCs w:val="20"/>
                <w:color w:val="auto"/>
              </w:rPr>
            </w:pPr>
            <w:r>
              <w:rPr>
                <w:rFonts w:ascii="Arial" w:cs="Arial" w:eastAsia="Arial" w:hAnsi="Arial"/>
                <w:sz w:val="14"/>
                <w:szCs w:val="14"/>
                <w:color w:val="auto"/>
              </w:rPr>
              <w:t>144,375</w:t>
            </w:r>
          </w:p>
        </w:tc>
        <w:tc>
          <w:tcPr>
            <w:tcW w:w="12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line="159" w:lineRule="exact"/>
              <w:rPr>
                <w:sz w:val="20"/>
                <w:szCs w:val="20"/>
                <w:color w:val="auto"/>
              </w:rPr>
            </w:pPr>
            <w:r>
              <w:rPr>
                <w:rFonts w:ascii="Arial" w:cs="Arial" w:eastAsia="Arial" w:hAnsi="Arial"/>
                <w:sz w:val="14"/>
                <w:szCs w:val="14"/>
                <w:color w:val="auto"/>
              </w:rPr>
              <w:t>31,777</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1,694,532</w:t>
            </w:r>
          </w:p>
        </w:tc>
        <w:tc>
          <w:tcPr>
            <w:tcW w:w="0" w:type="dxa"/>
            <w:vAlign w:val="bottom"/>
          </w:tcPr>
          <w:p>
            <w:pPr>
              <w:spacing w:after="0"/>
              <w:rPr>
                <w:sz w:val="1"/>
                <w:szCs w:val="1"/>
                <w:color w:val="auto"/>
              </w:rPr>
            </w:pPr>
          </w:p>
        </w:tc>
      </w:tr>
      <w:tr>
        <w:trPr>
          <w:trHeight w:val="160"/>
        </w:trPr>
        <w:tc>
          <w:tcPr>
            <w:tcW w:w="2500" w:type="dxa"/>
            <w:vAlign w:val="bottom"/>
          </w:tcPr>
          <w:p>
            <w:pPr>
              <w:ind w:left="80"/>
              <w:spacing w:after="0"/>
              <w:rPr>
                <w:sz w:val="20"/>
                <w:szCs w:val="20"/>
                <w:color w:val="auto"/>
              </w:rPr>
            </w:pPr>
            <w:r>
              <w:rPr>
                <w:rFonts w:ascii="Arial" w:cs="Arial" w:eastAsia="Arial" w:hAnsi="Arial"/>
                <w:sz w:val="14"/>
                <w:szCs w:val="14"/>
                <w:color w:val="333333"/>
              </w:rPr>
              <w:t>Chief People</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ind w:left="80"/>
              <w:spacing w:after="0"/>
              <w:rPr>
                <w:sz w:val="20"/>
                <w:szCs w:val="20"/>
                <w:color w:val="auto"/>
              </w:rPr>
            </w:pPr>
            <w:r>
              <w:rPr>
                <w:rFonts w:ascii="Arial" w:cs="Arial" w:eastAsia="Arial" w:hAnsi="Arial"/>
                <w:sz w:val="14"/>
                <w:szCs w:val="14"/>
                <w:color w:val="333333"/>
              </w:rPr>
              <w:t>and Culture Officer</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500" w:type="dxa"/>
            <w:vAlign w:val="bottom"/>
            <w:tcBorders>
              <w:bottom w:val="single" w:sz="8" w:color="5D89B4"/>
            </w:tcBorders>
          </w:tcPr>
          <w:p>
            <w:pPr>
              <w:spacing w:after="0"/>
              <w:rPr>
                <w:sz w:val="5"/>
                <w:szCs w:val="5"/>
                <w:color w:val="auto"/>
              </w:rPr>
            </w:pPr>
          </w:p>
        </w:tc>
        <w:tc>
          <w:tcPr>
            <w:tcW w:w="62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680" w:type="dxa"/>
            <w:vAlign w:val="bottom"/>
            <w:tcBorders>
              <w:bottom w:val="single" w:sz="8" w:color="5D89B4"/>
            </w:tcBorders>
          </w:tcPr>
          <w:p>
            <w:pPr>
              <w:spacing w:after="0"/>
              <w:rPr>
                <w:sz w:val="5"/>
                <w:szCs w:val="5"/>
                <w:color w:val="auto"/>
              </w:rPr>
            </w:pPr>
          </w:p>
        </w:tc>
        <w:tc>
          <w:tcPr>
            <w:tcW w:w="880" w:type="dxa"/>
            <w:vAlign w:val="bottom"/>
            <w:tcBorders>
              <w:bottom w:val="single" w:sz="8" w:color="5D89B4"/>
            </w:tcBorders>
          </w:tcPr>
          <w:p>
            <w:pPr>
              <w:spacing w:after="0"/>
              <w:rPr>
                <w:sz w:val="5"/>
                <w:szCs w:val="5"/>
                <w:color w:val="auto"/>
              </w:rPr>
            </w:pPr>
          </w:p>
        </w:tc>
        <w:tc>
          <w:tcPr>
            <w:tcW w:w="860" w:type="dxa"/>
            <w:vAlign w:val="bottom"/>
            <w:tcBorders>
              <w:bottom w:val="single" w:sz="8" w:color="5D89B4"/>
            </w:tcBorders>
          </w:tcPr>
          <w:p>
            <w:pPr>
              <w:spacing w:after="0"/>
              <w:rPr>
                <w:sz w:val="5"/>
                <w:szCs w:val="5"/>
                <w:color w:val="auto"/>
              </w:rPr>
            </w:pPr>
          </w:p>
        </w:tc>
        <w:tc>
          <w:tcPr>
            <w:tcW w:w="1220" w:type="dxa"/>
            <w:vAlign w:val="bottom"/>
            <w:tcBorders>
              <w:bottom w:val="single" w:sz="8" w:color="5D89B4"/>
            </w:tcBorders>
          </w:tcPr>
          <w:p>
            <w:pPr>
              <w:spacing w:after="0"/>
              <w:rPr>
                <w:sz w:val="5"/>
                <w:szCs w:val="5"/>
                <w:color w:val="auto"/>
              </w:rPr>
            </w:pPr>
          </w:p>
        </w:tc>
        <w:tc>
          <w:tcPr>
            <w:tcW w:w="1220" w:type="dxa"/>
            <w:vAlign w:val="bottom"/>
            <w:tcBorders>
              <w:bottom w:val="single" w:sz="8" w:color="5D89B4"/>
            </w:tcBorders>
          </w:tcPr>
          <w:p>
            <w:pPr>
              <w:spacing w:after="0"/>
              <w:rPr>
                <w:sz w:val="5"/>
                <w:szCs w:val="5"/>
                <w:color w:val="auto"/>
              </w:rPr>
            </w:pPr>
          </w:p>
        </w:tc>
        <w:tc>
          <w:tcPr>
            <w:tcW w:w="1220" w:type="dxa"/>
            <w:vAlign w:val="bottom"/>
            <w:tcBorders>
              <w:bottom w:val="single" w:sz="8" w:color="5D89B4"/>
            </w:tcBorders>
          </w:tcPr>
          <w:p>
            <w:pPr>
              <w:spacing w:after="0"/>
              <w:rPr>
                <w:sz w:val="5"/>
                <w:szCs w:val="5"/>
                <w:color w:val="auto"/>
              </w:rPr>
            </w:pPr>
          </w:p>
        </w:tc>
        <w:tc>
          <w:tcPr>
            <w:tcW w:w="880" w:type="dxa"/>
            <w:vAlign w:val="bottom"/>
            <w:tcBorders>
              <w:bottom w:val="single" w:sz="8" w:color="5D89B4"/>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5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Richard Buchband</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2020</w:t>
            </w:r>
          </w:p>
        </w:tc>
        <w:tc>
          <w:tcPr>
            <w:tcW w:w="840" w:type="dxa"/>
            <w:vAlign w:val="bottom"/>
          </w:tcPr>
          <w:p>
            <w:pPr>
              <w:jc w:val="right"/>
              <w:ind w:right="10"/>
              <w:spacing w:after="0" w:line="159" w:lineRule="exact"/>
              <w:rPr>
                <w:sz w:val="20"/>
                <w:szCs w:val="20"/>
                <w:color w:val="auto"/>
              </w:rPr>
            </w:pPr>
            <w:r>
              <w:rPr>
                <w:rFonts w:ascii="Arial" w:cs="Arial" w:eastAsia="Arial" w:hAnsi="Arial"/>
                <w:sz w:val="14"/>
                <w:szCs w:val="14"/>
                <w:color w:val="auto"/>
              </w:rPr>
              <w:t>494,712</w:t>
            </w:r>
          </w:p>
        </w:tc>
        <w:tc>
          <w:tcPr>
            <w:tcW w:w="6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640,001</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160,014</w:t>
            </w:r>
          </w:p>
        </w:tc>
        <w:tc>
          <w:tcPr>
            <w:tcW w:w="1220" w:type="dxa"/>
            <w:vAlign w:val="bottom"/>
          </w:tcPr>
          <w:p>
            <w:pPr>
              <w:jc w:val="right"/>
              <w:ind w:right="11"/>
              <w:spacing w:after="0" w:line="159" w:lineRule="exact"/>
              <w:rPr>
                <w:sz w:val="20"/>
                <w:szCs w:val="20"/>
                <w:color w:val="auto"/>
              </w:rPr>
            </w:pPr>
            <w:r>
              <w:rPr>
                <w:rFonts w:ascii="Arial" w:cs="Arial" w:eastAsia="Arial" w:hAnsi="Arial"/>
                <w:sz w:val="14"/>
                <w:szCs w:val="14"/>
                <w:color w:val="auto"/>
              </w:rPr>
              <w:t>137,813</w:t>
            </w:r>
          </w:p>
        </w:tc>
        <w:tc>
          <w:tcPr>
            <w:tcW w:w="12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line="159" w:lineRule="exact"/>
              <w:rPr>
                <w:sz w:val="20"/>
                <w:szCs w:val="20"/>
                <w:color w:val="auto"/>
              </w:rPr>
            </w:pPr>
            <w:r>
              <w:rPr>
                <w:rFonts w:ascii="Arial" w:cs="Arial" w:eastAsia="Arial" w:hAnsi="Arial"/>
                <w:sz w:val="14"/>
                <w:szCs w:val="14"/>
                <w:color w:val="auto"/>
              </w:rPr>
              <w:t>53,236</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1,485,776</w:t>
            </w:r>
          </w:p>
        </w:tc>
        <w:tc>
          <w:tcPr>
            <w:tcW w:w="0" w:type="dxa"/>
            <w:vAlign w:val="bottom"/>
          </w:tcPr>
          <w:p>
            <w:pPr>
              <w:spacing w:after="0"/>
              <w:rPr>
                <w:sz w:val="1"/>
                <w:szCs w:val="1"/>
                <w:color w:val="auto"/>
              </w:rPr>
            </w:pPr>
          </w:p>
        </w:tc>
      </w:tr>
      <w:tr>
        <w:trPr>
          <w:trHeight w:val="160"/>
        </w:trPr>
        <w:tc>
          <w:tcPr>
            <w:tcW w:w="2500" w:type="dxa"/>
            <w:vAlign w:val="bottom"/>
          </w:tcPr>
          <w:p>
            <w:pPr>
              <w:ind w:left="80"/>
              <w:spacing w:after="0"/>
              <w:rPr>
                <w:sz w:val="20"/>
                <w:szCs w:val="20"/>
                <w:color w:val="auto"/>
              </w:rPr>
            </w:pPr>
            <w:r>
              <w:rPr>
                <w:rFonts w:ascii="Arial" w:cs="Arial" w:eastAsia="Arial" w:hAnsi="Arial"/>
                <w:sz w:val="14"/>
                <w:szCs w:val="14"/>
                <w:color w:val="333333"/>
              </w:rPr>
              <w:t>SVP, General</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525,000</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640,148</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160,002</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333,585</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59,972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1,718,707</w:t>
            </w:r>
          </w:p>
        </w:tc>
        <w:tc>
          <w:tcPr>
            <w:tcW w:w="0" w:type="dxa"/>
            <w:vAlign w:val="bottom"/>
          </w:tcPr>
          <w:p>
            <w:pPr>
              <w:spacing w:after="0"/>
              <w:rPr>
                <w:sz w:val="1"/>
                <w:szCs w:val="1"/>
                <w:color w:val="auto"/>
              </w:rPr>
            </w:pPr>
          </w:p>
        </w:tc>
      </w:tr>
      <w:tr>
        <w:trPr>
          <w:trHeight w:val="77"/>
        </w:trPr>
        <w:tc>
          <w:tcPr>
            <w:tcW w:w="2500" w:type="dxa"/>
            <w:vAlign w:val="bottom"/>
            <w:vMerge w:val="restart"/>
          </w:tcPr>
          <w:p>
            <w:pPr>
              <w:ind w:left="80"/>
              <w:spacing w:after="0"/>
              <w:rPr>
                <w:sz w:val="20"/>
                <w:szCs w:val="20"/>
                <w:color w:val="auto"/>
              </w:rPr>
            </w:pPr>
            <w:r>
              <w:rPr>
                <w:rFonts w:ascii="Arial" w:cs="Arial" w:eastAsia="Arial" w:hAnsi="Arial"/>
                <w:sz w:val="14"/>
                <w:szCs w:val="14"/>
                <w:color w:val="333333"/>
              </w:rPr>
              <w:t>Counsel and Secretary</w:t>
            </w: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tcPr>
          <w:p>
            <w:pPr>
              <w:spacing w:after="0"/>
              <w:rPr>
                <w:sz w:val="8"/>
                <w:szCs w:val="8"/>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500,000</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640,153</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160,006</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215,000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66,539</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1,581,698</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5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5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Mara E. Swan(5)</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2020</w:t>
            </w:r>
          </w:p>
        </w:tc>
        <w:tc>
          <w:tcPr>
            <w:tcW w:w="840" w:type="dxa"/>
            <w:vAlign w:val="bottom"/>
          </w:tcPr>
          <w:p>
            <w:pPr>
              <w:jc w:val="right"/>
              <w:ind w:right="10"/>
              <w:spacing w:after="0" w:line="159" w:lineRule="exact"/>
              <w:rPr>
                <w:sz w:val="20"/>
                <w:szCs w:val="20"/>
                <w:color w:val="auto"/>
              </w:rPr>
            </w:pPr>
            <w:r>
              <w:rPr>
                <w:rFonts w:ascii="Arial" w:cs="Arial" w:eastAsia="Arial" w:hAnsi="Arial"/>
                <w:sz w:val="14"/>
                <w:szCs w:val="14"/>
                <w:color w:val="auto"/>
              </w:rPr>
              <w:t>138,558</w:t>
            </w:r>
          </w:p>
        </w:tc>
        <w:tc>
          <w:tcPr>
            <w:tcW w:w="6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line="159" w:lineRule="exact"/>
              <w:rPr>
                <w:sz w:val="20"/>
                <w:szCs w:val="20"/>
                <w:color w:val="auto"/>
              </w:rPr>
            </w:pPr>
            <w:r>
              <w:rPr>
                <w:rFonts w:ascii="Arial" w:cs="Arial" w:eastAsia="Arial" w:hAnsi="Arial"/>
                <w:sz w:val="14"/>
                <w:szCs w:val="14"/>
                <w:color w:val="auto"/>
              </w:rPr>
              <w:t>10,144</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148,702</w:t>
            </w:r>
          </w:p>
        </w:tc>
        <w:tc>
          <w:tcPr>
            <w:tcW w:w="0" w:type="dxa"/>
            <w:vAlign w:val="bottom"/>
          </w:tcPr>
          <w:p>
            <w:pPr>
              <w:spacing w:after="0"/>
              <w:rPr>
                <w:sz w:val="1"/>
                <w:szCs w:val="1"/>
                <w:color w:val="auto"/>
              </w:rPr>
            </w:pPr>
          </w:p>
        </w:tc>
      </w:tr>
      <w:tr>
        <w:trPr>
          <w:trHeight w:val="160"/>
        </w:trPr>
        <w:tc>
          <w:tcPr>
            <w:tcW w:w="2500" w:type="dxa"/>
            <w:vAlign w:val="bottom"/>
          </w:tcPr>
          <w:p>
            <w:pPr>
              <w:ind w:left="80"/>
              <w:spacing w:after="0"/>
              <w:rPr>
                <w:sz w:val="20"/>
                <w:szCs w:val="20"/>
                <w:color w:val="auto"/>
              </w:rPr>
            </w:pPr>
            <w:r>
              <w:rPr>
                <w:rFonts w:ascii="Arial" w:cs="Arial" w:eastAsia="Arial" w:hAnsi="Arial"/>
                <w:sz w:val="14"/>
                <w:szCs w:val="14"/>
                <w:color w:val="333333"/>
              </w:rPr>
              <w:t>Former EVP, Global</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655,000</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1,350,036</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588,714</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65,593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2,659,343</w:t>
            </w:r>
          </w:p>
        </w:tc>
        <w:tc>
          <w:tcPr>
            <w:tcW w:w="0" w:type="dxa"/>
            <w:vAlign w:val="bottom"/>
          </w:tcPr>
          <w:p>
            <w:pPr>
              <w:spacing w:after="0"/>
              <w:rPr>
                <w:sz w:val="1"/>
                <w:szCs w:val="1"/>
                <w:color w:val="auto"/>
              </w:rPr>
            </w:pPr>
          </w:p>
        </w:tc>
      </w:tr>
      <w:tr>
        <w:trPr>
          <w:trHeight w:val="77"/>
        </w:trPr>
        <w:tc>
          <w:tcPr>
            <w:tcW w:w="2500" w:type="dxa"/>
            <w:vAlign w:val="bottom"/>
            <w:vMerge w:val="restart"/>
          </w:tcPr>
          <w:p>
            <w:pPr>
              <w:ind w:left="80"/>
              <w:spacing w:after="0"/>
              <w:rPr>
                <w:sz w:val="20"/>
                <w:szCs w:val="20"/>
                <w:color w:val="auto"/>
              </w:rPr>
            </w:pPr>
            <w:r>
              <w:rPr>
                <w:rFonts w:ascii="Arial" w:cs="Arial" w:eastAsia="Arial" w:hAnsi="Arial"/>
                <w:sz w:val="14"/>
                <w:szCs w:val="14"/>
                <w:color w:val="333333"/>
              </w:rPr>
              <w:t>Strategy &amp; Talent</w:t>
            </w: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tcPr>
          <w:p>
            <w:pPr>
              <w:spacing w:after="0"/>
              <w:rPr>
                <w:sz w:val="8"/>
                <w:szCs w:val="8"/>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610,000</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1,080,150</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270,021</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330,000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67,788</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2,357,959</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5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right="220" w:hanging="433"/>
        <w:spacing w:after="0" w:line="254" w:lineRule="auto"/>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 reported in the Salary column for 2020 represents a temporary reduction in salary of 30% for Mr. Prising and 15% for Messrs. McGinnis and Buchband and Ms. Nettles effective from April to August 2020.</w:t>
      </w:r>
    </w:p>
    <w:p>
      <w:pPr>
        <w:spacing w:after="0" w:line="47" w:lineRule="exact"/>
        <w:rPr>
          <w:rFonts w:ascii="Arial" w:cs="Arial" w:eastAsia="Arial" w:hAnsi="Arial"/>
          <w:sz w:val="14"/>
          <w:szCs w:val="14"/>
          <w:color w:val="auto"/>
        </w:rPr>
      </w:pPr>
    </w:p>
    <w:p>
      <w:pPr>
        <w:ind w:left="440" w:right="180" w:hanging="433"/>
        <w:spacing w:after="0" w:line="246" w:lineRule="auto"/>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PSUs and RSUs (including career shares) as computed in accordance with Financial Accounting Standards Board (“FASB”) Accounting Standards Codification (“ASC”) Topic 718, “Stock Compensation.” See page 50 for the breakout in the grant date fair value of PSUs and RSUs.</w:t>
      </w:r>
    </w:p>
    <w:p>
      <w:pPr>
        <w:spacing w:after="0" w:line="53"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The grant date fair value of the 2020 PSU awards at the outstanding (maximum) level for each executive officer was:</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181"/>
        </w:trPr>
        <w:tc>
          <w:tcPr>
            <w:tcW w:w="8520" w:type="dxa"/>
            <w:vAlign w:val="bottom"/>
            <w:shd w:val="clear" w:color="auto" w:fill="EAEAEA"/>
          </w:tcPr>
          <w:p>
            <w:pPr>
              <w:spacing w:after="0"/>
              <w:rPr>
                <w:sz w:val="15"/>
                <w:szCs w:val="15"/>
                <w:color w:val="auto"/>
              </w:rPr>
            </w:pPr>
          </w:p>
        </w:tc>
        <w:tc>
          <w:tcPr>
            <w:tcW w:w="1520" w:type="dxa"/>
            <w:vAlign w:val="bottom"/>
            <w:shd w:val="clear" w:color="auto" w:fill="EAEAEA"/>
          </w:tcPr>
          <w:p>
            <w:pPr>
              <w:jc w:val="right"/>
              <w:ind w:right="8"/>
              <w:spacing w:after="0"/>
              <w:rPr>
                <w:sz w:val="20"/>
                <w:szCs w:val="20"/>
                <w:color w:val="auto"/>
              </w:rPr>
            </w:pPr>
            <w:r>
              <w:rPr>
                <w:rFonts w:ascii="Arial" w:cs="Arial" w:eastAsia="Arial" w:hAnsi="Arial"/>
                <w:sz w:val="12"/>
                <w:szCs w:val="12"/>
                <w:b w:val="1"/>
                <w:bCs w:val="1"/>
                <w:color w:val="5D89B4"/>
              </w:rPr>
              <w:t>2020</w:t>
            </w:r>
          </w:p>
        </w:tc>
      </w:tr>
      <w:tr>
        <w:trPr>
          <w:trHeight w:val="214"/>
        </w:trPr>
        <w:tc>
          <w:tcPr>
            <w:tcW w:w="85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NAME</w:t>
            </w:r>
          </w:p>
        </w:tc>
        <w:tc>
          <w:tcPr>
            <w:tcW w:w="1520" w:type="dxa"/>
            <w:vAlign w:val="bottom"/>
            <w:tcBorders>
              <w:bottom w:val="single" w:sz="8" w:color="EAEAEA"/>
            </w:tcBorders>
            <w:shd w:val="clear" w:color="auto" w:fill="EAEAEA"/>
          </w:tcPr>
          <w:p>
            <w:pPr>
              <w:jc w:val="right"/>
              <w:ind w:right="8"/>
              <w:spacing w:after="0"/>
              <w:rPr>
                <w:sz w:val="20"/>
                <w:szCs w:val="20"/>
                <w:color w:val="auto"/>
              </w:rPr>
            </w:pPr>
            <w:r>
              <w:rPr>
                <w:rFonts w:ascii="Arial" w:cs="Arial" w:eastAsia="Arial" w:hAnsi="Arial"/>
                <w:sz w:val="12"/>
                <w:szCs w:val="12"/>
                <w:b w:val="1"/>
                <w:bCs w:val="1"/>
                <w:color w:val="5D89B4"/>
              </w:rPr>
              <w:t>($)</w:t>
            </w:r>
          </w:p>
        </w:tc>
      </w:tr>
      <w:tr>
        <w:trPr>
          <w:trHeight w:val="24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520" w:type="dxa"/>
            <w:vAlign w:val="bottom"/>
          </w:tcPr>
          <w:p>
            <w:pPr>
              <w:jc w:val="right"/>
              <w:ind w:right="8"/>
              <w:spacing w:after="0"/>
              <w:rPr>
                <w:sz w:val="20"/>
                <w:szCs w:val="20"/>
                <w:color w:val="auto"/>
              </w:rPr>
            </w:pPr>
            <w:r>
              <w:rPr>
                <w:rFonts w:ascii="Arial" w:cs="Arial" w:eastAsia="Arial" w:hAnsi="Arial"/>
                <w:sz w:val="15"/>
                <w:szCs w:val="15"/>
                <w:color w:val="auto"/>
              </w:rPr>
              <w:t>12,000,016</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520" w:type="dxa"/>
            <w:vAlign w:val="bottom"/>
          </w:tcPr>
          <w:p>
            <w:pPr>
              <w:jc w:val="right"/>
              <w:ind w:right="8"/>
              <w:spacing w:after="0"/>
              <w:rPr>
                <w:sz w:val="20"/>
                <w:szCs w:val="20"/>
                <w:color w:val="auto"/>
              </w:rPr>
            </w:pPr>
            <w:r>
              <w:rPr>
                <w:rFonts w:ascii="Arial" w:cs="Arial" w:eastAsia="Arial" w:hAnsi="Arial"/>
                <w:sz w:val="15"/>
                <w:szCs w:val="15"/>
                <w:color w:val="auto"/>
              </w:rPr>
              <w:t>3,600,098</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520" w:type="dxa"/>
            <w:vAlign w:val="bottom"/>
          </w:tcPr>
          <w:p>
            <w:pPr>
              <w:jc w:val="right"/>
              <w:ind w:right="8"/>
              <w:spacing w:after="0"/>
              <w:rPr>
                <w:sz w:val="20"/>
                <w:szCs w:val="20"/>
                <w:color w:val="auto"/>
              </w:rPr>
            </w:pPr>
            <w:r>
              <w:rPr>
                <w:rFonts w:ascii="Arial" w:cs="Arial" w:eastAsia="Arial" w:hAnsi="Arial"/>
                <w:sz w:val="15"/>
                <w:szCs w:val="15"/>
                <w:color w:val="auto"/>
              </w:rPr>
              <w:t>1,200,094</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520" w:type="dxa"/>
            <w:vAlign w:val="bottom"/>
          </w:tcPr>
          <w:p>
            <w:pPr>
              <w:jc w:val="right"/>
              <w:ind w:right="8"/>
              <w:spacing w:after="0"/>
              <w:rPr>
                <w:sz w:val="20"/>
                <w:szCs w:val="20"/>
                <w:color w:val="auto"/>
              </w:rPr>
            </w:pPr>
            <w:r>
              <w:rPr>
                <w:rFonts w:ascii="Arial" w:cs="Arial" w:eastAsia="Arial" w:hAnsi="Arial"/>
                <w:sz w:val="15"/>
                <w:szCs w:val="15"/>
                <w:color w:val="auto"/>
              </w:rPr>
              <w:t>960,002</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Mara E. Swan</w:t>
            </w:r>
          </w:p>
        </w:tc>
        <w:tc>
          <w:tcPr>
            <w:tcW w:w="152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of the stock options as computed in accordance with FASB ASC Topic 718.</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amounts are described in further detail in the All Other Compensation in 2020 Table.</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Ms. Swan retired from the Company effective March 7, 2020. The amount reported in the Salary column represents her salary through her last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69297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48</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All Other Compensation in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shd w:val="clear" w:color="auto" w:fill="EAEAEA"/>
          </w:tcPr>
          <w:p>
            <w:pPr>
              <w:spacing w:after="0"/>
              <w:rPr>
                <w:sz w:val="15"/>
                <w:szCs w:val="15"/>
                <w:color w:val="auto"/>
              </w:rPr>
            </w:pPr>
          </w:p>
        </w:tc>
        <w:tc>
          <w:tcPr>
            <w:tcW w:w="2220" w:type="dxa"/>
            <w:vAlign w:val="bottom"/>
            <w:shd w:val="clear" w:color="auto" w:fill="EAEAEA"/>
          </w:tcPr>
          <w:p>
            <w:pPr>
              <w:spacing w:after="0"/>
              <w:rPr>
                <w:sz w:val="15"/>
                <w:szCs w:val="15"/>
                <w:color w:val="auto"/>
              </w:rPr>
            </w:pPr>
          </w:p>
        </w:tc>
        <w:tc>
          <w:tcPr>
            <w:tcW w:w="1780" w:type="dxa"/>
            <w:vAlign w:val="bottom"/>
            <w:shd w:val="clear" w:color="auto" w:fill="EAEAEA"/>
          </w:tcPr>
          <w:p>
            <w:pPr>
              <w:spacing w:after="0"/>
              <w:rPr>
                <w:sz w:val="15"/>
                <w:szCs w:val="15"/>
                <w:color w:val="auto"/>
              </w:rPr>
            </w:pPr>
          </w:p>
        </w:tc>
        <w:tc>
          <w:tcPr>
            <w:tcW w:w="1520" w:type="dxa"/>
            <w:vAlign w:val="bottom"/>
            <w:shd w:val="clear" w:color="auto" w:fill="EAEAEA"/>
          </w:tcPr>
          <w:p>
            <w:pPr>
              <w:spacing w:after="0"/>
              <w:rPr>
                <w:sz w:val="15"/>
                <w:szCs w:val="15"/>
                <w:color w:val="auto"/>
              </w:rPr>
            </w:pPr>
          </w:p>
        </w:tc>
        <w:tc>
          <w:tcPr>
            <w:tcW w:w="1660" w:type="dxa"/>
            <w:vAlign w:val="bottom"/>
            <w:shd w:val="clear" w:color="auto" w:fill="EAEAEA"/>
          </w:tcPr>
          <w:p>
            <w:pPr>
              <w:jc w:val="right"/>
              <w:ind w:right="252"/>
              <w:spacing w:after="0"/>
              <w:rPr>
                <w:sz w:val="20"/>
                <w:szCs w:val="20"/>
                <w:color w:val="auto"/>
              </w:rPr>
            </w:pPr>
            <w:r>
              <w:rPr>
                <w:rFonts w:ascii="Arial" w:cs="Arial" w:eastAsia="Arial" w:hAnsi="Arial"/>
                <w:sz w:val="12"/>
                <w:szCs w:val="12"/>
                <w:b w:val="1"/>
                <w:bCs w:val="1"/>
                <w:color w:val="5D89B4"/>
              </w:rPr>
              <w:t>COMPANY</w:t>
            </w:r>
          </w:p>
        </w:tc>
        <w:tc>
          <w:tcPr>
            <w:tcW w:w="1360" w:type="dxa"/>
            <w:vAlign w:val="bottom"/>
            <w:shd w:val="clear" w:color="auto" w:fill="EAEAEA"/>
          </w:tcPr>
          <w:p>
            <w:pPr>
              <w:spacing w:after="0"/>
              <w:rPr>
                <w:sz w:val="15"/>
                <w:szCs w:val="15"/>
                <w:color w:val="auto"/>
              </w:rPr>
            </w:pP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spacing w:after="0"/>
              <w:rPr>
                <w:sz w:val="11"/>
                <w:szCs w:val="11"/>
                <w:color w:val="auto"/>
              </w:rPr>
            </w:pPr>
          </w:p>
        </w:tc>
        <w:tc>
          <w:tcPr>
            <w:tcW w:w="1780" w:type="dxa"/>
            <w:vAlign w:val="bottom"/>
            <w:shd w:val="clear" w:color="auto" w:fill="EAEAEA"/>
          </w:tcPr>
          <w:p>
            <w:pPr>
              <w:spacing w:after="0"/>
              <w:rPr>
                <w:sz w:val="11"/>
                <w:szCs w:val="11"/>
                <w:color w:val="auto"/>
              </w:rPr>
            </w:pPr>
          </w:p>
        </w:tc>
        <w:tc>
          <w:tcPr>
            <w:tcW w:w="1520" w:type="dxa"/>
            <w:vAlign w:val="bottom"/>
            <w:shd w:val="clear" w:color="auto" w:fill="EAEAEA"/>
          </w:tcPr>
          <w:p>
            <w:pPr>
              <w:jc w:val="right"/>
              <w:ind w:right="231"/>
              <w:spacing w:after="0" w:line="134" w:lineRule="exact"/>
              <w:rPr>
                <w:sz w:val="20"/>
                <w:szCs w:val="20"/>
                <w:color w:val="auto"/>
              </w:rPr>
            </w:pPr>
            <w:r>
              <w:rPr>
                <w:rFonts w:ascii="Arial" w:cs="Arial" w:eastAsia="Arial" w:hAnsi="Arial"/>
                <w:sz w:val="12"/>
                <w:szCs w:val="12"/>
                <w:b w:val="1"/>
                <w:bCs w:val="1"/>
                <w:color w:val="5D89B4"/>
              </w:rPr>
              <w:t>PAYMENTS/</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CONTRIBUTIONS</w:t>
            </w:r>
          </w:p>
        </w:tc>
        <w:tc>
          <w:tcPr>
            <w:tcW w:w="1360" w:type="dxa"/>
            <w:vAlign w:val="bottom"/>
            <w:shd w:val="clear" w:color="auto" w:fill="EAEAEA"/>
          </w:tcPr>
          <w:p>
            <w:pPr>
              <w:spacing w:after="0"/>
              <w:rPr>
                <w:sz w:val="11"/>
                <w:szCs w:val="11"/>
                <w:color w:val="auto"/>
              </w:rPr>
            </w:pP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jc w:val="right"/>
              <w:ind w:right="250"/>
              <w:spacing w:after="0" w:line="134" w:lineRule="exact"/>
              <w:rPr>
                <w:sz w:val="20"/>
                <w:szCs w:val="20"/>
                <w:color w:val="auto"/>
              </w:rPr>
            </w:pPr>
            <w:r>
              <w:rPr>
                <w:rFonts w:ascii="Arial" w:cs="Arial" w:eastAsia="Arial" w:hAnsi="Arial"/>
                <w:sz w:val="12"/>
                <w:szCs w:val="12"/>
                <w:b w:val="1"/>
                <w:bCs w:val="1"/>
                <w:color w:val="5D89B4"/>
              </w:rPr>
              <w:t>PERQUISITES &amp;</w:t>
            </w:r>
          </w:p>
        </w:tc>
        <w:tc>
          <w:tcPr>
            <w:tcW w:w="1780" w:type="dxa"/>
            <w:vAlign w:val="bottom"/>
            <w:shd w:val="clear" w:color="auto" w:fill="EAEAEA"/>
          </w:tcPr>
          <w:p>
            <w:pPr>
              <w:spacing w:after="0"/>
              <w:rPr>
                <w:sz w:val="11"/>
                <w:szCs w:val="11"/>
                <w:color w:val="auto"/>
              </w:rPr>
            </w:pPr>
          </w:p>
        </w:tc>
        <w:tc>
          <w:tcPr>
            <w:tcW w:w="1520" w:type="dxa"/>
            <w:vAlign w:val="bottom"/>
            <w:shd w:val="clear" w:color="auto" w:fill="EAEAEA"/>
          </w:tcPr>
          <w:p>
            <w:pPr>
              <w:jc w:val="right"/>
              <w:ind w:right="231"/>
              <w:spacing w:after="0" w:line="134" w:lineRule="exact"/>
              <w:rPr>
                <w:sz w:val="20"/>
                <w:szCs w:val="20"/>
                <w:color w:val="auto"/>
              </w:rPr>
            </w:pPr>
            <w:r>
              <w:rPr>
                <w:rFonts w:ascii="Arial" w:cs="Arial" w:eastAsia="Arial" w:hAnsi="Arial"/>
                <w:sz w:val="12"/>
                <w:szCs w:val="12"/>
                <w:b w:val="1"/>
                <w:bCs w:val="1"/>
                <w:color w:val="5D89B4"/>
              </w:rPr>
              <w:t>ACCRUALS ON</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TO DEFINED</w:t>
            </w:r>
          </w:p>
        </w:tc>
        <w:tc>
          <w:tcPr>
            <w:tcW w:w="1360" w:type="dxa"/>
            <w:vAlign w:val="bottom"/>
            <w:shd w:val="clear" w:color="auto" w:fill="EAEAEA"/>
          </w:tcPr>
          <w:p>
            <w:pPr>
              <w:spacing w:after="0"/>
              <w:rPr>
                <w:sz w:val="11"/>
                <w:szCs w:val="11"/>
                <w:color w:val="auto"/>
              </w:rPr>
            </w:pP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jc w:val="right"/>
              <w:ind w:right="250"/>
              <w:spacing w:after="0" w:line="134" w:lineRule="exact"/>
              <w:rPr>
                <w:sz w:val="20"/>
                <w:szCs w:val="20"/>
                <w:color w:val="auto"/>
              </w:rPr>
            </w:pPr>
            <w:r>
              <w:rPr>
                <w:rFonts w:ascii="Arial" w:cs="Arial" w:eastAsia="Arial" w:hAnsi="Arial"/>
                <w:sz w:val="12"/>
                <w:szCs w:val="12"/>
                <w:b w:val="1"/>
                <w:bCs w:val="1"/>
                <w:color w:val="5D89B4"/>
              </w:rPr>
              <w:t>OTHER</w:t>
            </w:r>
          </w:p>
        </w:tc>
        <w:tc>
          <w:tcPr>
            <w:tcW w:w="1780" w:type="dxa"/>
            <w:vAlign w:val="bottom"/>
            <w:shd w:val="clear" w:color="auto" w:fill="EAEAEA"/>
          </w:tcPr>
          <w:p>
            <w:pPr>
              <w:jc w:val="right"/>
              <w:ind w:right="229"/>
              <w:spacing w:after="0" w:line="134" w:lineRule="exact"/>
              <w:rPr>
                <w:sz w:val="20"/>
                <w:szCs w:val="20"/>
                <w:color w:val="auto"/>
              </w:rPr>
            </w:pPr>
            <w:r>
              <w:rPr>
                <w:rFonts w:ascii="Arial" w:cs="Arial" w:eastAsia="Arial" w:hAnsi="Arial"/>
                <w:sz w:val="12"/>
                <w:szCs w:val="12"/>
                <w:b w:val="1"/>
                <w:bCs w:val="1"/>
                <w:color w:val="5D89B4"/>
              </w:rPr>
              <w:t>TAX</w:t>
            </w:r>
          </w:p>
        </w:tc>
        <w:tc>
          <w:tcPr>
            <w:tcW w:w="1520" w:type="dxa"/>
            <w:vAlign w:val="bottom"/>
            <w:shd w:val="clear" w:color="auto" w:fill="EAEAEA"/>
          </w:tcPr>
          <w:p>
            <w:pPr>
              <w:jc w:val="right"/>
              <w:ind w:right="231"/>
              <w:spacing w:after="0" w:line="134" w:lineRule="exact"/>
              <w:rPr>
                <w:sz w:val="20"/>
                <w:szCs w:val="20"/>
                <w:color w:val="auto"/>
              </w:rPr>
            </w:pPr>
            <w:r>
              <w:rPr>
                <w:rFonts w:ascii="Arial" w:cs="Arial" w:eastAsia="Arial" w:hAnsi="Arial"/>
                <w:sz w:val="12"/>
                <w:szCs w:val="12"/>
                <w:b w:val="1"/>
                <w:bCs w:val="1"/>
                <w:color w:val="5D89B4"/>
              </w:rPr>
              <w:t>TERMINATION</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CONTRIBUTION</w:t>
            </w:r>
          </w:p>
        </w:tc>
        <w:tc>
          <w:tcPr>
            <w:tcW w:w="136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TOTAL OTHER</w:t>
            </w: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jc w:val="right"/>
              <w:ind w:right="250"/>
              <w:spacing w:after="0" w:line="134" w:lineRule="exact"/>
              <w:rPr>
                <w:sz w:val="20"/>
                <w:szCs w:val="20"/>
                <w:color w:val="auto"/>
              </w:rPr>
            </w:pPr>
            <w:r>
              <w:rPr>
                <w:rFonts w:ascii="Arial" w:cs="Arial" w:eastAsia="Arial" w:hAnsi="Arial"/>
                <w:sz w:val="12"/>
                <w:szCs w:val="12"/>
                <w:b w:val="1"/>
                <w:bCs w:val="1"/>
                <w:color w:val="5D89B4"/>
              </w:rPr>
              <w:t>PERSONAL BENEFITS</w:t>
            </w:r>
          </w:p>
        </w:tc>
        <w:tc>
          <w:tcPr>
            <w:tcW w:w="1780" w:type="dxa"/>
            <w:vAlign w:val="bottom"/>
            <w:shd w:val="clear" w:color="auto" w:fill="EAEAEA"/>
          </w:tcPr>
          <w:p>
            <w:pPr>
              <w:jc w:val="right"/>
              <w:ind w:right="229"/>
              <w:spacing w:after="0" w:line="134" w:lineRule="exact"/>
              <w:rPr>
                <w:sz w:val="20"/>
                <w:szCs w:val="20"/>
                <w:color w:val="auto"/>
              </w:rPr>
            </w:pPr>
            <w:r>
              <w:rPr>
                <w:rFonts w:ascii="Arial" w:cs="Arial" w:eastAsia="Arial" w:hAnsi="Arial"/>
                <w:sz w:val="12"/>
                <w:szCs w:val="12"/>
                <w:b w:val="1"/>
                <w:bCs w:val="1"/>
                <w:color w:val="5D89B4"/>
              </w:rPr>
              <w:t>REIMBURSEMENTS</w:t>
            </w:r>
          </w:p>
        </w:tc>
        <w:tc>
          <w:tcPr>
            <w:tcW w:w="1520" w:type="dxa"/>
            <w:vAlign w:val="bottom"/>
            <w:shd w:val="clear" w:color="auto" w:fill="EAEAEA"/>
          </w:tcPr>
          <w:p>
            <w:pPr>
              <w:jc w:val="right"/>
              <w:ind w:right="231"/>
              <w:spacing w:after="0" w:line="134" w:lineRule="exact"/>
              <w:rPr>
                <w:sz w:val="20"/>
                <w:szCs w:val="20"/>
                <w:color w:val="auto"/>
              </w:rPr>
            </w:pPr>
            <w:r>
              <w:rPr>
                <w:rFonts w:ascii="Arial" w:cs="Arial" w:eastAsia="Arial" w:hAnsi="Arial"/>
                <w:sz w:val="12"/>
                <w:szCs w:val="12"/>
                <w:b w:val="1"/>
                <w:bCs w:val="1"/>
                <w:color w:val="5D89B4"/>
              </w:rPr>
              <w:t>PLANS</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PLANS</w:t>
            </w:r>
          </w:p>
        </w:tc>
        <w:tc>
          <w:tcPr>
            <w:tcW w:w="136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COMPENSATION</w:t>
            </w:r>
          </w:p>
        </w:tc>
      </w:tr>
      <w:tr>
        <w:trPr>
          <w:trHeight w:val="214"/>
        </w:trPr>
        <w:tc>
          <w:tcPr>
            <w:tcW w:w="23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NAME &amp; PRINCIPAL POSITION</w:t>
            </w:r>
          </w:p>
        </w:tc>
        <w:tc>
          <w:tcPr>
            <w:tcW w:w="2220" w:type="dxa"/>
            <w:vAlign w:val="bottom"/>
            <w:tcBorders>
              <w:bottom w:val="single" w:sz="8" w:color="EAEAEA"/>
            </w:tcBorders>
            <w:shd w:val="clear" w:color="auto" w:fill="EAEAEA"/>
          </w:tcPr>
          <w:p>
            <w:pPr>
              <w:jc w:val="right"/>
              <w:ind w:right="250"/>
              <w:spacing w:after="0"/>
              <w:rPr>
                <w:sz w:val="20"/>
                <w:szCs w:val="20"/>
                <w:color w:val="auto"/>
              </w:rPr>
            </w:pPr>
            <w:r>
              <w:rPr>
                <w:rFonts w:ascii="Arial" w:cs="Arial" w:eastAsia="Arial" w:hAnsi="Arial"/>
                <w:sz w:val="12"/>
                <w:szCs w:val="12"/>
                <w:b w:val="1"/>
                <w:bCs w:val="1"/>
                <w:color w:val="5D89B4"/>
              </w:rPr>
              <w:t>($)(1)</w:t>
            </w:r>
          </w:p>
        </w:tc>
        <w:tc>
          <w:tcPr>
            <w:tcW w:w="1780" w:type="dxa"/>
            <w:vAlign w:val="bottom"/>
            <w:tcBorders>
              <w:bottom w:val="single" w:sz="8" w:color="EAEAEA"/>
            </w:tcBorders>
            <w:shd w:val="clear" w:color="auto" w:fill="EAEAEA"/>
          </w:tcPr>
          <w:p>
            <w:pPr>
              <w:jc w:val="right"/>
              <w:ind w:right="229"/>
              <w:spacing w:after="0"/>
              <w:rPr>
                <w:sz w:val="20"/>
                <w:szCs w:val="20"/>
                <w:color w:val="auto"/>
              </w:rPr>
            </w:pPr>
            <w:r>
              <w:rPr>
                <w:rFonts w:ascii="Arial" w:cs="Arial" w:eastAsia="Arial" w:hAnsi="Arial"/>
                <w:sz w:val="12"/>
                <w:szCs w:val="12"/>
                <w:b w:val="1"/>
                <w:bCs w:val="1"/>
                <w:color w:val="5D89B4"/>
              </w:rPr>
              <w:t>($)</w:t>
            </w:r>
          </w:p>
        </w:tc>
        <w:tc>
          <w:tcPr>
            <w:tcW w:w="1520" w:type="dxa"/>
            <w:vAlign w:val="bottom"/>
            <w:tcBorders>
              <w:bottom w:val="single" w:sz="8" w:color="EAEAEA"/>
            </w:tcBorders>
            <w:shd w:val="clear" w:color="auto" w:fill="EAEAEA"/>
          </w:tcPr>
          <w:p>
            <w:pPr>
              <w:jc w:val="right"/>
              <w:ind w:right="231"/>
              <w:spacing w:after="0"/>
              <w:rPr>
                <w:sz w:val="20"/>
                <w:szCs w:val="20"/>
                <w:color w:val="auto"/>
              </w:rPr>
            </w:pPr>
            <w:r>
              <w:rPr>
                <w:rFonts w:ascii="Arial" w:cs="Arial" w:eastAsia="Arial" w:hAnsi="Arial"/>
                <w:sz w:val="12"/>
                <w:szCs w:val="12"/>
                <w:b w:val="1"/>
                <w:bCs w:val="1"/>
                <w:color w:val="5D89B4"/>
              </w:rPr>
              <w:t>($)</w:t>
            </w:r>
          </w:p>
        </w:tc>
        <w:tc>
          <w:tcPr>
            <w:tcW w:w="1660" w:type="dxa"/>
            <w:vAlign w:val="bottom"/>
            <w:tcBorders>
              <w:bottom w:val="single" w:sz="8" w:color="EAEAEA"/>
            </w:tcBorders>
            <w:shd w:val="clear" w:color="auto" w:fill="EAEAEA"/>
          </w:tcPr>
          <w:p>
            <w:pPr>
              <w:jc w:val="right"/>
              <w:ind w:right="252"/>
              <w:spacing w:after="0"/>
              <w:rPr>
                <w:sz w:val="20"/>
                <w:szCs w:val="20"/>
                <w:color w:val="auto"/>
              </w:rPr>
            </w:pPr>
            <w:r>
              <w:rPr>
                <w:rFonts w:ascii="Arial" w:cs="Arial" w:eastAsia="Arial" w:hAnsi="Arial"/>
                <w:sz w:val="12"/>
                <w:szCs w:val="12"/>
                <w:b w:val="1"/>
                <w:bCs w:val="1"/>
                <w:color w:val="5D89B4"/>
              </w:rPr>
              <w:t>($)(2)</w:t>
            </w:r>
          </w:p>
        </w:tc>
        <w:tc>
          <w:tcPr>
            <w:tcW w:w="13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r>
      <w:tr>
        <w:trPr>
          <w:trHeight w:val="232"/>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220" w:type="dxa"/>
            <w:vAlign w:val="bottom"/>
          </w:tcPr>
          <w:p>
            <w:pPr>
              <w:jc w:val="right"/>
              <w:ind w:right="250"/>
              <w:spacing w:after="0"/>
              <w:rPr>
                <w:sz w:val="20"/>
                <w:szCs w:val="20"/>
                <w:color w:val="auto"/>
              </w:rPr>
            </w:pPr>
            <w:r>
              <w:rPr>
                <w:rFonts w:ascii="Arial" w:cs="Arial" w:eastAsia="Arial" w:hAnsi="Arial"/>
                <w:sz w:val="15"/>
                <w:szCs w:val="15"/>
                <w:color w:val="auto"/>
              </w:rPr>
              <w:t>12,790</w:t>
            </w:r>
          </w:p>
        </w:tc>
        <w:tc>
          <w:tcPr>
            <w:tcW w:w="1780" w:type="dxa"/>
            <w:vAlign w:val="bottom"/>
          </w:tcPr>
          <w:p>
            <w:pPr>
              <w:jc w:val="right"/>
              <w:ind w:right="229"/>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1"/>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25,000</w:t>
            </w:r>
          </w:p>
        </w:tc>
        <w:tc>
          <w:tcPr>
            <w:tcW w:w="1360" w:type="dxa"/>
            <w:vAlign w:val="bottom"/>
          </w:tcPr>
          <w:p>
            <w:pPr>
              <w:jc w:val="right"/>
              <w:spacing w:after="0"/>
              <w:rPr>
                <w:sz w:val="20"/>
                <w:szCs w:val="20"/>
                <w:color w:val="auto"/>
              </w:rPr>
            </w:pPr>
            <w:r>
              <w:rPr>
                <w:rFonts w:ascii="Arial" w:cs="Arial" w:eastAsia="Arial" w:hAnsi="Arial"/>
                <w:sz w:val="15"/>
                <w:szCs w:val="15"/>
                <w:color w:val="auto"/>
              </w:rPr>
              <w:t>37,790</w:t>
            </w:r>
          </w:p>
        </w:tc>
      </w:tr>
      <w:tr>
        <w:trPr>
          <w:trHeight w:val="171"/>
        </w:trPr>
        <w:tc>
          <w:tcPr>
            <w:tcW w:w="2380" w:type="dxa"/>
            <w:vAlign w:val="bottom"/>
          </w:tcPr>
          <w:p>
            <w:pPr>
              <w:ind w:left="80"/>
              <w:spacing w:after="0"/>
              <w:rPr>
                <w:sz w:val="20"/>
                <w:szCs w:val="20"/>
                <w:color w:val="auto"/>
              </w:rPr>
            </w:pPr>
            <w:r>
              <w:rPr>
                <w:rFonts w:ascii="Arial" w:cs="Arial" w:eastAsia="Arial" w:hAnsi="Arial"/>
                <w:sz w:val="14"/>
                <w:szCs w:val="14"/>
                <w:color w:val="333333"/>
              </w:rPr>
              <w:t>CEO</w:t>
            </w:r>
          </w:p>
        </w:tc>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5"/>
        </w:trPr>
        <w:tc>
          <w:tcPr>
            <w:tcW w:w="2380" w:type="dxa"/>
            <w:vAlign w:val="bottom"/>
            <w:tcBorders>
              <w:bottom w:val="single" w:sz="8" w:color="5D89B4"/>
            </w:tcBorders>
          </w:tcPr>
          <w:p>
            <w:pPr>
              <w:spacing w:after="0"/>
              <w:rPr>
                <w:sz w:val="5"/>
                <w:szCs w:val="5"/>
                <w:color w:val="auto"/>
              </w:rPr>
            </w:pPr>
          </w:p>
        </w:tc>
        <w:tc>
          <w:tcPr>
            <w:tcW w:w="2220" w:type="dxa"/>
            <w:vAlign w:val="bottom"/>
            <w:tcBorders>
              <w:bottom w:val="single" w:sz="8" w:color="5D89B4"/>
            </w:tcBorders>
          </w:tcPr>
          <w:p>
            <w:pPr>
              <w:spacing w:after="0"/>
              <w:rPr>
                <w:sz w:val="5"/>
                <w:szCs w:val="5"/>
                <w:color w:val="auto"/>
              </w:rPr>
            </w:pPr>
          </w:p>
        </w:tc>
        <w:tc>
          <w:tcPr>
            <w:tcW w:w="1780" w:type="dxa"/>
            <w:vAlign w:val="bottom"/>
            <w:tcBorders>
              <w:bottom w:val="single" w:sz="8" w:color="5D89B4"/>
            </w:tcBorders>
          </w:tcPr>
          <w:p>
            <w:pPr>
              <w:spacing w:after="0"/>
              <w:rPr>
                <w:sz w:val="5"/>
                <w:szCs w:val="5"/>
                <w:color w:val="auto"/>
              </w:rPr>
            </w:pPr>
          </w:p>
        </w:tc>
        <w:tc>
          <w:tcPr>
            <w:tcW w:w="1520" w:type="dxa"/>
            <w:vAlign w:val="bottom"/>
            <w:tcBorders>
              <w:bottom w:val="single" w:sz="8" w:color="5D89B4"/>
            </w:tcBorders>
          </w:tcPr>
          <w:p>
            <w:pPr>
              <w:spacing w:after="0"/>
              <w:rPr>
                <w:sz w:val="5"/>
                <w:szCs w:val="5"/>
                <w:color w:val="auto"/>
              </w:rPr>
            </w:pPr>
          </w:p>
        </w:tc>
        <w:tc>
          <w:tcPr>
            <w:tcW w:w="1660" w:type="dxa"/>
            <w:vAlign w:val="bottom"/>
            <w:tcBorders>
              <w:bottom w:val="single" w:sz="8" w:color="5D89B4"/>
            </w:tcBorders>
          </w:tcPr>
          <w:p>
            <w:pPr>
              <w:spacing w:after="0"/>
              <w:rPr>
                <w:sz w:val="5"/>
                <w:szCs w:val="5"/>
                <w:color w:val="auto"/>
              </w:rPr>
            </w:pPr>
          </w:p>
        </w:tc>
        <w:tc>
          <w:tcPr>
            <w:tcW w:w="1360" w:type="dxa"/>
            <w:vAlign w:val="bottom"/>
            <w:tcBorders>
              <w:bottom w:val="single" w:sz="8" w:color="5D89B4"/>
            </w:tcBorders>
          </w:tcPr>
          <w:p>
            <w:pPr>
              <w:spacing w:after="0"/>
              <w:rPr>
                <w:sz w:val="5"/>
                <w:szCs w:val="5"/>
                <w:color w:val="auto"/>
              </w:rPr>
            </w:pPr>
          </w:p>
        </w:tc>
      </w:tr>
      <w:tr>
        <w:trPr>
          <w:trHeight w:val="212"/>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220" w:type="dxa"/>
            <w:vAlign w:val="bottom"/>
          </w:tcPr>
          <w:p>
            <w:pPr>
              <w:jc w:val="right"/>
              <w:ind w:right="250"/>
              <w:spacing w:after="0"/>
              <w:rPr>
                <w:sz w:val="20"/>
                <w:szCs w:val="20"/>
                <w:color w:val="auto"/>
              </w:rPr>
            </w:pPr>
            <w:r>
              <w:rPr>
                <w:rFonts w:ascii="Arial" w:cs="Arial" w:eastAsia="Arial" w:hAnsi="Arial"/>
                <w:sz w:val="15"/>
                <w:szCs w:val="15"/>
                <w:color w:val="auto"/>
              </w:rPr>
              <w:t>33,687</w:t>
            </w:r>
          </w:p>
        </w:tc>
        <w:tc>
          <w:tcPr>
            <w:tcW w:w="1780" w:type="dxa"/>
            <w:vAlign w:val="bottom"/>
          </w:tcPr>
          <w:p>
            <w:pPr>
              <w:jc w:val="right"/>
              <w:ind w:right="229"/>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1"/>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25,000</w:t>
            </w:r>
          </w:p>
        </w:tc>
        <w:tc>
          <w:tcPr>
            <w:tcW w:w="1360" w:type="dxa"/>
            <w:vAlign w:val="bottom"/>
          </w:tcPr>
          <w:p>
            <w:pPr>
              <w:jc w:val="right"/>
              <w:spacing w:after="0"/>
              <w:rPr>
                <w:sz w:val="20"/>
                <w:szCs w:val="20"/>
                <w:color w:val="auto"/>
              </w:rPr>
            </w:pPr>
            <w:r>
              <w:rPr>
                <w:rFonts w:ascii="Arial" w:cs="Arial" w:eastAsia="Arial" w:hAnsi="Arial"/>
                <w:sz w:val="15"/>
                <w:szCs w:val="15"/>
                <w:color w:val="auto"/>
              </w:rPr>
              <w:t>58,687</w:t>
            </w:r>
          </w:p>
        </w:tc>
      </w:tr>
      <w:tr>
        <w:trPr>
          <w:trHeight w:val="171"/>
        </w:trPr>
        <w:tc>
          <w:tcPr>
            <w:tcW w:w="2380" w:type="dxa"/>
            <w:vAlign w:val="bottom"/>
          </w:tcPr>
          <w:p>
            <w:pPr>
              <w:ind w:left="80"/>
              <w:spacing w:after="0"/>
              <w:rPr>
                <w:sz w:val="20"/>
                <w:szCs w:val="20"/>
                <w:color w:val="auto"/>
              </w:rPr>
            </w:pPr>
            <w:r>
              <w:rPr>
                <w:rFonts w:ascii="Arial" w:cs="Arial" w:eastAsia="Arial" w:hAnsi="Arial"/>
                <w:sz w:val="14"/>
                <w:szCs w:val="14"/>
                <w:color w:val="333333"/>
              </w:rPr>
              <w:t>CFO</w:t>
            </w:r>
          </w:p>
        </w:tc>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5"/>
        </w:trPr>
        <w:tc>
          <w:tcPr>
            <w:tcW w:w="2380" w:type="dxa"/>
            <w:vAlign w:val="bottom"/>
            <w:tcBorders>
              <w:bottom w:val="single" w:sz="8" w:color="5D89B4"/>
            </w:tcBorders>
          </w:tcPr>
          <w:p>
            <w:pPr>
              <w:spacing w:after="0"/>
              <w:rPr>
                <w:sz w:val="5"/>
                <w:szCs w:val="5"/>
                <w:color w:val="auto"/>
              </w:rPr>
            </w:pPr>
          </w:p>
        </w:tc>
        <w:tc>
          <w:tcPr>
            <w:tcW w:w="2220" w:type="dxa"/>
            <w:vAlign w:val="bottom"/>
            <w:tcBorders>
              <w:bottom w:val="single" w:sz="8" w:color="5D89B4"/>
            </w:tcBorders>
          </w:tcPr>
          <w:p>
            <w:pPr>
              <w:spacing w:after="0"/>
              <w:rPr>
                <w:sz w:val="5"/>
                <w:szCs w:val="5"/>
                <w:color w:val="auto"/>
              </w:rPr>
            </w:pPr>
          </w:p>
        </w:tc>
        <w:tc>
          <w:tcPr>
            <w:tcW w:w="1780" w:type="dxa"/>
            <w:vAlign w:val="bottom"/>
            <w:tcBorders>
              <w:bottom w:val="single" w:sz="8" w:color="5D89B4"/>
            </w:tcBorders>
          </w:tcPr>
          <w:p>
            <w:pPr>
              <w:spacing w:after="0"/>
              <w:rPr>
                <w:sz w:val="5"/>
                <w:szCs w:val="5"/>
                <w:color w:val="auto"/>
              </w:rPr>
            </w:pPr>
          </w:p>
        </w:tc>
        <w:tc>
          <w:tcPr>
            <w:tcW w:w="1520" w:type="dxa"/>
            <w:vAlign w:val="bottom"/>
            <w:tcBorders>
              <w:bottom w:val="single" w:sz="8" w:color="5D89B4"/>
            </w:tcBorders>
          </w:tcPr>
          <w:p>
            <w:pPr>
              <w:spacing w:after="0"/>
              <w:rPr>
                <w:sz w:val="5"/>
                <w:szCs w:val="5"/>
                <w:color w:val="auto"/>
              </w:rPr>
            </w:pPr>
          </w:p>
        </w:tc>
        <w:tc>
          <w:tcPr>
            <w:tcW w:w="1660" w:type="dxa"/>
            <w:vAlign w:val="bottom"/>
            <w:tcBorders>
              <w:bottom w:val="single" w:sz="8" w:color="5D89B4"/>
            </w:tcBorders>
          </w:tcPr>
          <w:p>
            <w:pPr>
              <w:spacing w:after="0"/>
              <w:rPr>
                <w:sz w:val="5"/>
                <w:szCs w:val="5"/>
                <w:color w:val="auto"/>
              </w:rPr>
            </w:pPr>
          </w:p>
        </w:tc>
        <w:tc>
          <w:tcPr>
            <w:tcW w:w="1360" w:type="dxa"/>
            <w:vAlign w:val="bottom"/>
            <w:tcBorders>
              <w:bottom w:val="single" w:sz="8" w:color="5D89B4"/>
            </w:tcBorders>
          </w:tcPr>
          <w:p>
            <w:pPr>
              <w:spacing w:after="0"/>
              <w:rPr>
                <w:sz w:val="5"/>
                <w:szCs w:val="5"/>
                <w:color w:val="auto"/>
              </w:rPr>
            </w:pPr>
          </w:p>
        </w:tc>
      </w:tr>
      <w:tr>
        <w:trPr>
          <w:trHeight w:val="212"/>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220" w:type="dxa"/>
            <w:vAlign w:val="bottom"/>
          </w:tcPr>
          <w:p>
            <w:pPr>
              <w:jc w:val="right"/>
              <w:ind w:right="250"/>
              <w:spacing w:after="0"/>
              <w:rPr>
                <w:sz w:val="20"/>
                <w:szCs w:val="20"/>
                <w:color w:val="auto"/>
              </w:rPr>
            </w:pPr>
            <w:r>
              <w:rPr>
                <w:rFonts w:ascii="Arial" w:cs="Arial" w:eastAsia="Arial" w:hAnsi="Arial"/>
                <w:sz w:val="15"/>
                <w:szCs w:val="15"/>
                <w:color w:val="auto"/>
              </w:rPr>
              <w:t>31,134</w:t>
            </w:r>
          </w:p>
        </w:tc>
        <w:tc>
          <w:tcPr>
            <w:tcW w:w="1780" w:type="dxa"/>
            <w:vAlign w:val="bottom"/>
          </w:tcPr>
          <w:p>
            <w:pPr>
              <w:jc w:val="right"/>
              <w:ind w:right="229"/>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1"/>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643</w:t>
            </w:r>
          </w:p>
        </w:tc>
        <w:tc>
          <w:tcPr>
            <w:tcW w:w="1360" w:type="dxa"/>
            <w:vAlign w:val="bottom"/>
          </w:tcPr>
          <w:p>
            <w:pPr>
              <w:jc w:val="right"/>
              <w:spacing w:after="0"/>
              <w:rPr>
                <w:sz w:val="20"/>
                <w:szCs w:val="20"/>
                <w:color w:val="auto"/>
              </w:rPr>
            </w:pPr>
            <w:r>
              <w:rPr>
                <w:rFonts w:ascii="Arial" w:cs="Arial" w:eastAsia="Arial" w:hAnsi="Arial"/>
                <w:sz w:val="15"/>
                <w:szCs w:val="15"/>
                <w:color w:val="auto"/>
              </w:rPr>
              <w:t>31,777</w:t>
            </w:r>
          </w:p>
        </w:tc>
      </w:tr>
      <w:tr>
        <w:trPr>
          <w:trHeight w:val="171"/>
        </w:trPr>
        <w:tc>
          <w:tcPr>
            <w:tcW w:w="2380" w:type="dxa"/>
            <w:vAlign w:val="bottom"/>
          </w:tcPr>
          <w:p>
            <w:pPr>
              <w:ind w:left="80"/>
              <w:spacing w:after="0"/>
              <w:rPr>
                <w:sz w:val="20"/>
                <w:szCs w:val="20"/>
                <w:color w:val="auto"/>
              </w:rPr>
            </w:pPr>
            <w:r>
              <w:rPr>
                <w:rFonts w:ascii="Arial" w:cs="Arial" w:eastAsia="Arial" w:hAnsi="Arial"/>
                <w:sz w:val="14"/>
                <w:szCs w:val="14"/>
                <w:color w:val="333333"/>
              </w:rPr>
              <w:t>Chief People and Culture Officer</w:t>
            </w:r>
          </w:p>
        </w:tc>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5"/>
        </w:trPr>
        <w:tc>
          <w:tcPr>
            <w:tcW w:w="2380" w:type="dxa"/>
            <w:vAlign w:val="bottom"/>
            <w:tcBorders>
              <w:bottom w:val="single" w:sz="8" w:color="5D89B4"/>
            </w:tcBorders>
          </w:tcPr>
          <w:p>
            <w:pPr>
              <w:spacing w:after="0"/>
              <w:rPr>
                <w:sz w:val="5"/>
                <w:szCs w:val="5"/>
                <w:color w:val="auto"/>
              </w:rPr>
            </w:pPr>
          </w:p>
        </w:tc>
        <w:tc>
          <w:tcPr>
            <w:tcW w:w="2220" w:type="dxa"/>
            <w:vAlign w:val="bottom"/>
            <w:tcBorders>
              <w:bottom w:val="single" w:sz="8" w:color="5D89B4"/>
            </w:tcBorders>
          </w:tcPr>
          <w:p>
            <w:pPr>
              <w:spacing w:after="0"/>
              <w:rPr>
                <w:sz w:val="5"/>
                <w:szCs w:val="5"/>
                <w:color w:val="auto"/>
              </w:rPr>
            </w:pPr>
          </w:p>
        </w:tc>
        <w:tc>
          <w:tcPr>
            <w:tcW w:w="1780" w:type="dxa"/>
            <w:vAlign w:val="bottom"/>
            <w:tcBorders>
              <w:bottom w:val="single" w:sz="8" w:color="5D89B4"/>
            </w:tcBorders>
          </w:tcPr>
          <w:p>
            <w:pPr>
              <w:spacing w:after="0"/>
              <w:rPr>
                <w:sz w:val="5"/>
                <w:szCs w:val="5"/>
                <w:color w:val="auto"/>
              </w:rPr>
            </w:pPr>
          </w:p>
        </w:tc>
        <w:tc>
          <w:tcPr>
            <w:tcW w:w="1520" w:type="dxa"/>
            <w:vAlign w:val="bottom"/>
            <w:tcBorders>
              <w:bottom w:val="single" w:sz="8" w:color="5D89B4"/>
            </w:tcBorders>
          </w:tcPr>
          <w:p>
            <w:pPr>
              <w:spacing w:after="0"/>
              <w:rPr>
                <w:sz w:val="5"/>
                <w:szCs w:val="5"/>
                <w:color w:val="auto"/>
              </w:rPr>
            </w:pPr>
          </w:p>
        </w:tc>
        <w:tc>
          <w:tcPr>
            <w:tcW w:w="1660" w:type="dxa"/>
            <w:vAlign w:val="bottom"/>
            <w:tcBorders>
              <w:bottom w:val="single" w:sz="8" w:color="5D89B4"/>
            </w:tcBorders>
          </w:tcPr>
          <w:p>
            <w:pPr>
              <w:spacing w:after="0"/>
              <w:rPr>
                <w:sz w:val="5"/>
                <w:szCs w:val="5"/>
                <w:color w:val="auto"/>
              </w:rPr>
            </w:pPr>
          </w:p>
        </w:tc>
        <w:tc>
          <w:tcPr>
            <w:tcW w:w="1360" w:type="dxa"/>
            <w:vAlign w:val="bottom"/>
            <w:tcBorders>
              <w:bottom w:val="single" w:sz="8" w:color="5D89B4"/>
            </w:tcBorders>
          </w:tcPr>
          <w:p>
            <w:pPr>
              <w:spacing w:after="0"/>
              <w:rPr>
                <w:sz w:val="5"/>
                <w:szCs w:val="5"/>
                <w:color w:val="auto"/>
              </w:rPr>
            </w:pPr>
          </w:p>
        </w:tc>
      </w:tr>
      <w:tr>
        <w:trPr>
          <w:trHeight w:val="212"/>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220" w:type="dxa"/>
            <w:vAlign w:val="bottom"/>
          </w:tcPr>
          <w:p>
            <w:pPr>
              <w:jc w:val="right"/>
              <w:ind w:right="250"/>
              <w:spacing w:after="0"/>
              <w:rPr>
                <w:sz w:val="20"/>
                <w:szCs w:val="20"/>
                <w:color w:val="auto"/>
              </w:rPr>
            </w:pPr>
            <w:r>
              <w:rPr>
                <w:rFonts w:ascii="Arial" w:cs="Arial" w:eastAsia="Arial" w:hAnsi="Arial"/>
                <w:sz w:val="15"/>
                <w:szCs w:val="15"/>
                <w:color w:val="auto"/>
              </w:rPr>
              <w:t>28,388</w:t>
            </w:r>
          </w:p>
        </w:tc>
        <w:tc>
          <w:tcPr>
            <w:tcW w:w="1780" w:type="dxa"/>
            <w:vAlign w:val="bottom"/>
          </w:tcPr>
          <w:p>
            <w:pPr>
              <w:jc w:val="right"/>
              <w:ind w:right="229"/>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1"/>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24,848</w:t>
            </w:r>
          </w:p>
        </w:tc>
        <w:tc>
          <w:tcPr>
            <w:tcW w:w="1360" w:type="dxa"/>
            <w:vAlign w:val="bottom"/>
          </w:tcPr>
          <w:p>
            <w:pPr>
              <w:jc w:val="right"/>
              <w:spacing w:after="0"/>
              <w:rPr>
                <w:sz w:val="20"/>
                <w:szCs w:val="20"/>
                <w:color w:val="auto"/>
              </w:rPr>
            </w:pPr>
            <w:r>
              <w:rPr>
                <w:rFonts w:ascii="Arial" w:cs="Arial" w:eastAsia="Arial" w:hAnsi="Arial"/>
                <w:sz w:val="15"/>
                <w:szCs w:val="15"/>
                <w:color w:val="auto"/>
              </w:rPr>
              <w:t>53,236</w:t>
            </w:r>
          </w:p>
        </w:tc>
      </w:tr>
      <w:tr>
        <w:trPr>
          <w:trHeight w:val="160"/>
        </w:trPr>
        <w:tc>
          <w:tcPr>
            <w:tcW w:w="2380" w:type="dxa"/>
            <w:vAlign w:val="bottom"/>
          </w:tcPr>
          <w:p>
            <w:pPr>
              <w:ind w:left="80"/>
              <w:spacing w:after="0"/>
              <w:rPr>
                <w:sz w:val="20"/>
                <w:szCs w:val="20"/>
                <w:color w:val="auto"/>
              </w:rPr>
            </w:pPr>
            <w:r>
              <w:rPr>
                <w:rFonts w:ascii="Arial" w:cs="Arial" w:eastAsia="Arial" w:hAnsi="Arial"/>
                <w:sz w:val="14"/>
                <w:szCs w:val="14"/>
                <w:color w:val="333333"/>
              </w:rPr>
              <w:t>SVP, General Counsel and</w:t>
            </w:r>
          </w:p>
        </w:tc>
        <w:tc>
          <w:tcPr>
            <w:tcW w:w="2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1"/>
        </w:trPr>
        <w:tc>
          <w:tcPr>
            <w:tcW w:w="2380" w:type="dxa"/>
            <w:vAlign w:val="bottom"/>
          </w:tcPr>
          <w:p>
            <w:pPr>
              <w:ind w:left="80"/>
              <w:spacing w:after="0"/>
              <w:rPr>
                <w:sz w:val="20"/>
                <w:szCs w:val="20"/>
                <w:color w:val="auto"/>
              </w:rPr>
            </w:pPr>
            <w:r>
              <w:rPr>
                <w:rFonts w:ascii="Arial" w:cs="Arial" w:eastAsia="Arial" w:hAnsi="Arial"/>
                <w:sz w:val="14"/>
                <w:szCs w:val="14"/>
                <w:color w:val="333333"/>
              </w:rPr>
              <w:t>Secretary</w:t>
            </w:r>
          </w:p>
        </w:tc>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5"/>
        </w:trPr>
        <w:tc>
          <w:tcPr>
            <w:tcW w:w="2380" w:type="dxa"/>
            <w:vAlign w:val="bottom"/>
            <w:tcBorders>
              <w:bottom w:val="single" w:sz="8" w:color="5D89B4"/>
            </w:tcBorders>
          </w:tcPr>
          <w:p>
            <w:pPr>
              <w:spacing w:after="0"/>
              <w:rPr>
                <w:sz w:val="5"/>
                <w:szCs w:val="5"/>
                <w:color w:val="auto"/>
              </w:rPr>
            </w:pPr>
          </w:p>
        </w:tc>
        <w:tc>
          <w:tcPr>
            <w:tcW w:w="2220" w:type="dxa"/>
            <w:vAlign w:val="bottom"/>
            <w:tcBorders>
              <w:bottom w:val="single" w:sz="8" w:color="5D89B4"/>
            </w:tcBorders>
          </w:tcPr>
          <w:p>
            <w:pPr>
              <w:spacing w:after="0"/>
              <w:rPr>
                <w:sz w:val="5"/>
                <w:szCs w:val="5"/>
                <w:color w:val="auto"/>
              </w:rPr>
            </w:pPr>
          </w:p>
        </w:tc>
        <w:tc>
          <w:tcPr>
            <w:tcW w:w="1780" w:type="dxa"/>
            <w:vAlign w:val="bottom"/>
            <w:tcBorders>
              <w:bottom w:val="single" w:sz="8" w:color="5D89B4"/>
            </w:tcBorders>
          </w:tcPr>
          <w:p>
            <w:pPr>
              <w:spacing w:after="0"/>
              <w:rPr>
                <w:sz w:val="5"/>
                <w:szCs w:val="5"/>
                <w:color w:val="auto"/>
              </w:rPr>
            </w:pPr>
          </w:p>
        </w:tc>
        <w:tc>
          <w:tcPr>
            <w:tcW w:w="1520" w:type="dxa"/>
            <w:vAlign w:val="bottom"/>
            <w:tcBorders>
              <w:bottom w:val="single" w:sz="8" w:color="5D89B4"/>
            </w:tcBorders>
          </w:tcPr>
          <w:p>
            <w:pPr>
              <w:spacing w:after="0"/>
              <w:rPr>
                <w:sz w:val="5"/>
                <w:szCs w:val="5"/>
                <w:color w:val="auto"/>
              </w:rPr>
            </w:pPr>
          </w:p>
        </w:tc>
        <w:tc>
          <w:tcPr>
            <w:tcW w:w="1660" w:type="dxa"/>
            <w:vAlign w:val="bottom"/>
            <w:tcBorders>
              <w:bottom w:val="single" w:sz="8" w:color="5D89B4"/>
            </w:tcBorders>
          </w:tcPr>
          <w:p>
            <w:pPr>
              <w:spacing w:after="0"/>
              <w:rPr>
                <w:sz w:val="5"/>
                <w:szCs w:val="5"/>
                <w:color w:val="auto"/>
              </w:rPr>
            </w:pPr>
          </w:p>
        </w:tc>
        <w:tc>
          <w:tcPr>
            <w:tcW w:w="1360" w:type="dxa"/>
            <w:vAlign w:val="bottom"/>
            <w:tcBorders>
              <w:bottom w:val="single" w:sz="8" w:color="5D89B4"/>
            </w:tcBorders>
          </w:tcPr>
          <w:p>
            <w:pPr>
              <w:spacing w:after="0"/>
              <w:rPr>
                <w:sz w:val="5"/>
                <w:szCs w:val="5"/>
                <w:color w:val="auto"/>
              </w:rPr>
            </w:pPr>
          </w:p>
        </w:tc>
      </w:tr>
      <w:tr>
        <w:trPr>
          <w:trHeight w:val="212"/>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Mara E. Swan</w:t>
            </w:r>
          </w:p>
        </w:tc>
        <w:tc>
          <w:tcPr>
            <w:tcW w:w="2220" w:type="dxa"/>
            <w:vAlign w:val="bottom"/>
          </w:tcPr>
          <w:p>
            <w:pPr>
              <w:jc w:val="right"/>
              <w:ind w:right="250"/>
              <w:spacing w:after="0"/>
              <w:rPr>
                <w:sz w:val="20"/>
                <w:szCs w:val="20"/>
                <w:color w:val="auto"/>
              </w:rPr>
            </w:pPr>
            <w:r>
              <w:rPr>
                <w:rFonts w:ascii="Arial" w:cs="Arial" w:eastAsia="Arial" w:hAnsi="Arial"/>
                <w:sz w:val="15"/>
                <w:szCs w:val="15"/>
                <w:color w:val="auto"/>
              </w:rPr>
              <w:t>5,987</w:t>
            </w:r>
          </w:p>
        </w:tc>
        <w:tc>
          <w:tcPr>
            <w:tcW w:w="1780" w:type="dxa"/>
            <w:vAlign w:val="bottom"/>
          </w:tcPr>
          <w:p>
            <w:pPr>
              <w:jc w:val="right"/>
              <w:ind w:right="229"/>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1"/>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4,157</w:t>
            </w:r>
          </w:p>
        </w:tc>
        <w:tc>
          <w:tcPr>
            <w:tcW w:w="1360" w:type="dxa"/>
            <w:vAlign w:val="bottom"/>
          </w:tcPr>
          <w:p>
            <w:pPr>
              <w:jc w:val="right"/>
              <w:spacing w:after="0"/>
              <w:rPr>
                <w:sz w:val="20"/>
                <w:szCs w:val="20"/>
                <w:color w:val="auto"/>
              </w:rPr>
            </w:pPr>
            <w:r>
              <w:rPr>
                <w:rFonts w:ascii="Arial" w:cs="Arial" w:eastAsia="Arial" w:hAnsi="Arial"/>
                <w:sz w:val="15"/>
                <w:szCs w:val="15"/>
                <w:color w:val="auto"/>
              </w:rPr>
              <w:t>10,144</w:t>
            </w:r>
          </w:p>
        </w:tc>
      </w:tr>
      <w:tr>
        <w:trPr>
          <w:trHeight w:val="160"/>
        </w:trPr>
        <w:tc>
          <w:tcPr>
            <w:tcW w:w="2380" w:type="dxa"/>
            <w:vAlign w:val="bottom"/>
          </w:tcPr>
          <w:p>
            <w:pPr>
              <w:ind w:left="80"/>
              <w:spacing w:after="0"/>
              <w:rPr>
                <w:sz w:val="20"/>
                <w:szCs w:val="20"/>
                <w:color w:val="auto"/>
              </w:rPr>
            </w:pPr>
            <w:r>
              <w:rPr>
                <w:rFonts w:ascii="Arial" w:cs="Arial" w:eastAsia="Arial" w:hAnsi="Arial"/>
                <w:sz w:val="14"/>
                <w:szCs w:val="14"/>
                <w:color w:val="333333"/>
              </w:rPr>
              <w:t>Former EVP, Global Strategy and</w:t>
            </w:r>
          </w:p>
        </w:tc>
        <w:tc>
          <w:tcPr>
            <w:tcW w:w="2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1"/>
        </w:trPr>
        <w:tc>
          <w:tcPr>
            <w:tcW w:w="2380" w:type="dxa"/>
            <w:vAlign w:val="bottom"/>
          </w:tcPr>
          <w:p>
            <w:pPr>
              <w:ind w:left="80"/>
              <w:spacing w:after="0"/>
              <w:rPr>
                <w:sz w:val="20"/>
                <w:szCs w:val="20"/>
                <w:color w:val="auto"/>
              </w:rPr>
            </w:pPr>
            <w:r>
              <w:rPr>
                <w:rFonts w:ascii="Arial" w:cs="Arial" w:eastAsia="Arial" w:hAnsi="Arial"/>
                <w:sz w:val="14"/>
                <w:szCs w:val="14"/>
                <w:color w:val="333333"/>
              </w:rPr>
              <w:t>Talent</w:t>
            </w:r>
          </w:p>
        </w:tc>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5"/>
        </w:trPr>
        <w:tc>
          <w:tcPr>
            <w:tcW w:w="2380" w:type="dxa"/>
            <w:vAlign w:val="bottom"/>
            <w:tcBorders>
              <w:bottom w:val="single" w:sz="8" w:color="5D89B4"/>
            </w:tcBorders>
          </w:tcPr>
          <w:p>
            <w:pPr>
              <w:spacing w:after="0"/>
              <w:rPr>
                <w:sz w:val="5"/>
                <w:szCs w:val="5"/>
                <w:color w:val="auto"/>
              </w:rPr>
            </w:pPr>
          </w:p>
        </w:tc>
        <w:tc>
          <w:tcPr>
            <w:tcW w:w="2220" w:type="dxa"/>
            <w:vAlign w:val="bottom"/>
            <w:tcBorders>
              <w:bottom w:val="single" w:sz="8" w:color="5D89B4"/>
            </w:tcBorders>
          </w:tcPr>
          <w:p>
            <w:pPr>
              <w:spacing w:after="0"/>
              <w:rPr>
                <w:sz w:val="5"/>
                <w:szCs w:val="5"/>
                <w:color w:val="auto"/>
              </w:rPr>
            </w:pPr>
          </w:p>
        </w:tc>
        <w:tc>
          <w:tcPr>
            <w:tcW w:w="1780" w:type="dxa"/>
            <w:vAlign w:val="bottom"/>
            <w:tcBorders>
              <w:bottom w:val="single" w:sz="8" w:color="5D89B4"/>
            </w:tcBorders>
          </w:tcPr>
          <w:p>
            <w:pPr>
              <w:spacing w:after="0"/>
              <w:rPr>
                <w:sz w:val="5"/>
                <w:szCs w:val="5"/>
                <w:color w:val="auto"/>
              </w:rPr>
            </w:pPr>
          </w:p>
        </w:tc>
        <w:tc>
          <w:tcPr>
            <w:tcW w:w="1520" w:type="dxa"/>
            <w:vAlign w:val="bottom"/>
            <w:tcBorders>
              <w:bottom w:val="single" w:sz="8" w:color="5D89B4"/>
            </w:tcBorders>
          </w:tcPr>
          <w:p>
            <w:pPr>
              <w:spacing w:after="0"/>
              <w:rPr>
                <w:sz w:val="5"/>
                <w:szCs w:val="5"/>
                <w:color w:val="auto"/>
              </w:rPr>
            </w:pPr>
          </w:p>
        </w:tc>
        <w:tc>
          <w:tcPr>
            <w:tcW w:w="1660" w:type="dxa"/>
            <w:vAlign w:val="bottom"/>
            <w:tcBorders>
              <w:bottom w:val="single" w:sz="8" w:color="5D89B4"/>
            </w:tcBorders>
          </w:tcPr>
          <w:p>
            <w:pPr>
              <w:spacing w:after="0"/>
              <w:rPr>
                <w:sz w:val="5"/>
                <w:szCs w:val="5"/>
                <w:color w:val="auto"/>
              </w:rPr>
            </w:pPr>
          </w:p>
        </w:tc>
        <w:tc>
          <w:tcPr>
            <w:tcW w:w="1360" w:type="dxa"/>
            <w:vAlign w:val="bottom"/>
            <w:tcBorders>
              <w:bottom w:val="single" w:sz="8" w:color="5D89B4"/>
            </w:tcBorders>
          </w:tcPr>
          <w:p>
            <w:pPr>
              <w:spacing w:after="0"/>
              <w:rPr>
                <w:sz w:val="5"/>
                <w:szCs w:val="5"/>
                <w:color w:val="auto"/>
              </w:rPr>
            </w:pPr>
          </w:p>
        </w:tc>
      </w:tr>
    </w:tbl>
    <w:p>
      <w:pPr>
        <w:spacing w:after="0" w:line="125" w:lineRule="exact"/>
        <w:rPr>
          <w:sz w:val="20"/>
          <w:szCs w:val="20"/>
          <w:color w:val="auto"/>
        </w:rPr>
      </w:pPr>
    </w:p>
    <w:p>
      <w:pPr>
        <w:jc w:val="both"/>
        <w:ind w:left="440" w:right="520" w:hanging="433"/>
        <w:spacing w:after="0" w:line="246" w:lineRule="auto"/>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auto insurance, the cost of an annual physical, life insurance premiums paid and/or the value of financial services paid for by ManpowerGroup. None of these items individually had a value greater than $25,000.</w:t>
      </w:r>
    </w:p>
    <w:p>
      <w:pPr>
        <w:spacing w:after="0" w:line="53" w:lineRule="exact"/>
        <w:rPr>
          <w:rFonts w:ascii="Arial" w:cs="Arial" w:eastAsia="Arial" w:hAnsi="Arial"/>
          <w:sz w:val="14"/>
          <w:szCs w:val="14"/>
          <w:color w:val="auto"/>
        </w:rPr>
      </w:pPr>
    </w:p>
    <w:p>
      <w:pPr>
        <w:ind w:left="440" w:right="200" w:hanging="433"/>
        <w:spacing w:after="0" w:line="254" w:lineRule="auto"/>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contributions were made by ManpowerGroup on behalf of the executive officers under the terms of the Nonqualified Savings Plan and the Company’s 401(k) Plan to the extent the NEO has made a “catch-up” contribution or was a new employee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9297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Grants of Plan-Based Awards in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60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580" w:type="dxa"/>
            <w:vAlign w:val="bottom"/>
            <w:shd w:val="clear" w:color="auto" w:fill="EAEAEA"/>
          </w:tcPr>
          <w:p>
            <w:pPr>
              <w:spacing w:after="0"/>
              <w:rPr>
                <w:sz w:val="14"/>
                <w:szCs w:val="14"/>
                <w:color w:val="auto"/>
              </w:rPr>
            </w:pPr>
          </w:p>
        </w:tc>
        <w:tc>
          <w:tcPr>
            <w:tcW w:w="600" w:type="dxa"/>
            <w:vAlign w:val="bottom"/>
            <w:shd w:val="clear" w:color="auto" w:fill="EAEAEA"/>
          </w:tcPr>
          <w:p>
            <w:pPr>
              <w:spacing w:after="0"/>
              <w:rPr>
                <w:sz w:val="14"/>
                <w:szCs w:val="14"/>
                <w:color w:val="auto"/>
              </w:rPr>
            </w:pPr>
          </w:p>
        </w:tc>
        <w:tc>
          <w:tcPr>
            <w:tcW w:w="60" w:type="dxa"/>
            <w:vAlign w:val="bottom"/>
            <w:shd w:val="clear" w:color="auto" w:fill="EAEAEA"/>
          </w:tcPr>
          <w:p>
            <w:pPr>
              <w:spacing w:after="0"/>
              <w:rPr>
                <w:sz w:val="14"/>
                <w:szCs w:val="14"/>
                <w:color w:val="auto"/>
              </w:rPr>
            </w:pPr>
          </w:p>
        </w:tc>
        <w:tc>
          <w:tcPr>
            <w:tcW w:w="78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ALL</w:t>
            </w:r>
          </w:p>
        </w:tc>
        <w:tc>
          <w:tcPr>
            <w:tcW w:w="840" w:type="dxa"/>
            <w:vAlign w:val="bottom"/>
            <w:shd w:val="clear" w:color="auto" w:fill="EAEAEA"/>
          </w:tcPr>
          <w:p>
            <w:pPr>
              <w:spacing w:after="0"/>
              <w:rPr>
                <w:sz w:val="14"/>
                <w:szCs w:val="14"/>
                <w:color w:val="auto"/>
              </w:rPr>
            </w:pPr>
          </w:p>
        </w:tc>
        <w:tc>
          <w:tcPr>
            <w:tcW w:w="700" w:type="dxa"/>
            <w:vAlign w:val="bottom"/>
            <w:shd w:val="clear" w:color="auto" w:fill="EAEAEA"/>
          </w:tcPr>
          <w:p>
            <w:pPr>
              <w:spacing w:after="0"/>
              <w:rPr>
                <w:sz w:val="14"/>
                <w:szCs w:val="14"/>
                <w:color w:val="auto"/>
              </w:rPr>
            </w:pPr>
          </w:p>
        </w:tc>
        <w:tc>
          <w:tcPr>
            <w:tcW w:w="6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GRANT</w:t>
            </w:r>
          </w:p>
        </w:tc>
        <w:tc>
          <w:tcPr>
            <w:tcW w:w="0" w:type="dxa"/>
            <w:vAlign w:val="bottom"/>
          </w:tcPr>
          <w:p>
            <w:pPr>
              <w:spacing w:after="0"/>
              <w:rPr>
                <w:sz w:val="1"/>
                <w:szCs w:val="1"/>
                <w:color w:val="auto"/>
              </w:rPr>
            </w:pPr>
          </w:p>
        </w:tc>
      </w:tr>
      <w:tr>
        <w:trPr>
          <w:trHeight w:val="120"/>
        </w:trPr>
        <w:tc>
          <w:tcPr>
            <w:tcW w:w="284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58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78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OTHER</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ALL OTHER</w:t>
            </w:r>
          </w:p>
        </w:tc>
        <w:tc>
          <w:tcPr>
            <w:tcW w:w="70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DATE</w:t>
            </w:r>
          </w:p>
        </w:tc>
        <w:tc>
          <w:tcPr>
            <w:tcW w:w="0" w:type="dxa"/>
            <w:vAlign w:val="bottom"/>
          </w:tcPr>
          <w:p>
            <w:pPr>
              <w:spacing w:after="0"/>
              <w:rPr>
                <w:sz w:val="1"/>
                <w:szCs w:val="1"/>
                <w:color w:val="auto"/>
              </w:rPr>
            </w:pPr>
          </w:p>
        </w:tc>
      </w:tr>
      <w:tr>
        <w:trPr>
          <w:trHeight w:val="120"/>
        </w:trPr>
        <w:tc>
          <w:tcPr>
            <w:tcW w:w="284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58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78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STOCK</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OPTION</w:t>
            </w:r>
          </w:p>
        </w:tc>
        <w:tc>
          <w:tcPr>
            <w:tcW w:w="70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FAIR</w:t>
            </w:r>
          </w:p>
        </w:tc>
        <w:tc>
          <w:tcPr>
            <w:tcW w:w="0" w:type="dxa"/>
            <w:vAlign w:val="bottom"/>
          </w:tcPr>
          <w:p>
            <w:pPr>
              <w:spacing w:after="0"/>
              <w:rPr>
                <w:sz w:val="1"/>
                <w:szCs w:val="1"/>
                <w:color w:val="auto"/>
              </w:rPr>
            </w:pPr>
          </w:p>
        </w:tc>
      </w:tr>
      <w:tr>
        <w:trPr>
          <w:trHeight w:val="120"/>
        </w:trPr>
        <w:tc>
          <w:tcPr>
            <w:tcW w:w="284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58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78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AWARDS:</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AWARDS:</w:t>
            </w:r>
          </w:p>
        </w:tc>
        <w:tc>
          <w:tcPr>
            <w:tcW w:w="700" w:type="dxa"/>
            <w:vAlign w:val="bottom"/>
            <w:shd w:val="clear" w:color="auto" w:fill="EAEAEA"/>
          </w:tcPr>
          <w:p>
            <w:pPr>
              <w:jc w:val="right"/>
              <w:ind w:right="40"/>
              <w:spacing w:after="0" w:line="121" w:lineRule="exact"/>
              <w:rPr>
                <w:sz w:val="20"/>
                <w:szCs w:val="20"/>
                <w:color w:val="auto"/>
              </w:rPr>
            </w:pPr>
            <w:r>
              <w:rPr>
                <w:rFonts w:ascii="Arial" w:cs="Arial" w:eastAsia="Arial" w:hAnsi="Arial"/>
                <w:sz w:val="11"/>
                <w:szCs w:val="11"/>
                <w:b w:val="1"/>
                <w:bCs w:val="1"/>
                <w:color w:val="5D89B4"/>
              </w:rPr>
              <w:t>EXERCISE</w:t>
            </w: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VALUE OF</w:t>
            </w:r>
          </w:p>
        </w:tc>
        <w:tc>
          <w:tcPr>
            <w:tcW w:w="0" w:type="dxa"/>
            <w:vAlign w:val="bottom"/>
          </w:tcPr>
          <w:p>
            <w:pPr>
              <w:spacing w:after="0"/>
              <w:rPr>
                <w:sz w:val="1"/>
                <w:szCs w:val="1"/>
                <w:color w:val="auto"/>
              </w:rPr>
            </w:pPr>
          </w:p>
        </w:tc>
      </w:tr>
      <w:tr>
        <w:trPr>
          <w:trHeight w:val="122"/>
        </w:trPr>
        <w:tc>
          <w:tcPr>
            <w:tcW w:w="284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2260" w:type="dxa"/>
            <w:vAlign w:val="bottom"/>
            <w:gridSpan w:val="4"/>
            <w:shd w:val="clear" w:color="auto" w:fill="EAEAEA"/>
          </w:tcPr>
          <w:p>
            <w:pPr>
              <w:jc w:val="center"/>
              <w:ind w:right="140"/>
              <w:spacing w:after="0" w:line="122" w:lineRule="exact"/>
              <w:rPr>
                <w:sz w:val="20"/>
                <w:szCs w:val="20"/>
                <w:color w:val="auto"/>
              </w:rPr>
            </w:pPr>
            <w:r>
              <w:rPr>
                <w:rFonts w:ascii="Arial" w:cs="Arial" w:eastAsia="Arial" w:hAnsi="Arial"/>
                <w:sz w:val="11"/>
                <w:szCs w:val="11"/>
                <w:b w:val="1"/>
                <w:bCs w:val="1"/>
                <w:color w:val="5D89B4"/>
                <w:w w:val="95"/>
              </w:rPr>
              <w:t>ESTIMATED FUTURE PAYOUTS</w:t>
            </w:r>
          </w:p>
        </w:tc>
        <w:tc>
          <w:tcPr>
            <w:tcW w:w="1980" w:type="dxa"/>
            <w:vAlign w:val="bottom"/>
            <w:gridSpan w:val="4"/>
            <w:shd w:val="clear" w:color="auto" w:fill="EAEAEA"/>
          </w:tcPr>
          <w:p>
            <w:pPr>
              <w:jc w:val="center"/>
              <w:ind w:right="60"/>
              <w:spacing w:after="0" w:line="122" w:lineRule="exact"/>
              <w:rPr>
                <w:sz w:val="20"/>
                <w:szCs w:val="20"/>
                <w:color w:val="auto"/>
              </w:rPr>
            </w:pPr>
            <w:r>
              <w:rPr>
                <w:rFonts w:ascii="Arial" w:cs="Arial" w:eastAsia="Arial" w:hAnsi="Arial"/>
                <w:sz w:val="11"/>
                <w:szCs w:val="11"/>
                <w:b w:val="1"/>
                <w:bCs w:val="1"/>
                <w:color w:val="5D89B4"/>
                <w:w w:val="95"/>
              </w:rPr>
              <w:t>ESTIMATED FUTURE PAYOUTS</w:t>
            </w:r>
          </w:p>
        </w:tc>
        <w:tc>
          <w:tcPr>
            <w:tcW w:w="780" w:type="dxa"/>
            <w:vAlign w:val="bottom"/>
            <w:shd w:val="clear" w:color="auto" w:fill="EAEAEA"/>
          </w:tcPr>
          <w:p>
            <w:pPr>
              <w:jc w:val="right"/>
              <w:ind w:right="20"/>
              <w:spacing w:after="0" w:line="122" w:lineRule="exact"/>
              <w:rPr>
                <w:sz w:val="20"/>
                <w:szCs w:val="20"/>
                <w:color w:val="auto"/>
              </w:rPr>
            </w:pPr>
            <w:r>
              <w:rPr>
                <w:rFonts w:ascii="Arial" w:cs="Arial" w:eastAsia="Arial" w:hAnsi="Arial"/>
                <w:sz w:val="11"/>
                <w:szCs w:val="11"/>
                <w:b w:val="1"/>
                <w:bCs w:val="1"/>
                <w:color w:val="5D89B4"/>
              </w:rPr>
              <w:t>NUMBER</w:t>
            </w:r>
          </w:p>
        </w:tc>
        <w:tc>
          <w:tcPr>
            <w:tcW w:w="840" w:type="dxa"/>
            <w:vAlign w:val="bottom"/>
            <w:shd w:val="clear" w:color="auto" w:fill="EAEAEA"/>
          </w:tcPr>
          <w:p>
            <w:pPr>
              <w:jc w:val="right"/>
              <w:ind w:right="20"/>
              <w:spacing w:after="0" w:line="122" w:lineRule="exact"/>
              <w:rPr>
                <w:sz w:val="20"/>
                <w:szCs w:val="20"/>
                <w:color w:val="auto"/>
              </w:rPr>
            </w:pPr>
            <w:r>
              <w:rPr>
                <w:rFonts w:ascii="Arial" w:cs="Arial" w:eastAsia="Arial" w:hAnsi="Arial"/>
                <w:sz w:val="11"/>
                <w:szCs w:val="11"/>
                <w:b w:val="1"/>
                <w:bCs w:val="1"/>
                <w:color w:val="5D89B4"/>
              </w:rPr>
              <w:t>NUMBER OF</w:t>
            </w:r>
          </w:p>
        </w:tc>
        <w:tc>
          <w:tcPr>
            <w:tcW w:w="700" w:type="dxa"/>
            <w:vAlign w:val="bottom"/>
            <w:shd w:val="clear" w:color="auto" w:fill="EAEAEA"/>
          </w:tcPr>
          <w:p>
            <w:pPr>
              <w:jc w:val="right"/>
              <w:ind w:right="40"/>
              <w:spacing w:after="0" w:line="122" w:lineRule="exact"/>
              <w:rPr>
                <w:sz w:val="20"/>
                <w:szCs w:val="20"/>
                <w:color w:val="auto"/>
              </w:rPr>
            </w:pPr>
            <w:r>
              <w:rPr>
                <w:rFonts w:ascii="Arial" w:cs="Arial" w:eastAsia="Arial" w:hAnsi="Arial"/>
                <w:sz w:val="11"/>
                <w:szCs w:val="11"/>
                <w:b w:val="1"/>
                <w:bCs w:val="1"/>
                <w:color w:val="5D89B4"/>
              </w:rPr>
              <w:t>OR BASE</w:t>
            </w:r>
          </w:p>
        </w:tc>
        <w:tc>
          <w:tcPr>
            <w:tcW w:w="68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STOCK</w:t>
            </w:r>
          </w:p>
        </w:tc>
        <w:tc>
          <w:tcPr>
            <w:tcW w:w="0" w:type="dxa"/>
            <w:vAlign w:val="bottom"/>
          </w:tcPr>
          <w:p>
            <w:pPr>
              <w:spacing w:after="0"/>
              <w:rPr>
                <w:sz w:val="1"/>
                <w:szCs w:val="1"/>
                <w:color w:val="auto"/>
              </w:rPr>
            </w:pPr>
          </w:p>
        </w:tc>
      </w:tr>
      <w:tr>
        <w:trPr>
          <w:trHeight w:val="120"/>
        </w:trPr>
        <w:tc>
          <w:tcPr>
            <w:tcW w:w="284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2260" w:type="dxa"/>
            <w:vAlign w:val="bottom"/>
            <w:gridSpan w:val="4"/>
            <w:shd w:val="clear" w:color="auto" w:fill="EAEAEA"/>
          </w:tcPr>
          <w:p>
            <w:pPr>
              <w:jc w:val="center"/>
              <w:ind w:right="140"/>
              <w:spacing w:after="0" w:line="121" w:lineRule="exact"/>
              <w:rPr>
                <w:sz w:val="20"/>
                <w:szCs w:val="20"/>
                <w:color w:val="auto"/>
              </w:rPr>
            </w:pPr>
            <w:r>
              <w:rPr>
                <w:rFonts w:ascii="Arial" w:cs="Arial" w:eastAsia="Arial" w:hAnsi="Arial"/>
                <w:sz w:val="11"/>
                <w:szCs w:val="11"/>
                <w:b w:val="1"/>
                <w:bCs w:val="1"/>
                <w:color w:val="5D89B4"/>
                <w:w w:val="97"/>
              </w:rPr>
              <w:t>UNDER NON-EQUITY INCENTIVE</w:t>
            </w:r>
          </w:p>
        </w:tc>
        <w:tc>
          <w:tcPr>
            <w:tcW w:w="1980" w:type="dxa"/>
            <w:vAlign w:val="bottom"/>
            <w:gridSpan w:val="4"/>
            <w:shd w:val="clear" w:color="auto" w:fill="EAEAEA"/>
          </w:tcPr>
          <w:p>
            <w:pPr>
              <w:jc w:val="center"/>
              <w:ind w:right="60"/>
              <w:spacing w:after="0" w:line="121" w:lineRule="exact"/>
              <w:rPr>
                <w:sz w:val="20"/>
                <w:szCs w:val="20"/>
                <w:color w:val="auto"/>
              </w:rPr>
            </w:pPr>
            <w:r>
              <w:rPr>
                <w:rFonts w:ascii="Arial" w:cs="Arial" w:eastAsia="Arial" w:hAnsi="Arial"/>
                <w:sz w:val="11"/>
                <w:szCs w:val="11"/>
                <w:b w:val="1"/>
                <w:bCs w:val="1"/>
                <w:color w:val="5D89B4"/>
                <w:w w:val="96"/>
              </w:rPr>
              <w:t>UNDER EQUITY INCENTIVE</w:t>
            </w:r>
          </w:p>
        </w:tc>
        <w:tc>
          <w:tcPr>
            <w:tcW w:w="78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OF SHARES</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SECURITIES</w:t>
            </w:r>
          </w:p>
        </w:tc>
        <w:tc>
          <w:tcPr>
            <w:tcW w:w="700" w:type="dxa"/>
            <w:vAlign w:val="bottom"/>
            <w:shd w:val="clear" w:color="auto" w:fill="EAEAEA"/>
          </w:tcPr>
          <w:p>
            <w:pPr>
              <w:jc w:val="right"/>
              <w:ind w:right="40"/>
              <w:spacing w:after="0" w:line="121" w:lineRule="exact"/>
              <w:rPr>
                <w:sz w:val="20"/>
                <w:szCs w:val="20"/>
                <w:color w:val="auto"/>
              </w:rPr>
            </w:pPr>
            <w:r>
              <w:rPr>
                <w:rFonts w:ascii="Arial" w:cs="Arial" w:eastAsia="Arial" w:hAnsi="Arial"/>
                <w:sz w:val="11"/>
                <w:szCs w:val="11"/>
                <w:b w:val="1"/>
                <w:bCs w:val="1"/>
                <w:color w:val="5D89B4"/>
              </w:rPr>
              <w:t>PRICE OF</w:t>
            </w: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AND</w:t>
            </w:r>
          </w:p>
        </w:tc>
        <w:tc>
          <w:tcPr>
            <w:tcW w:w="0" w:type="dxa"/>
            <w:vAlign w:val="bottom"/>
          </w:tcPr>
          <w:p>
            <w:pPr>
              <w:spacing w:after="0"/>
              <w:rPr>
                <w:sz w:val="1"/>
                <w:szCs w:val="1"/>
                <w:color w:val="auto"/>
              </w:rPr>
            </w:pPr>
          </w:p>
        </w:tc>
      </w:tr>
      <w:tr>
        <w:trPr>
          <w:trHeight w:val="152"/>
        </w:trPr>
        <w:tc>
          <w:tcPr>
            <w:tcW w:w="28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40" w:type="dxa"/>
            <w:vAlign w:val="bottom"/>
            <w:shd w:val="clear" w:color="auto" w:fill="EAEAEA"/>
          </w:tcPr>
          <w:p>
            <w:pPr>
              <w:spacing w:after="0"/>
              <w:rPr>
                <w:sz w:val="13"/>
                <w:szCs w:val="13"/>
                <w:color w:val="auto"/>
              </w:rPr>
            </w:pPr>
          </w:p>
        </w:tc>
        <w:tc>
          <w:tcPr>
            <w:tcW w:w="1540" w:type="dxa"/>
            <w:vAlign w:val="bottom"/>
            <w:gridSpan w:val="2"/>
            <w:shd w:val="clear" w:color="auto" w:fill="EAEAEA"/>
          </w:tcPr>
          <w:p>
            <w:pPr>
              <w:jc w:val="center"/>
              <w:ind w:left="520"/>
              <w:spacing w:after="0"/>
              <w:rPr>
                <w:sz w:val="20"/>
                <w:szCs w:val="20"/>
                <w:color w:val="auto"/>
              </w:rPr>
            </w:pPr>
            <w:r>
              <w:rPr>
                <w:rFonts w:ascii="Arial" w:cs="Arial" w:eastAsia="Arial" w:hAnsi="Arial"/>
                <w:sz w:val="11"/>
                <w:szCs w:val="11"/>
                <w:b w:val="1"/>
                <w:bCs w:val="1"/>
                <w:color w:val="5D89B4"/>
                <w:w w:val="95"/>
              </w:rPr>
              <w:t>PLAN AWARDS(1)</w:t>
            </w:r>
          </w:p>
        </w:tc>
        <w:tc>
          <w:tcPr>
            <w:tcW w:w="60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1980" w:type="dxa"/>
            <w:vAlign w:val="bottom"/>
            <w:gridSpan w:val="4"/>
            <w:shd w:val="clear" w:color="auto" w:fill="EAEAEA"/>
          </w:tcPr>
          <w:p>
            <w:pPr>
              <w:jc w:val="center"/>
              <w:ind w:right="60"/>
              <w:spacing w:after="0"/>
              <w:rPr>
                <w:sz w:val="20"/>
                <w:szCs w:val="20"/>
                <w:color w:val="auto"/>
              </w:rPr>
            </w:pPr>
            <w:r>
              <w:rPr>
                <w:rFonts w:ascii="Arial" w:cs="Arial" w:eastAsia="Arial" w:hAnsi="Arial"/>
                <w:sz w:val="11"/>
                <w:szCs w:val="11"/>
                <w:b w:val="1"/>
                <w:bCs w:val="1"/>
                <w:color w:val="5D89B4"/>
                <w:w w:val="95"/>
              </w:rPr>
              <w:t>PLAN AWARDS(2)</w:t>
            </w:r>
          </w:p>
        </w:tc>
        <w:tc>
          <w:tcPr>
            <w:tcW w:w="78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OF STOCK</w:t>
            </w:r>
          </w:p>
        </w:tc>
        <w:tc>
          <w:tcPr>
            <w:tcW w:w="84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UNDERLYING</w:t>
            </w:r>
          </w:p>
        </w:tc>
        <w:tc>
          <w:tcPr>
            <w:tcW w:w="700" w:type="dxa"/>
            <w:vAlign w:val="bottom"/>
            <w:shd w:val="clear" w:color="auto" w:fill="EAEAEA"/>
          </w:tcPr>
          <w:p>
            <w:pPr>
              <w:jc w:val="right"/>
              <w:ind w:right="40"/>
              <w:spacing w:after="0"/>
              <w:rPr>
                <w:sz w:val="20"/>
                <w:szCs w:val="20"/>
                <w:color w:val="auto"/>
              </w:rPr>
            </w:pPr>
            <w:r>
              <w:rPr>
                <w:rFonts w:ascii="Arial" w:cs="Arial" w:eastAsia="Arial" w:hAnsi="Arial"/>
                <w:sz w:val="11"/>
                <w:szCs w:val="11"/>
                <w:b w:val="1"/>
                <w:bCs w:val="1"/>
                <w:color w:val="5D89B4"/>
              </w:rPr>
              <w:t>OPTION</w:t>
            </w:r>
          </w:p>
        </w:tc>
        <w:tc>
          <w:tcPr>
            <w:tcW w:w="6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OPTION</w:t>
            </w:r>
          </w:p>
        </w:tc>
        <w:tc>
          <w:tcPr>
            <w:tcW w:w="0" w:type="dxa"/>
            <w:vAlign w:val="bottom"/>
          </w:tcPr>
          <w:p>
            <w:pPr>
              <w:spacing w:after="0"/>
              <w:rPr>
                <w:sz w:val="1"/>
                <w:szCs w:val="1"/>
                <w:color w:val="auto"/>
              </w:rPr>
            </w:pPr>
          </w:p>
        </w:tc>
      </w:tr>
      <w:tr>
        <w:trPr>
          <w:trHeight w:val="62"/>
        </w:trPr>
        <w:tc>
          <w:tcPr>
            <w:tcW w:w="2840" w:type="dxa"/>
            <w:vAlign w:val="bottom"/>
            <w:tcBorders>
              <w:bottom w:val="single" w:sz="8" w:color="EAEAEA"/>
            </w:tcBorders>
            <w:vMerge w:val="restart"/>
            <w:shd w:val="clear" w:color="auto" w:fill="EAEAEA"/>
          </w:tcPr>
          <w:p>
            <w:pPr>
              <w:ind w:left="80"/>
              <w:spacing w:after="0"/>
              <w:rPr>
                <w:sz w:val="20"/>
                <w:szCs w:val="20"/>
                <w:color w:val="auto"/>
              </w:rPr>
            </w:pPr>
            <w:r>
              <w:rPr>
                <w:rFonts w:ascii="Arial" w:cs="Arial" w:eastAsia="Arial" w:hAnsi="Arial"/>
                <w:sz w:val="11"/>
                <w:szCs w:val="11"/>
                <w:b w:val="1"/>
                <w:bCs w:val="1"/>
                <w:color w:val="5D89B4"/>
              </w:rPr>
              <w:t>NAME &amp;</w:t>
            </w:r>
          </w:p>
        </w:tc>
        <w:tc>
          <w:tcPr>
            <w:tcW w:w="100" w:type="dxa"/>
            <w:vAlign w:val="bottom"/>
            <w:tcBorders>
              <w:bottom w:val="single" w:sz="8" w:color="EAEAEA"/>
            </w:tcBorders>
            <w:shd w:val="clear" w:color="auto" w:fill="EAEAEA"/>
          </w:tcPr>
          <w:p>
            <w:pPr>
              <w:spacing w:after="0"/>
              <w:rPr>
                <w:sz w:val="5"/>
                <w:szCs w:val="5"/>
                <w:color w:val="auto"/>
              </w:rPr>
            </w:pPr>
          </w:p>
        </w:tc>
        <w:tc>
          <w:tcPr>
            <w:tcW w:w="740" w:type="dxa"/>
            <w:vAlign w:val="bottom"/>
            <w:tcBorders>
              <w:bottom w:val="single" w:sz="8" w:color="EAEAEA"/>
            </w:tcBorders>
            <w:vMerge w:val="restart"/>
            <w:shd w:val="clear" w:color="auto" w:fill="EAEAEA"/>
          </w:tcPr>
          <w:p>
            <w:pPr>
              <w:jc w:val="right"/>
              <w:ind w:right="84"/>
              <w:spacing w:after="0"/>
              <w:rPr>
                <w:sz w:val="20"/>
                <w:szCs w:val="20"/>
                <w:color w:val="auto"/>
              </w:rPr>
            </w:pPr>
            <w:r>
              <w:rPr>
                <w:rFonts w:ascii="Arial" w:cs="Arial" w:eastAsia="Arial" w:hAnsi="Arial"/>
                <w:sz w:val="11"/>
                <w:szCs w:val="11"/>
                <w:b w:val="1"/>
                <w:bCs w:val="1"/>
                <w:color w:val="5D89B4"/>
              </w:rPr>
              <w:t>GRANT</w:t>
            </w:r>
          </w:p>
        </w:tc>
        <w:tc>
          <w:tcPr>
            <w:tcW w:w="760" w:type="dxa"/>
            <w:vAlign w:val="bottom"/>
            <w:tcBorders>
              <w:bottom w:val="single" w:sz="8" w:color="5D89B4"/>
            </w:tcBorders>
            <w:shd w:val="clear" w:color="auto" w:fill="EAEAEA"/>
          </w:tcPr>
          <w:p>
            <w:pPr>
              <w:spacing w:after="0"/>
              <w:rPr>
                <w:sz w:val="5"/>
                <w:szCs w:val="5"/>
                <w:color w:val="auto"/>
              </w:rPr>
            </w:pPr>
          </w:p>
        </w:tc>
        <w:tc>
          <w:tcPr>
            <w:tcW w:w="780" w:type="dxa"/>
            <w:vAlign w:val="bottom"/>
            <w:tcBorders>
              <w:bottom w:val="single" w:sz="8" w:color="5D89B4"/>
            </w:tcBorders>
            <w:shd w:val="clear" w:color="auto" w:fill="EAEAEA"/>
          </w:tcPr>
          <w:p>
            <w:pPr>
              <w:spacing w:after="0"/>
              <w:rPr>
                <w:sz w:val="5"/>
                <w:szCs w:val="5"/>
                <w:color w:val="auto"/>
              </w:rPr>
            </w:pPr>
          </w:p>
        </w:tc>
        <w:tc>
          <w:tcPr>
            <w:tcW w:w="600" w:type="dxa"/>
            <w:vAlign w:val="bottom"/>
            <w:tcBorders>
              <w:bottom w:val="single" w:sz="8" w:color="5D89B4"/>
            </w:tcBorders>
            <w:shd w:val="clear" w:color="auto" w:fill="EAEAEA"/>
          </w:tcPr>
          <w:p>
            <w:pPr>
              <w:spacing w:after="0"/>
              <w:rPr>
                <w:sz w:val="5"/>
                <w:szCs w:val="5"/>
                <w:color w:val="auto"/>
              </w:rPr>
            </w:pPr>
          </w:p>
        </w:tc>
        <w:tc>
          <w:tcPr>
            <w:tcW w:w="120" w:type="dxa"/>
            <w:vAlign w:val="bottom"/>
            <w:tcBorders>
              <w:bottom w:val="single" w:sz="8" w:color="EAEAEA"/>
            </w:tcBorders>
            <w:shd w:val="clear" w:color="auto" w:fill="EAEAEA"/>
          </w:tcPr>
          <w:p>
            <w:pPr>
              <w:spacing w:after="0"/>
              <w:rPr>
                <w:sz w:val="5"/>
                <w:szCs w:val="5"/>
                <w:color w:val="auto"/>
              </w:rPr>
            </w:pPr>
          </w:p>
        </w:tc>
        <w:tc>
          <w:tcPr>
            <w:tcW w:w="740" w:type="dxa"/>
            <w:vAlign w:val="bottom"/>
            <w:tcBorders>
              <w:bottom w:val="single" w:sz="8" w:color="5D89B4"/>
            </w:tcBorders>
            <w:shd w:val="clear" w:color="auto" w:fill="EAEAEA"/>
          </w:tcPr>
          <w:p>
            <w:pPr>
              <w:spacing w:after="0"/>
              <w:rPr>
                <w:sz w:val="5"/>
                <w:szCs w:val="5"/>
                <w:color w:val="auto"/>
              </w:rPr>
            </w:pPr>
          </w:p>
        </w:tc>
        <w:tc>
          <w:tcPr>
            <w:tcW w:w="580" w:type="dxa"/>
            <w:vAlign w:val="bottom"/>
            <w:tcBorders>
              <w:bottom w:val="single" w:sz="8" w:color="5D89B4"/>
            </w:tcBorders>
            <w:shd w:val="clear" w:color="auto" w:fill="EAEAEA"/>
          </w:tcPr>
          <w:p>
            <w:pPr>
              <w:spacing w:after="0"/>
              <w:rPr>
                <w:sz w:val="5"/>
                <w:szCs w:val="5"/>
                <w:color w:val="auto"/>
              </w:rPr>
            </w:pPr>
          </w:p>
        </w:tc>
        <w:tc>
          <w:tcPr>
            <w:tcW w:w="600" w:type="dxa"/>
            <w:vAlign w:val="bottom"/>
            <w:tcBorders>
              <w:bottom w:val="single" w:sz="8" w:color="5D89B4"/>
            </w:tcBorders>
            <w:shd w:val="clear" w:color="auto" w:fill="EAEAEA"/>
          </w:tcPr>
          <w:p>
            <w:pPr>
              <w:spacing w:after="0"/>
              <w:rPr>
                <w:sz w:val="5"/>
                <w:szCs w:val="5"/>
                <w:color w:val="auto"/>
              </w:rPr>
            </w:pPr>
          </w:p>
        </w:tc>
        <w:tc>
          <w:tcPr>
            <w:tcW w:w="60" w:type="dxa"/>
            <w:vAlign w:val="bottom"/>
            <w:tcBorders>
              <w:bottom w:val="single" w:sz="8" w:color="EAEAEA"/>
            </w:tcBorders>
            <w:shd w:val="clear" w:color="auto" w:fill="EAEAEA"/>
          </w:tcPr>
          <w:p>
            <w:pPr>
              <w:spacing w:after="0"/>
              <w:rPr>
                <w:sz w:val="5"/>
                <w:szCs w:val="5"/>
                <w:color w:val="auto"/>
              </w:rPr>
            </w:pPr>
          </w:p>
        </w:tc>
        <w:tc>
          <w:tcPr>
            <w:tcW w:w="780" w:type="dxa"/>
            <w:vAlign w:val="bottom"/>
            <w:tcBorders>
              <w:bottom w:val="single" w:sz="8" w:color="EAEAEA"/>
            </w:tcBorders>
            <w:vMerge w:val="restart"/>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OR UNITS</w:t>
            </w:r>
          </w:p>
        </w:tc>
        <w:tc>
          <w:tcPr>
            <w:tcW w:w="840" w:type="dxa"/>
            <w:vAlign w:val="bottom"/>
            <w:tcBorders>
              <w:bottom w:val="single" w:sz="8" w:color="EAEAEA"/>
            </w:tcBorders>
            <w:vMerge w:val="restart"/>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OPTIONS</w:t>
            </w:r>
          </w:p>
        </w:tc>
        <w:tc>
          <w:tcPr>
            <w:tcW w:w="700" w:type="dxa"/>
            <w:vAlign w:val="bottom"/>
            <w:tcBorders>
              <w:bottom w:val="single" w:sz="8" w:color="EAEAEA"/>
            </w:tcBorders>
            <w:vMerge w:val="restart"/>
            <w:shd w:val="clear" w:color="auto" w:fill="EAEAEA"/>
          </w:tcPr>
          <w:p>
            <w:pPr>
              <w:jc w:val="right"/>
              <w:ind w:right="40"/>
              <w:spacing w:after="0"/>
              <w:rPr>
                <w:sz w:val="20"/>
                <w:szCs w:val="20"/>
                <w:color w:val="auto"/>
              </w:rPr>
            </w:pPr>
            <w:r>
              <w:rPr>
                <w:rFonts w:ascii="Arial" w:cs="Arial" w:eastAsia="Arial" w:hAnsi="Arial"/>
                <w:sz w:val="11"/>
                <w:szCs w:val="11"/>
                <w:b w:val="1"/>
                <w:bCs w:val="1"/>
                <w:color w:val="5D89B4"/>
              </w:rPr>
              <w:t>AWARDS</w:t>
            </w:r>
          </w:p>
        </w:tc>
        <w:tc>
          <w:tcPr>
            <w:tcW w:w="680" w:type="dxa"/>
            <w:vAlign w:val="bottom"/>
            <w:tcBorders>
              <w:bottom w:val="single" w:sz="8" w:color="EAEAEA"/>
            </w:tcBorders>
            <w:vMerge w:val="restart"/>
            <w:shd w:val="clear" w:color="auto" w:fill="EAEAEA"/>
          </w:tcPr>
          <w:p>
            <w:pPr>
              <w:jc w:val="right"/>
              <w:spacing w:after="0"/>
              <w:rPr>
                <w:sz w:val="20"/>
                <w:szCs w:val="20"/>
                <w:color w:val="auto"/>
              </w:rPr>
            </w:pPr>
            <w:r>
              <w:rPr>
                <w:rFonts w:ascii="Arial" w:cs="Arial" w:eastAsia="Arial" w:hAnsi="Arial"/>
                <w:sz w:val="11"/>
                <w:szCs w:val="11"/>
                <w:b w:val="1"/>
                <w:bCs w:val="1"/>
                <w:color w:val="5D89B4"/>
              </w:rPr>
              <w:t>AWARDS</w:t>
            </w:r>
          </w:p>
        </w:tc>
        <w:tc>
          <w:tcPr>
            <w:tcW w:w="0" w:type="dxa"/>
            <w:vAlign w:val="bottom"/>
          </w:tcPr>
          <w:p>
            <w:pPr>
              <w:spacing w:after="0"/>
              <w:rPr>
                <w:sz w:val="1"/>
                <w:szCs w:val="1"/>
                <w:color w:val="auto"/>
              </w:rPr>
            </w:pPr>
          </w:p>
        </w:tc>
      </w:tr>
      <w:tr>
        <w:trPr>
          <w:trHeight w:val="99"/>
        </w:trPr>
        <w:tc>
          <w:tcPr>
            <w:tcW w:w="2840" w:type="dxa"/>
            <w:vAlign w:val="bottom"/>
            <w:vMerge w:val="continue"/>
            <w:shd w:val="clear" w:color="auto" w:fill="EAEAEA"/>
          </w:tcPr>
          <w:p>
            <w:pPr>
              <w:spacing w:after="0"/>
              <w:rPr>
                <w:sz w:val="8"/>
                <w:szCs w:val="8"/>
                <w:color w:val="auto"/>
              </w:rPr>
            </w:pPr>
          </w:p>
        </w:tc>
        <w:tc>
          <w:tcPr>
            <w:tcW w:w="100" w:type="dxa"/>
            <w:vAlign w:val="bottom"/>
            <w:shd w:val="clear" w:color="auto" w:fill="EAEAEA"/>
          </w:tcPr>
          <w:p>
            <w:pPr>
              <w:spacing w:after="0"/>
              <w:rPr>
                <w:sz w:val="8"/>
                <w:szCs w:val="8"/>
                <w:color w:val="auto"/>
              </w:rPr>
            </w:pPr>
          </w:p>
        </w:tc>
        <w:tc>
          <w:tcPr>
            <w:tcW w:w="740" w:type="dxa"/>
            <w:vAlign w:val="bottom"/>
            <w:vMerge w:val="continue"/>
            <w:shd w:val="clear" w:color="auto" w:fill="EAEAEA"/>
          </w:tcPr>
          <w:p>
            <w:pPr>
              <w:spacing w:after="0"/>
              <w:rPr>
                <w:sz w:val="8"/>
                <w:szCs w:val="8"/>
                <w:color w:val="auto"/>
              </w:rPr>
            </w:pPr>
          </w:p>
        </w:tc>
        <w:tc>
          <w:tcPr>
            <w:tcW w:w="760" w:type="dxa"/>
            <w:vAlign w:val="bottom"/>
            <w:shd w:val="clear" w:color="auto" w:fill="EAEAEA"/>
          </w:tcPr>
          <w:p>
            <w:pPr>
              <w:jc w:val="right"/>
              <w:ind w:right="40"/>
              <w:spacing w:after="0" w:line="99" w:lineRule="exact"/>
              <w:rPr>
                <w:sz w:val="20"/>
                <w:szCs w:val="20"/>
                <w:color w:val="auto"/>
              </w:rPr>
            </w:pPr>
            <w:r>
              <w:rPr>
                <w:rFonts w:ascii="Arial" w:cs="Arial" w:eastAsia="Arial" w:hAnsi="Arial"/>
                <w:sz w:val="11"/>
                <w:szCs w:val="11"/>
                <w:b w:val="1"/>
                <w:bCs w:val="1"/>
                <w:color w:val="5D89B4"/>
                <w:w w:val="93"/>
              </w:rPr>
              <w:t>THRESHOLD</w:t>
            </w:r>
          </w:p>
        </w:tc>
        <w:tc>
          <w:tcPr>
            <w:tcW w:w="780" w:type="dxa"/>
            <w:vAlign w:val="bottom"/>
            <w:shd w:val="clear" w:color="auto" w:fill="EAEAEA"/>
          </w:tcPr>
          <w:p>
            <w:pPr>
              <w:jc w:val="right"/>
              <w:ind w:right="79"/>
              <w:spacing w:after="0" w:line="99" w:lineRule="exact"/>
              <w:rPr>
                <w:sz w:val="20"/>
                <w:szCs w:val="20"/>
                <w:color w:val="auto"/>
              </w:rPr>
            </w:pPr>
            <w:r>
              <w:rPr>
                <w:rFonts w:ascii="Arial" w:cs="Arial" w:eastAsia="Arial" w:hAnsi="Arial"/>
                <w:sz w:val="11"/>
                <w:szCs w:val="11"/>
                <w:b w:val="1"/>
                <w:bCs w:val="1"/>
                <w:color w:val="5D89B4"/>
              </w:rPr>
              <w:t>TARGET</w:t>
            </w:r>
          </w:p>
        </w:tc>
        <w:tc>
          <w:tcPr>
            <w:tcW w:w="600" w:type="dxa"/>
            <w:vAlign w:val="bottom"/>
            <w:shd w:val="clear" w:color="auto" w:fill="EAEAEA"/>
          </w:tcPr>
          <w:p>
            <w:pPr>
              <w:jc w:val="right"/>
              <w:spacing w:after="0" w:line="99" w:lineRule="exact"/>
              <w:rPr>
                <w:sz w:val="20"/>
                <w:szCs w:val="20"/>
                <w:color w:val="auto"/>
              </w:rPr>
            </w:pPr>
            <w:r>
              <w:rPr>
                <w:rFonts w:ascii="Arial" w:cs="Arial" w:eastAsia="Arial" w:hAnsi="Arial"/>
                <w:sz w:val="11"/>
                <w:szCs w:val="11"/>
                <w:b w:val="1"/>
                <w:bCs w:val="1"/>
                <w:color w:val="5D89B4"/>
              </w:rPr>
              <w:t>MAXIMUM</w:t>
            </w:r>
          </w:p>
        </w:tc>
        <w:tc>
          <w:tcPr>
            <w:tcW w:w="120" w:type="dxa"/>
            <w:vAlign w:val="bottom"/>
            <w:shd w:val="clear" w:color="auto" w:fill="EAEAEA"/>
          </w:tcPr>
          <w:p>
            <w:pPr>
              <w:spacing w:after="0"/>
              <w:rPr>
                <w:sz w:val="8"/>
                <w:szCs w:val="8"/>
                <w:color w:val="auto"/>
              </w:rPr>
            </w:pPr>
          </w:p>
        </w:tc>
        <w:tc>
          <w:tcPr>
            <w:tcW w:w="740" w:type="dxa"/>
            <w:vAlign w:val="bottom"/>
            <w:shd w:val="clear" w:color="auto" w:fill="EAEAEA"/>
          </w:tcPr>
          <w:p>
            <w:pPr>
              <w:jc w:val="right"/>
              <w:spacing w:after="0" w:line="99" w:lineRule="exact"/>
              <w:rPr>
                <w:sz w:val="20"/>
                <w:szCs w:val="20"/>
                <w:color w:val="auto"/>
              </w:rPr>
            </w:pPr>
            <w:r>
              <w:rPr>
                <w:rFonts w:ascii="Arial" w:cs="Arial" w:eastAsia="Arial" w:hAnsi="Arial"/>
                <w:sz w:val="11"/>
                <w:szCs w:val="11"/>
                <w:b w:val="1"/>
                <w:bCs w:val="1"/>
                <w:color w:val="5D89B4"/>
                <w:w w:val="96"/>
              </w:rPr>
              <w:t>THRESHOLD</w:t>
            </w:r>
          </w:p>
        </w:tc>
        <w:tc>
          <w:tcPr>
            <w:tcW w:w="580" w:type="dxa"/>
            <w:vAlign w:val="bottom"/>
            <w:shd w:val="clear" w:color="auto" w:fill="EAEAEA"/>
          </w:tcPr>
          <w:p>
            <w:pPr>
              <w:jc w:val="right"/>
              <w:ind w:right="19"/>
              <w:spacing w:after="0" w:line="99" w:lineRule="exact"/>
              <w:rPr>
                <w:sz w:val="20"/>
                <w:szCs w:val="20"/>
                <w:color w:val="auto"/>
              </w:rPr>
            </w:pPr>
            <w:r>
              <w:rPr>
                <w:rFonts w:ascii="Arial" w:cs="Arial" w:eastAsia="Arial" w:hAnsi="Arial"/>
                <w:sz w:val="11"/>
                <w:szCs w:val="11"/>
                <w:b w:val="1"/>
                <w:bCs w:val="1"/>
                <w:color w:val="5D89B4"/>
              </w:rPr>
              <w:t>TARGET</w:t>
            </w:r>
          </w:p>
        </w:tc>
        <w:tc>
          <w:tcPr>
            <w:tcW w:w="600" w:type="dxa"/>
            <w:vAlign w:val="bottom"/>
            <w:shd w:val="clear" w:color="auto" w:fill="EAEAEA"/>
          </w:tcPr>
          <w:p>
            <w:pPr>
              <w:jc w:val="right"/>
              <w:spacing w:after="0" w:line="99" w:lineRule="exact"/>
              <w:rPr>
                <w:sz w:val="20"/>
                <w:szCs w:val="20"/>
                <w:color w:val="auto"/>
              </w:rPr>
            </w:pPr>
            <w:r>
              <w:rPr>
                <w:rFonts w:ascii="Arial" w:cs="Arial" w:eastAsia="Arial" w:hAnsi="Arial"/>
                <w:sz w:val="11"/>
                <w:szCs w:val="11"/>
                <w:b w:val="1"/>
                <w:bCs w:val="1"/>
                <w:color w:val="5D89B4"/>
              </w:rPr>
              <w:t>MAXIMUM</w:t>
            </w:r>
          </w:p>
        </w:tc>
        <w:tc>
          <w:tcPr>
            <w:tcW w:w="60" w:type="dxa"/>
            <w:vAlign w:val="bottom"/>
            <w:shd w:val="clear" w:color="auto" w:fill="EAEAEA"/>
          </w:tcPr>
          <w:p>
            <w:pPr>
              <w:spacing w:after="0"/>
              <w:rPr>
                <w:sz w:val="8"/>
                <w:szCs w:val="8"/>
                <w:color w:val="auto"/>
              </w:rPr>
            </w:pPr>
          </w:p>
        </w:tc>
        <w:tc>
          <w:tcPr>
            <w:tcW w:w="780" w:type="dxa"/>
            <w:vAlign w:val="bottom"/>
            <w:vMerge w:val="continue"/>
            <w:shd w:val="clear" w:color="auto" w:fill="EAEAEA"/>
          </w:tcPr>
          <w:p>
            <w:pPr>
              <w:spacing w:after="0"/>
              <w:rPr>
                <w:sz w:val="8"/>
                <w:szCs w:val="8"/>
                <w:color w:val="auto"/>
              </w:rPr>
            </w:pPr>
          </w:p>
        </w:tc>
        <w:tc>
          <w:tcPr>
            <w:tcW w:w="840" w:type="dxa"/>
            <w:vAlign w:val="bottom"/>
            <w:vMerge w:val="continue"/>
            <w:shd w:val="clear" w:color="auto" w:fill="EAEAEA"/>
          </w:tcPr>
          <w:p>
            <w:pPr>
              <w:spacing w:after="0"/>
              <w:rPr>
                <w:sz w:val="8"/>
                <w:szCs w:val="8"/>
                <w:color w:val="auto"/>
              </w:rPr>
            </w:pPr>
          </w:p>
        </w:tc>
        <w:tc>
          <w:tcPr>
            <w:tcW w:w="700" w:type="dxa"/>
            <w:vAlign w:val="bottom"/>
            <w:vMerge w:val="continue"/>
            <w:shd w:val="clear" w:color="auto" w:fill="EAEAEA"/>
          </w:tcPr>
          <w:p>
            <w:pPr>
              <w:spacing w:after="0"/>
              <w:rPr>
                <w:sz w:val="8"/>
                <w:szCs w:val="8"/>
                <w:color w:val="auto"/>
              </w:rPr>
            </w:pPr>
          </w:p>
        </w:tc>
        <w:tc>
          <w:tcPr>
            <w:tcW w:w="680" w:type="dxa"/>
            <w:vAlign w:val="bottom"/>
            <w:vMerge w:val="continue"/>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84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PRINCIPAL POSITION</w:t>
            </w:r>
          </w:p>
        </w:tc>
        <w:tc>
          <w:tcPr>
            <w:tcW w:w="100" w:type="dxa"/>
            <w:vAlign w:val="bottom"/>
            <w:shd w:val="clear" w:color="auto" w:fill="EAEAEA"/>
          </w:tcPr>
          <w:p>
            <w:pPr>
              <w:spacing w:after="0"/>
              <w:rPr>
                <w:sz w:val="12"/>
                <w:szCs w:val="12"/>
                <w:color w:val="auto"/>
              </w:rPr>
            </w:pPr>
          </w:p>
        </w:tc>
        <w:tc>
          <w:tcPr>
            <w:tcW w:w="740" w:type="dxa"/>
            <w:vAlign w:val="bottom"/>
            <w:shd w:val="clear" w:color="auto" w:fill="EAEAEA"/>
          </w:tcPr>
          <w:p>
            <w:pPr>
              <w:jc w:val="right"/>
              <w:ind w:right="84"/>
              <w:spacing w:after="0"/>
              <w:rPr>
                <w:sz w:val="20"/>
                <w:szCs w:val="20"/>
                <w:color w:val="auto"/>
              </w:rPr>
            </w:pPr>
            <w:r>
              <w:rPr>
                <w:rFonts w:ascii="Arial" w:cs="Arial" w:eastAsia="Arial" w:hAnsi="Arial"/>
                <w:sz w:val="11"/>
                <w:szCs w:val="11"/>
                <w:b w:val="1"/>
                <w:bCs w:val="1"/>
                <w:color w:val="5D89B4"/>
              </w:rPr>
              <w:t>DATE</w:t>
            </w:r>
          </w:p>
        </w:tc>
        <w:tc>
          <w:tcPr>
            <w:tcW w:w="760" w:type="dxa"/>
            <w:vAlign w:val="bottom"/>
            <w:shd w:val="clear" w:color="auto" w:fill="EAEAEA"/>
          </w:tcPr>
          <w:p>
            <w:pPr>
              <w:jc w:val="right"/>
              <w:ind w:right="40"/>
              <w:spacing w:after="0"/>
              <w:rPr>
                <w:sz w:val="20"/>
                <w:szCs w:val="20"/>
                <w:color w:val="auto"/>
              </w:rPr>
            </w:pPr>
            <w:r>
              <w:rPr>
                <w:rFonts w:ascii="Arial" w:cs="Arial" w:eastAsia="Arial" w:hAnsi="Arial"/>
                <w:sz w:val="11"/>
                <w:szCs w:val="11"/>
                <w:b w:val="1"/>
                <w:bCs w:val="1"/>
                <w:color w:val="5D89B4"/>
              </w:rPr>
              <w:t>($)</w:t>
            </w:r>
          </w:p>
        </w:tc>
        <w:tc>
          <w:tcPr>
            <w:tcW w:w="780" w:type="dxa"/>
            <w:vAlign w:val="bottom"/>
            <w:shd w:val="clear" w:color="auto" w:fill="EAEAEA"/>
          </w:tcPr>
          <w:p>
            <w:pPr>
              <w:jc w:val="right"/>
              <w:ind w:right="79"/>
              <w:spacing w:after="0"/>
              <w:rPr>
                <w:sz w:val="20"/>
                <w:szCs w:val="20"/>
                <w:color w:val="auto"/>
              </w:rPr>
            </w:pPr>
            <w:r>
              <w:rPr>
                <w:rFonts w:ascii="Arial" w:cs="Arial" w:eastAsia="Arial" w:hAnsi="Arial"/>
                <w:sz w:val="11"/>
                <w:szCs w:val="11"/>
                <w:b w:val="1"/>
                <w:bCs w:val="1"/>
                <w:color w:val="5D89B4"/>
              </w:rPr>
              <w:t>($)</w:t>
            </w:r>
          </w:p>
        </w:tc>
        <w:tc>
          <w:tcPr>
            <w:tcW w:w="720" w:type="dxa"/>
            <w:vAlign w:val="bottom"/>
            <w:gridSpan w:val="2"/>
            <w:shd w:val="clear" w:color="auto" w:fill="EAEAEA"/>
          </w:tcPr>
          <w:p>
            <w:pPr>
              <w:jc w:val="right"/>
              <w:ind w:right="120"/>
              <w:spacing w:after="0"/>
              <w:rPr>
                <w:sz w:val="20"/>
                <w:szCs w:val="20"/>
                <w:color w:val="auto"/>
              </w:rPr>
            </w:pPr>
            <w:r>
              <w:rPr>
                <w:rFonts w:ascii="Arial" w:cs="Arial" w:eastAsia="Arial" w:hAnsi="Arial"/>
                <w:sz w:val="11"/>
                <w:szCs w:val="11"/>
                <w:b w:val="1"/>
                <w:bCs w:val="1"/>
                <w:color w:val="5D89B4"/>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w:t>
            </w:r>
          </w:p>
        </w:tc>
        <w:tc>
          <w:tcPr>
            <w:tcW w:w="580" w:type="dxa"/>
            <w:vAlign w:val="bottom"/>
            <w:shd w:val="clear" w:color="auto" w:fill="EAEAEA"/>
          </w:tcPr>
          <w:p>
            <w:pPr>
              <w:jc w:val="right"/>
              <w:ind w:right="19"/>
              <w:spacing w:after="0"/>
              <w:rPr>
                <w:sz w:val="20"/>
                <w:szCs w:val="20"/>
                <w:color w:val="auto"/>
              </w:rPr>
            </w:pPr>
            <w:r>
              <w:rPr>
                <w:rFonts w:ascii="Arial" w:cs="Arial" w:eastAsia="Arial" w:hAnsi="Arial"/>
                <w:sz w:val="11"/>
                <w:szCs w:val="11"/>
                <w:b w:val="1"/>
                <w:bCs w:val="1"/>
                <w:color w:val="5D89B4"/>
              </w:rPr>
              <w:t>(#)</w:t>
            </w:r>
          </w:p>
        </w:tc>
        <w:tc>
          <w:tcPr>
            <w:tcW w:w="660" w:type="dxa"/>
            <w:vAlign w:val="bottom"/>
            <w:gridSpan w:val="2"/>
            <w:shd w:val="clear" w:color="auto" w:fill="EAEAEA"/>
          </w:tcPr>
          <w:p>
            <w:pPr>
              <w:jc w:val="right"/>
              <w:ind w:right="60"/>
              <w:spacing w:after="0"/>
              <w:rPr>
                <w:sz w:val="20"/>
                <w:szCs w:val="20"/>
                <w:color w:val="auto"/>
              </w:rPr>
            </w:pPr>
            <w:r>
              <w:rPr>
                <w:rFonts w:ascii="Arial" w:cs="Arial" w:eastAsia="Arial" w:hAnsi="Arial"/>
                <w:sz w:val="11"/>
                <w:szCs w:val="11"/>
                <w:b w:val="1"/>
                <w:bCs w:val="1"/>
                <w:color w:val="5D89B4"/>
              </w:rPr>
              <w:t>(#)</w:t>
            </w:r>
          </w:p>
        </w:tc>
        <w:tc>
          <w:tcPr>
            <w:tcW w:w="78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(#)(3)</w:t>
            </w:r>
          </w:p>
        </w:tc>
        <w:tc>
          <w:tcPr>
            <w:tcW w:w="84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(#)(4)</w:t>
            </w:r>
          </w:p>
        </w:tc>
        <w:tc>
          <w:tcPr>
            <w:tcW w:w="700" w:type="dxa"/>
            <w:vAlign w:val="bottom"/>
            <w:shd w:val="clear" w:color="auto" w:fill="EAEAEA"/>
          </w:tcPr>
          <w:p>
            <w:pPr>
              <w:jc w:val="right"/>
              <w:ind w:right="40"/>
              <w:spacing w:after="0"/>
              <w:rPr>
                <w:sz w:val="20"/>
                <w:szCs w:val="20"/>
                <w:color w:val="auto"/>
              </w:rPr>
            </w:pPr>
            <w:r>
              <w:rPr>
                <w:rFonts w:ascii="Arial" w:cs="Arial" w:eastAsia="Arial" w:hAnsi="Arial"/>
                <w:sz w:val="11"/>
                <w:szCs w:val="11"/>
                <w:b w:val="1"/>
                <w:bCs w:val="1"/>
                <w:color w:val="5D89B4"/>
              </w:rPr>
              <w:t>($/SH)</w:t>
            </w:r>
          </w:p>
        </w:tc>
        <w:tc>
          <w:tcPr>
            <w:tcW w:w="6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($)(5)</w:t>
            </w:r>
          </w:p>
        </w:tc>
        <w:tc>
          <w:tcPr>
            <w:tcW w:w="0" w:type="dxa"/>
            <w:vAlign w:val="bottom"/>
          </w:tcPr>
          <w:p>
            <w:pPr>
              <w:spacing w:after="0"/>
              <w:rPr>
                <w:sz w:val="1"/>
                <w:szCs w:val="1"/>
                <w:color w:val="auto"/>
              </w:rPr>
            </w:pPr>
          </w:p>
        </w:tc>
      </w:tr>
      <w:tr>
        <w:trPr>
          <w:trHeight w:val="75"/>
        </w:trPr>
        <w:tc>
          <w:tcPr>
            <w:tcW w:w="2840" w:type="dxa"/>
            <w:vAlign w:val="bottom"/>
            <w:shd w:val="clear" w:color="auto" w:fill="EAEAEA"/>
          </w:tcPr>
          <w:p>
            <w:pPr>
              <w:spacing w:after="0"/>
              <w:rPr>
                <w:sz w:val="6"/>
                <w:szCs w:val="6"/>
                <w:color w:val="auto"/>
              </w:rPr>
            </w:pPr>
          </w:p>
        </w:tc>
        <w:tc>
          <w:tcPr>
            <w:tcW w:w="100" w:type="dxa"/>
            <w:vAlign w:val="bottom"/>
            <w:shd w:val="clear" w:color="auto" w:fill="EAEAEA"/>
          </w:tcPr>
          <w:p>
            <w:pPr>
              <w:spacing w:after="0"/>
              <w:rPr>
                <w:sz w:val="6"/>
                <w:szCs w:val="6"/>
                <w:color w:val="auto"/>
              </w:rPr>
            </w:pPr>
          </w:p>
        </w:tc>
        <w:tc>
          <w:tcPr>
            <w:tcW w:w="740" w:type="dxa"/>
            <w:vAlign w:val="bottom"/>
            <w:shd w:val="clear" w:color="auto" w:fill="EAEAEA"/>
          </w:tcPr>
          <w:p>
            <w:pPr>
              <w:spacing w:after="0"/>
              <w:rPr>
                <w:sz w:val="6"/>
                <w:szCs w:val="6"/>
                <w:color w:val="auto"/>
              </w:rPr>
            </w:pPr>
          </w:p>
        </w:tc>
        <w:tc>
          <w:tcPr>
            <w:tcW w:w="760" w:type="dxa"/>
            <w:vAlign w:val="bottom"/>
            <w:shd w:val="clear" w:color="auto" w:fill="EAEAEA"/>
          </w:tcPr>
          <w:p>
            <w:pPr>
              <w:spacing w:after="0"/>
              <w:rPr>
                <w:sz w:val="6"/>
                <w:szCs w:val="6"/>
                <w:color w:val="auto"/>
              </w:rPr>
            </w:pPr>
          </w:p>
        </w:tc>
        <w:tc>
          <w:tcPr>
            <w:tcW w:w="780" w:type="dxa"/>
            <w:vAlign w:val="bottom"/>
            <w:shd w:val="clear" w:color="auto" w:fill="EAEAEA"/>
          </w:tcPr>
          <w:p>
            <w:pPr>
              <w:spacing w:after="0"/>
              <w:rPr>
                <w:sz w:val="6"/>
                <w:szCs w:val="6"/>
                <w:color w:val="auto"/>
              </w:rPr>
            </w:pPr>
          </w:p>
        </w:tc>
        <w:tc>
          <w:tcPr>
            <w:tcW w:w="600" w:type="dxa"/>
            <w:vAlign w:val="bottom"/>
            <w:shd w:val="clear" w:color="auto" w:fill="EAEAEA"/>
          </w:tcPr>
          <w:p>
            <w:pPr>
              <w:spacing w:after="0"/>
              <w:rPr>
                <w:sz w:val="6"/>
                <w:szCs w:val="6"/>
                <w:color w:val="auto"/>
              </w:rPr>
            </w:pPr>
          </w:p>
        </w:tc>
        <w:tc>
          <w:tcPr>
            <w:tcW w:w="120" w:type="dxa"/>
            <w:vAlign w:val="bottom"/>
            <w:shd w:val="clear" w:color="auto" w:fill="EAEAEA"/>
          </w:tcPr>
          <w:p>
            <w:pPr>
              <w:spacing w:after="0"/>
              <w:rPr>
                <w:sz w:val="6"/>
                <w:szCs w:val="6"/>
                <w:color w:val="auto"/>
              </w:rPr>
            </w:pPr>
          </w:p>
        </w:tc>
        <w:tc>
          <w:tcPr>
            <w:tcW w:w="740" w:type="dxa"/>
            <w:vAlign w:val="bottom"/>
            <w:shd w:val="clear" w:color="auto" w:fill="EAEAEA"/>
          </w:tcPr>
          <w:p>
            <w:pPr>
              <w:spacing w:after="0"/>
              <w:rPr>
                <w:sz w:val="6"/>
                <w:szCs w:val="6"/>
                <w:color w:val="auto"/>
              </w:rPr>
            </w:pPr>
          </w:p>
        </w:tc>
        <w:tc>
          <w:tcPr>
            <w:tcW w:w="580" w:type="dxa"/>
            <w:vAlign w:val="bottom"/>
            <w:shd w:val="clear" w:color="auto" w:fill="EAEAEA"/>
          </w:tcPr>
          <w:p>
            <w:pPr>
              <w:spacing w:after="0"/>
              <w:rPr>
                <w:sz w:val="6"/>
                <w:szCs w:val="6"/>
                <w:color w:val="auto"/>
              </w:rPr>
            </w:pPr>
          </w:p>
        </w:tc>
        <w:tc>
          <w:tcPr>
            <w:tcW w:w="600" w:type="dxa"/>
            <w:vAlign w:val="bottom"/>
            <w:shd w:val="clear" w:color="auto" w:fill="EAEAEA"/>
          </w:tcPr>
          <w:p>
            <w:pPr>
              <w:spacing w:after="0"/>
              <w:rPr>
                <w:sz w:val="6"/>
                <w:szCs w:val="6"/>
                <w:color w:val="auto"/>
              </w:rPr>
            </w:pPr>
          </w:p>
        </w:tc>
        <w:tc>
          <w:tcPr>
            <w:tcW w:w="60" w:type="dxa"/>
            <w:vAlign w:val="bottom"/>
            <w:shd w:val="clear" w:color="auto" w:fill="EAEAEA"/>
          </w:tcPr>
          <w:p>
            <w:pPr>
              <w:spacing w:after="0"/>
              <w:rPr>
                <w:sz w:val="6"/>
                <w:szCs w:val="6"/>
                <w:color w:val="auto"/>
              </w:rPr>
            </w:pPr>
          </w:p>
        </w:tc>
        <w:tc>
          <w:tcPr>
            <w:tcW w:w="780" w:type="dxa"/>
            <w:vAlign w:val="bottom"/>
            <w:shd w:val="clear" w:color="auto" w:fill="EAEAEA"/>
          </w:tcPr>
          <w:p>
            <w:pPr>
              <w:spacing w:after="0"/>
              <w:rPr>
                <w:sz w:val="6"/>
                <w:szCs w:val="6"/>
                <w:color w:val="auto"/>
              </w:rPr>
            </w:pPr>
          </w:p>
        </w:tc>
        <w:tc>
          <w:tcPr>
            <w:tcW w:w="840" w:type="dxa"/>
            <w:vAlign w:val="bottom"/>
            <w:shd w:val="clear" w:color="auto" w:fill="EAEAEA"/>
          </w:tcPr>
          <w:p>
            <w:pPr>
              <w:spacing w:after="0"/>
              <w:rPr>
                <w:sz w:val="6"/>
                <w:szCs w:val="6"/>
                <w:color w:val="auto"/>
              </w:rPr>
            </w:pPr>
          </w:p>
        </w:tc>
        <w:tc>
          <w:tcPr>
            <w:tcW w:w="700" w:type="dxa"/>
            <w:vAlign w:val="bottom"/>
            <w:shd w:val="clear" w:color="auto" w:fill="EAEAEA"/>
          </w:tcPr>
          <w:p>
            <w:pPr>
              <w:spacing w:after="0"/>
              <w:rPr>
                <w:sz w:val="6"/>
                <w:szCs w:val="6"/>
                <w:color w:val="auto"/>
              </w:rPr>
            </w:pPr>
          </w:p>
        </w:tc>
        <w:tc>
          <w:tcPr>
            <w:tcW w:w="68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Jonas Prising</w:t>
            </w:r>
          </w:p>
        </w:tc>
        <w:tc>
          <w:tcPr>
            <w:tcW w:w="100" w:type="dxa"/>
            <w:vAlign w:val="bottom"/>
          </w:tcPr>
          <w:p>
            <w:pPr>
              <w:spacing w:after="0"/>
              <w:rPr>
                <w:sz w:val="11"/>
                <w:szCs w:val="11"/>
                <w:color w:val="auto"/>
              </w:rPr>
            </w:pPr>
          </w:p>
        </w:tc>
        <w:tc>
          <w:tcPr>
            <w:tcW w:w="740" w:type="dxa"/>
            <w:vAlign w:val="bottom"/>
          </w:tcPr>
          <w:p>
            <w:pPr>
              <w:jc w:val="right"/>
              <w:ind w:right="84"/>
              <w:spacing w:after="0" w:line="128" w:lineRule="exact"/>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line="128" w:lineRule="exact"/>
              <w:rPr>
                <w:sz w:val="20"/>
                <w:szCs w:val="20"/>
                <w:color w:val="auto"/>
              </w:rPr>
            </w:pPr>
            <w:r>
              <w:rPr>
                <w:rFonts w:ascii="Arial" w:cs="Arial" w:eastAsia="Arial" w:hAnsi="Arial"/>
                <w:sz w:val="12"/>
                <w:szCs w:val="12"/>
                <w:color w:val="auto"/>
              </w:rPr>
              <w:t>500,000</w:t>
            </w:r>
          </w:p>
        </w:tc>
        <w:tc>
          <w:tcPr>
            <w:tcW w:w="780" w:type="dxa"/>
            <w:vAlign w:val="bottom"/>
          </w:tcPr>
          <w:p>
            <w:pPr>
              <w:jc w:val="right"/>
              <w:ind w:right="79"/>
              <w:spacing w:after="0" w:line="128" w:lineRule="exact"/>
              <w:rPr>
                <w:sz w:val="20"/>
                <w:szCs w:val="20"/>
                <w:color w:val="auto"/>
              </w:rPr>
            </w:pPr>
            <w:r>
              <w:rPr>
                <w:rFonts w:ascii="Arial" w:cs="Arial" w:eastAsia="Arial" w:hAnsi="Arial"/>
                <w:sz w:val="12"/>
                <w:szCs w:val="12"/>
                <w:color w:val="auto"/>
              </w:rPr>
              <w:t>2,000,000</w:t>
            </w:r>
          </w:p>
        </w:tc>
        <w:tc>
          <w:tcPr>
            <w:tcW w:w="72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4,000,000</w:t>
            </w: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line="128"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840" w:type="dxa"/>
            <w:vAlign w:val="bottom"/>
          </w:tcPr>
          <w:p>
            <w:pPr>
              <w:ind w:left="80"/>
              <w:spacing w:after="0"/>
              <w:rPr>
                <w:sz w:val="20"/>
                <w:szCs w:val="20"/>
                <w:color w:val="auto"/>
              </w:rPr>
            </w:pPr>
            <w:r>
              <w:rPr>
                <w:rFonts w:ascii="Arial" w:cs="Arial" w:eastAsia="Arial" w:hAnsi="Arial"/>
                <w:sz w:val="12"/>
                <w:szCs w:val="12"/>
                <w:color w:val="auto"/>
              </w:rPr>
              <w:t>CEO</w:t>
            </w: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32,363</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64,725</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129,450</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6,000,008</w:t>
            </w:r>
          </w:p>
        </w:tc>
        <w:tc>
          <w:tcPr>
            <w:tcW w:w="0" w:type="dxa"/>
            <w:vAlign w:val="bottom"/>
          </w:tcPr>
          <w:p>
            <w:pPr>
              <w:spacing w:after="0"/>
              <w:rPr>
                <w:sz w:val="1"/>
                <w:szCs w:val="1"/>
                <w:color w:val="auto"/>
              </w:rPr>
            </w:pPr>
          </w:p>
        </w:tc>
      </w:tr>
      <w:tr>
        <w:trPr>
          <w:trHeight w:val="53"/>
        </w:trPr>
        <w:tc>
          <w:tcPr>
            <w:tcW w:w="28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840" w:type="dxa"/>
            <w:vAlign w:val="bottom"/>
            <w:gridSpan w:val="2"/>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21,575</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2,000,002</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840" w:type="dxa"/>
            <w:vAlign w:val="bottom"/>
            <w:gridSpan w:val="2"/>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105,541</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92.70</w:t>
            </w:r>
          </w:p>
        </w:tc>
        <w:tc>
          <w:tcPr>
            <w:tcW w:w="680" w:type="dxa"/>
            <w:vAlign w:val="bottom"/>
          </w:tcPr>
          <w:p>
            <w:pPr>
              <w:jc w:val="right"/>
              <w:spacing w:after="0"/>
              <w:rPr>
                <w:sz w:val="20"/>
                <w:szCs w:val="20"/>
                <w:color w:val="auto"/>
              </w:rPr>
            </w:pPr>
            <w:r>
              <w:rPr>
                <w:rFonts w:ascii="Arial" w:cs="Arial" w:eastAsia="Arial" w:hAnsi="Arial"/>
                <w:sz w:val="12"/>
                <w:szCs w:val="12"/>
                <w:color w:val="auto"/>
              </w:rPr>
              <w:t>2,000,002</w:t>
            </w:r>
          </w:p>
        </w:tc>
        <w:tc>
          <w:tcPr>
            <w:tcW w:w="0" w:type="dxa"/>
            <w:vAlign w:val="bottom"/>
          </w:tcPr>
          <w:p>
            <w:pPr>
              <w:spacing w:after="0"/>
              <w:rPr>
                <w:sz w:val="1"/>
                <w:szCs w:val="1"/>
                <w:color w:val="auto"/>
              </w:rPr>
            </w:pPr>
          </w:p>
        </w:tc>
      </w:tr>
      <w:tr>
        <w:trPr>
          <w:trHeight w:val="44"/>
        </w:trPr>
        <w:tc>
          <w:tcPr>
            <w:tcW w:w="28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gridSpan w:val="2"/>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John T. McGinnis</w:t>
            </w:r>
          </w:p>
        </w:tc>
        <w:tc>
          <w:tcPr>
            <w:tcW w:w="840" w:type="dxa"/>
            <w:vAlign w:val="bottom"/>
            <w:gridSpan w:val="2"/>
          </w:tcPr>
          <w:p>
            <w:pPr>
              <w:jc w:val="right"/>
              <w:ind w:right="84"/>
              <w:spacing w:after="0" w:line="121" w:lineRule="exact"/>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color w:val="auto"/>
              </w:rPr>
              <w:t>181,250</w:t>
            </w:r>
          </w:p>
        </w:tc>
        <w:tc>
          <w:tcPr>
            <w:tcW w:w="780" w:type="dxa"/>
            <w:vAlign w:val="bottom"/>
          </w:tcPr>
          <w:p>
            <w:pPr>
              <w:jc w:val="right"/>
              <w:ind w:right="79"/>
              <w:spacing w:after="0" w:line="121" w:lineRule="exact"/>
              <w:rPr>
                <w:sz w:val="20"/>
                <w:szCs w:val="20"/>
                <w:color w:val="auto"/>
              </w:rPr>
            </w:pPr>
            <w:r>
              <w:rPr>
                <w:rFonts w:ascii="Arial" w:cs="Arial" w:eastAsia="Arial" w:hAnsi="Arial"/>
                <w:sz w:val="12"/>
                <w:szCs w:val="12"/>
                <w:color w:val="auto"/>
              </w:rPr>
              <w:t>797,500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1,595,000</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840" w:type="dxa"/>
            <w:vAlign w:val="bottom"/>
          </w:tcPr>
          <w:p>
            <w:pPr>
              <w:ind w:left="80"/>
              <w:spacing w:after="0"/>
              <w:rPr>
                <w:sz w:val="20"/>
                <w:szCs w:val="20"/>
                <w:color w:val="auto"/>
              </w:rPr>
            </w:pPr>
            <w:r>
              <w:rPr>
                <w:rFonts w:ascii="Arial" w:cs="Arial" w:eastAsia="Arial" w:hAnsi="Arial"/>
                <w:sz w:val="12"/>
                <w:szCs w:val="12"/>
                <w:color w:val="333333"/>
              </w:rPr>
              <w:t>CFO</w:t>
            </w: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9,709</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19,418</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38,836</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1,800,049</w:t>
            </w:r>
          </w:p>
        </w:tc>
        <w:tc>
          <w:tcPr>
            <w:tcW w:w="0" w:type="dxa"/>
            <w:vAlign w:val="bottom"/>
          </w:tcPr>
          <w:p>
            <w:pPr>
              <w:spacing w:after="0"/>
              <w:rPr>
                <w:sz w:val="1"/>
                <w:szCs w:val="1"/>
                <w:color w:val="auto"/>
              </w:rPr>
            </w:pPr>
          </w:p>
        </w:tc>
      </w:tr>
      <w:tr>
        <w:trPr>
          <w:trHeight w:val="53"/>
        </w:trPr>
        <w:tc>
          <w:tcPr>
            <w:tcW w:w="28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840" w:type="dxa"/>
            <w:vAlign w:val="bottom"/>
            <w:gridSpan w:val="2"/>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6,473</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600,047</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840" w:type="dxa"/>
            <w:vAlign w:val="bottom"/>
            <w:gridSpan w:val="2"/>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31,663</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92.70</w:t>
            </w:r>
          </w:p>
        </w:tc>
        <w:tc>
          <w:tcPr>
            <w:tcW w:w="680" w:type="dxa"/>
            <w:vAlign w:val="bottom"/>
          </w:tcPr>
          <w:p>
            <w:pPr>
              <w:jc w:val="right"/>
              <w:spacing w:after="0"/>
              <w:rPr>
                <w:sz w:val="20"/>
                <w:szCs w:val="20"/>
                <w:color w:val="auto"/>
              </w:rPr>
            </w:pPr>
            <w:r>
              <w:rPr>
                <w:rFonts w:ascii="Arial" w:cs="Arial" w:eastAsia="Arial" w:hAnsi="Arial"/>
                <w:sz w:val="12"/>
                <w:szCs w:val="12"/>
                <w:color w:val="auto"/>
              </w:rPr>
              <w:t>600,014</w:t>
            </w:r>
          </w:p>
        </w:tc>
        <w:tc>
          <w:tcPr>
            <w:tcW w:w="0" w:type="dxa"/>
            <w:vAlign w:val="bottom"/>
          </w:tcPr>
          <w:p>
            <w:pPr>
              <w:spacing w:after="0"/>
              <w:rPr>
                <w:sz w:val="1"/>
                <w:szCs w:val="1"/>
                <w:color w:val="auto"/>
              </w:rPr>
            </w:pPr>
          </w:p>
        </w:tc>
      </w:tr>
      <w:tr>
        <w:trPr>
          <w:trHeight w:val="44"/>
        </w:trPr>
        <w:tc>
          <w:tcPr>
            <w:tcW w:w="28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gridSpan w:val="2"/>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Michelle S. Nettles</w:t>
            </w:r>
          </w:p>
        </w:tc>
        <w:tc>
          <w:tcPr>
            <w:tcW w:w="840" w:type="dxa"/>
            <w:vAlign w:val="bottom"/>
            <w:gridSpan w:val="2"/>
          </w:tcPr>
          <w:p>
            <w:pPr>
              <w:jc w:val="right"/>
              <w:ind w:right="84"/>
              <w:spacing w:after="0" w:line="121" w:lineRule="exact"/>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color w:val="auto"/>
              </w:rPr>
              <w:t>137,500</w:t>
            </w:r>
          </w:p>
        </w:tc>
        <w:tc>
          <w:tcPr>
            <w:tcW w:w="780" w:type="dxa"/>
            <w:vAlign w:val="bottom"/>
          </w:tcPr>
          <w:p>
            <w:pPr>
              <w:jc w:val="right"/>
              <w:ind w:right="79"/>
              <w:spacing w:after="0" w:line="121" w:lineRule="exact"/>
              <w:rPr>
                <w:sz w:val="20"/>
                <w:szCs w:val="20"/>
                <w:color w:val="auto"/>
              </w:rPr>
            </w:pPr>
            <w:r>
              <w:rPr>
                <w:rFonts w:ascii="Arial" w:cs="Arial" w:eastAsia="Arial" w:hAnsi="Arial"/>
                <w:sz w:val="12"/>
                <w:szCs w:val="12"/>
                <w:color w:val="auto"/>
              </w:rPr>
              <w:t>412,500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825,000</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840" w:type="dxa"/>
            <w:vAlign w:val="bottom"/>
          </w:tcPr>
          <w:p>
            <w:pPr>
              <w:ind w:left="80"/>
              <w:spacing w:after="0" w:line="134" w:lineRule="exact"/>
              <w:rPr>
                <w:sz w:val="20"/>
                <w:szCs w:val="20"/>
                <w:color w:val="auto"/>
              </w:rPr>
            </w:pPr>
            <w:r>
              <w:rPr>
                <w:rFonts w:ascii="Arial" w:cs="Arial" w:eastAsia="Arial" w:hAnsi="Arial"/>
                <w:sz w:val="12"/>
                <w:szCs w:val="12"/>
                <w:color w:val="333333"/>
              </w:rPr>
              <w:t>Chief People</w:t>
            </w: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3,237</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6,473</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12,946</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600,047</w:t>
            </w:r>
          </w:p>
        </w:tc>
        <w:tc>
          <w:tcPr>
            <w:tcW w:w="0" w:type="dxa"/>
            <w:vAlign w:val="bottom"/>
          </w:tcPr>
          <w:p>
            <w:pPr>
              <w:spacing w:after="0"/>
              <w:rPr>
                <w:sz w:val="1"/>
                <w:szCs w:val="1"/>
                <w:color w:val="auto"/>
              </w:rPr>
            </w:pPr>
          </w:p>
        </w:tc>
      </w:tr>
      <w:tr>
        <w:trPr>
          <w:trHeight w:val="69"/>
        </w:trPr>
        <w:tc>
          <w:tcPr>
            <w:tcW w:w="2840" w:type="dxa"/>
            <w:vAlign w:val="bottom"/>
            <w:vMerge w:val="restart"/>
          </w:tcPr>
          <w:p>
            <w:pPr>
              <w:ind w:left="80"/>
              <w:spacing w:after="0"/>
              <w:rPr>
                <w:sz w:val="20"/>
                <w:szCs w:val="20"/>
                <w:color w:val="auto"/>
              </w:rPr>
            </w:pPr>
            <w:r>
              <w:rPr>
                <w:rFonts w:ascii="Arial" w:cs="Arial" w:eastAsia="Arial" w:hAnsi="Arial"/>
                <w:sz w:val="12"/>
                <w:szCs w:val="12"/>
                <w:color w:val="333333"/>
              </w:rPr>
              <w:t>and Culture Officer</w:t>
            </w:r>
          </w:p>
        </w:tc>
        <w:tc>
          <w:tcPr>
            <w:tcW w:w="8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2,158</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200,047</w:t>
            </w:r>
          </w:p>
        </w:tc>
        <w:tc>
          <w:tcPr>
            <w:tcW w:w="0" w:type="dxa"/>
            <w:vAlign w:val="bottom"/>
          </w:tcPr>
          <w:p>
            <w:pPr>
              <w:spacing w:after="0"/>
              <w:rPr>
                <w:sz w:val="1"/>
                <w:szCs w:val="1"/>
                <w:color w:val="auto"/>
              </w:rPr>
            </w:pPr>
          </w:p>
        </w:tc>
      </w:tr>
      <w:tr>
        <w:trPr>
          <w:trHeight w:val="107"/>
        </w:trPr>
        <w:tc>
          <w:tcPr>
            <w:tcW w:w="28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840" w:type="dxa"/>
            <w:vAlign w:val="bottom"/>
            <w:gridSpan w:val="2"/>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10,555</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92.70</w:t>
            </w:r>
          </w:p>
        </w:tc>
        <w:tc>
          <w:tcPr>
            <w:tcW w:w="680" w:type="dxa"/>
            <w:vAlign w:val="bottom"/>
          </w:tcPr>
          <w:p>
            <w:pPr>
              <w:jc w:val="right"/>
              <w:spacing w:after="0"/>
              <w:rPr>
                <w:sz w:val="20"/>
                <w:szCs w:val="20"/>
                <w:color w:val="auto"/>
              </w:rPr>
            </w:pPr>
            <w:r>
              <w:rPr>
                <w:rFonts w:ascii="Arial" w:cs="Arial" w:eastAsia="Arial" w:hAnsi="Arial"/>
                <w:sz w:val="12"/>
                <w:szCs w:val="12"/>
                <w:color w:val="auto"/>
              </w:rPr>
              <w:t>200,017</w:t>
            </w:r>
          </w:p>
        </w:tc>
        <w:tc>
          <w:tcPr>
            <w:tcW w:w="0" w:type="dxa"/>
            <w:vAlign w:val="bottom"/>
          </w:tcPr>
          <w:p>
            <w:pPr>
              <w:spacing w:after="0"/>
              <w:rPr>
                <w:sz w:val="1"/>
                <w:szCs w:val="1"/>
                <w:color w:val="auto"/>
              </w:rPr>
            </w:pPr>
          </w:p>
        </w:tc>
      </w:tr>
      <w:tr>
        <w:trPr>
          <w:trHeight w:val="44"/>
        </w:trPr>
        <w:tc>
          <w:tcPr>
            <w:tcW w:w="28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gridSpan w:val="2"/>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Richard Buchband</w:t>
            </w:r>
          </w:p>
        </w:tc>
        <w:tc>
          <w:tcPr>
            <w:tcW w:w="840" w:type="dxa"/>
            <w:vAlign w:val="bottom"/>
            <w:gridSpan w:val="2"/>
          </w:tcPr>
          <w:p>
            <w:pPr>
              <w:jc w:val="right"/>
              <w:ind w:right="84"/>
              <w:spacing w:after="0" w:line="121" w:lineRule="exact"/>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color w:val="auto"/>
              </w:rPr>
              <w:t>131,250</w:t>
            </w:r>
          </w:p>
        </w:tc>
        <w:tc>
          <w:tcPr>
            <w:tcW w:w="780" w:type="dxa"/>
            <w:vAlign w:val="bottom"/>
          </w:tcPr>
          <w:p>
            <w:pPr>
              <w:jc w:val="right"/>
              <w:ind w:right="79"/>
              <w:spacing w:after="0" w:line="121" w:lineRule="exact"/>
              <w:rPr>
                <w:sz w:val="20"/>
                <w:szCs w:val="20"/>
                <w:color w:val="auto"/>
              </w:rPr>
            </w:pPr>
            <w:r>
              <w:rPr>
                <w:rFonts w:ascii="Arial" w:cs="Arial" w:eastAsia="Arial" w:hAnsi="Arial"/>
                <w:sz w:val="12"/>
                <w:szCs w:val="12"/>
                <w:color w:val="auto"/>
              </w:rPr>
              <w:t>393,750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787,500</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840" w:type="dxa"/>
            <w:vAlign w:val="bottom"/>
          </w:tcPr>
          <w:p>
            <w:pPr>
              <w:ind w:left="80"/>
              <w:spacing w:after="0" w:line="134" w:lineRule="exact"/>
              <w:rPr>
                <w:sz w:val="20"/>
                <w:szCs w:val="20"/>
                <w:color w:val="auto"/>
              </w:rPr>
            </w:pPr>
            <w:r>
              <w:rPr>
                <w:rFonts w:ascii="Arial" w:cs="Arial" w:eastAsia="Arial" w:hAnsi="Arial"/>
                <w:sz w:val="12"/>
                <w:szCs w:val="12"/>
                <w:color w:val="333333"/>
              </w:rPr>
              <w:t>SVP, General Counsel</w:t>
            </w: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2,589</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5,178</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10,356</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480,001</w:t>
            </w:r>
          </w:p>
        </w:tc>
        <w:tc>
          <w:tcPr>
            <w:tcW w:w="0" w:type="dxa"/>
            <w:vAlign w:val="bottom"/>
          </w:tcPr>
          <w:p>
            <w:pPr>
              <w:spacing w:after="0"/>
              <w:rPr>
                <w:sz w:val="1"/>
                <w:szCs w:val="1"/>
                <w:color w:val="auto"/>
              </w:rPr>
            </w:pPr>
          </w:p>
        </w:tc>
      </w:tr>
      <w:tr>
        <w:trPr>
          <w:trHeight w:val="69"/>
        </w:trPr>
        <w:tc>
          <w:tcPr>
            <w:tcW w:w="2840" w:type="dxa"/>
            <w:vAlign w:val="bottom"/>
            <w:vMerge w:val="restart"/>
          </w:tcPr>
          <w:p>
            <w:pPr>
              <w:ind w:left="80"/>
              <w:spacing w:after="0"/>
              <w:rPr>
                <w:sz w:val="20"/>
                <w:szCs w:val="20"/>
                <w:color w:val="auto"/>
              </w:rPr>
            </w:pPr>
            <w:r>
              <w:rPr>
                <w:rFonts w:ascii="Arial" w:cs="Arial" w:eastAsia="Arial" w:hAnsi="Arial"/>
                <w:sz w:val="12"/>
                <w:szCs w:val="12"/>
                <w:color w:val="333333"/>
              </w:rPr>
              <w:t>and Secretary</w:t>
            </w:r>
          </w:p>
        </w:tc>
        <w:tc>
          <w:tcPr>
            <w:tcW w:w="8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1,726</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160,000</w:t>
            </w:r>
          </w:p>
        </w:tc>
        <w:tc>
          <w:tcPr>
            <w:tcW w:w="0" w:type="dxa"/>
            <w:vAlign w:val="bottom"/>
          </w:tcPr>
          <w:p>
            <w:pPr>
              <w:spacing w:after="0"/>
              <w:rPr>
                <w:sz w:val="1"/>
                <w:szCs w:val="1"/>
                <w:color w:val="auto"/>
              </w:rPr>
            </w:pPr>
          </w:p>
        </w:tc>
      </w:tr>
      <w:tr>
        <w:trPr>
          <w:trHeight w:val="107"/>
        </w:trPr>
        <w:tc>
          <w:tcPr>
            <w:tcW w:w="28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840" w:type="dxa"/>
            <w:vAlign w:val="bottom"/>
            <w:gridSpan w:val="2"/>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8,444</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92.70</w:t>
            </w:r>
          </w:p>
        </w:tc>
        <w:tc>
          <w:tcPr>
            <w:tcW w:w="680" w:type="dxa"/>
            <w:vAlign w:val="bottom"/>
          </w:tcPr>
          <w:p>
            <w:pPr>
              <w:jc w:val="right"/>
              <w:spacing w:after="0"/>
              <w:rPr>
                <w:sz w:val="20"/>
                <w:szCs w:val="20"/>
                <w:color w:val="auto"/>
              </w:rPr>
            </w:pPr>
            <w:r>
              <w:rPr>
                <w:rFonts w:ascii="Arial" w:cs="Arial" w:eastAsia="Arial" w:hAnsi="Arial"/>
                <w:sz w:val="12"/>
                <w:szCs w:val="12"/>
                <w:color w:val="auto"/>
              </w:rPr>
              <w:t>160,014</w:t>
            </w:r>
          </w:p>
        </w:tc>
        <w:tc>
          <w:tcPr>
            <w:tcW w:w="0" w:type="dxa"/>
            <w:vAlign w:val="bottom"/>
          </w:tcPr>
          <w:p>
            <w:pPr>
              <w:spacing w:after="0"/>
              <w:rPr>
                <w:sz w:val="1"/>
                <w:szCs w:val="1"/>
                <w:color w:val="auto"/>
              </w:rPr>
            </w:pPr>
          </w:p>
        </w:tc>
      </w:tr>
      <w:tr>
        <w:trPr>
          <w:trHeight w:val="44"/>
        </w:trPr>
        <w:tc>
          <w:tcPr>
            <w:tcW w:w="28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gridSpan w:val="2"/>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Mara E. Swan(6)</w:t>
            </w:r>
          </w:p>
        </w:tc>
        <w:tc>
          <w:tcPr>
            <w:tcW w:w="840" w:type="dxa"/>
            <w:vAlign w:val="bottom"/>
            <w:gridSpan w:val="2"/>
          </w:tcPr>
          <w:p>
            <w:pPr>
              <w:jc w:val="right"/>
              <w:ind w:right="84"/>
              <w:spacing w:after="0" w:line="121" w:lineRule="exact"/>
              <w:rPr>
                <w:sz w:val="20"/>
                <w:szCs w:val="20"/>
                <w:color w:val="auto"/>
              </w:rPr>
            </w:pPr>
            <w:r>
              <w:rPr>
                <w:rFonts w:ascii="Arial" w:cs="Arial" w:eastAsia="Arial" w:hAnsi="Arial"/>
                <w:sz w:val="12"/>
                <w:szCs w:val="12"/>
                <w:color w:val="auto"/>
              </w:rPr>
              <w:t>2/14/2020</w:t>
            </w: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line="121"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9"/>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840" w:type="dxa"/>
            <w:vAlign w:val="bottom"/>
          </w:tcPr>
          <w:p>
            <w:pPr>
              <w:ind w:left="80"/>
              <w:spacing w:after="0" w:line="134" w:lineRule="exact"/>
              <w:rPr>
                <w:sz w:val="20"/>
                <w:szCs w:val="20"/>
                <w:color w:val="auto"/>
              </w:rPr>
            </w:pPr>
            <w:r>
              <w:rPr>
                <w:rFonts w:ascii="Arial" w:cs="Arial" w:eastAsia="Arial" w:hAnsi="Arial"/>
                <w:sz w:val="12"/>
                <w:szCs w:val="12"/>
                <w:color w:val="333333"/>
              </w:rPr>
              <w:t>Former EVP, Global</w:t>
            </w: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9"/>
        </w:trPr>
        <w:tc>
          <w:tcPr>
            <w:tcW w:w="2840" w:type="dxa"/>
            <w:vAlign w:val="bottom"/>
            <w:vMerge w:val="restart"/>
          </w:tcPr>
          <w:p>
            <w:pPr>
              <w:ind w:left="80"/>
              <w:spacing w:after="0"/>
              <w:rPr>
                <w:sz w:val="20"/>
                <w:szCs w:val="20"/>
                <w:color w:val="auto"/>
              </w:rPr>
            </w:pPr>
            <w:r>
              <w:rPr>
                <w:rFonts w:ascii="Arial" w:cs="Arial" w:eastAsia="Arial" w:hAnsi="Arial"/>
                <w:sz w:val="12"/>
                <w:szCs w:val="12"/>
                <w:color w:val="333333"/>
              </w:rPr>
              <w:t>Strategy and Talent</w:t>
            </w:r>
          </w:p>
        </w:tc>
        <w:tc>
          <w:tcPr>
            <w:tcW w:w="8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84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2/14/2020</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19"/>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7"/>
        </w:trPr>
        <w:tc>
          <w:tcPr>
            <w:tcW w:w="28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840" w:type="dxa"/>
            <w:vAlign w:val="bottom"/>
            <w:tcBorders>
              <w:bottom w:val="single" w:sz="8" w:color="5D89B4"/>
            </w:tcBorders>
          </w:tcPr>
          <w:p>
            <w:pPr>
              <w:spacing w:after="0"/>
              <w:rPr>
                <w:sz w:val="3"/>
                <w:szCs w:val="3"/>
                <w:color w:val="auto"/>
              </w:rPr>
            </w:pPr>
          </w:p>
        </w:tc>
        <w:tc>
          <w:tcPr>
            <w:tcW w:w="10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hanging="433"/>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established under the Annual Incentive Plan.</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These amounts represent the number of PSUs that could be earned related to the PSUs granted in 2020 under the 2011 Equity Incentive Plan.</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Amounts represent the number of RSUs granted in 2020 under the 2011 Equity Incentive Plan.</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These amounts represent the number of shares underlying stock options that were granted in 2020 under the 2011 Equity Incentive Plan.</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grant date fair value of stock and option awards granted in 2020 that are reported in this column have been computed in accordance with FASB ASC Topic 718.</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Swan retired from the Company in March 2020 and did not participate in the annual incentive plan for 2020 or receive any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50</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139"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Messrs. Prising, McGinnis, Buchband and Ms. Nettles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5D89B4"/>
        </w:rPr>
        <w:t xml:space="preserve">Stock options. </w:t>
      </w:r>
      <w:r>
        <w:rPr>
          <w:rFonts w:ascii="Arial" w:cs="Arial" w:eastAsia="Arial" w:hAnsi="Arial"/>
          <w:sz w:val="15"/>
          <w:szCs w:val="15"/>
          <w:color w:val="000000"/>
        </w:rPr>
        <w:t>ManpowerGroup made grants of stock options to all of the executive officers under the 2011 Equity Incentive Plan in February 2020, except</w:t>
      </w:r>
    </w:p>
    <w:p>
      <w:pPr>
        <w:spacing w:after="0" w:line="6"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Ms. Swan. The stock options granted in 2020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10"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ManpowerGroup made grants of PSUs to all of the executive officers under the 2011 Equity Incentive Plan in February 2020, except Ms. Swan who did not</w:t>
      </w:r>
      <w:r>
        <w:rPr>
          <w:rFonts w:ascii="Arial" w:cs="Arial" w:eastAsia="Arial" w:hAnsi="Arial"/>
          <w:sz w:val="15"/>
          <w:szCs w:val="15"/>
          <w:b w:val="1"/>
          <w:bCs w:val="1"/>
          <w:color w:val="5D89B4"/>
        </w:rPr>
        <w:t xml:space="preserve"> </w:t>
      </w:r>
      <w:r>
        <w:rPr>
          <w:rFonts w:ascii="Arial" w:cs="Arial" w:eastAsia="Arial" w:hAnsi="Arial"/>
          <w:sz w:val="15"/>
          <w:szCs w:val="15"/>
          <w:color w:val="000000"/>
        </w:rPr>
        <w:t>receive PSUs in 2020. Each executive officer received a PSU grant that will vest if the relevant performance goal of average OPMP is met for the three-year performance period. For 2020, the Committee included a modifier to the final PSU payout that can increase or decrease the final PSU payout (that was determined based on the OPMP for the 3-year performance period and the gate) by up to 30%. The modifier is based on an evaluation of pre-established strategic growth initiatives over the performance period. See page 41 for description of the goals and initiatives established by the Committee for the 2020 PSU grants.</w:t>
      </w:r>
    </w:p>
    <w:p>
      <w:pPr>
        <w:spacing w:after="0" w:line="127" w:lineRule="exact"/>
        <w:rPr>
          <w:sz w:val="20"/>
          <w:szCs w:val="20"/>
          <w:color w:val="auto"/>
        </w:rPr>
      </w:pPr>
    </w:p>
    <w:p>
      <w:pPr>
        <w:ind w:right="320"/>
        <w:spacing w:after="0" w:line="232" w:lineRule="auto"/>
        <w:rPr>
          <w:sz w:val="20"/>
          <w:szCs w:val="20"/>
          <w:color w:val="auto"/>
        </w:rPr>
      </w:pPr>
      <w:r>
        <w:rPr>
          <w:rFonts w:ascii="Arial" w:cs="Arial" w:eastAsia="Arial" w:hAnsi="Arial"/>
          <w:sz w:val="15"/>
          <w:szCs w:val="15"/>
          <w:color w:val="auto"/>
        </w:rPr>
        <w:t>No dividends are paid on the PSUs unless and until actual shares are issued to the executive officer upon the vesting of the PSUs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b w:val="1"/>
          <w:bCs w:val="1"/>
          <w:color w:val="5D89B4"/>
        </w:rPr>
        <w:t xml:space="preserve">RSUs. </w:t>
      </w:r>
      <w:r>
        <w:rPr>
          <w:rFonts w:ascii="Arial" w:cs="Arial" w:eastAsia="Arial" w:hAnsi="Arial"/>
          <w:sz w:val="15"/>
          <w:szCs w:val="15"/>
          <w:color w:val="000000"/>
        </w:rPr>
        <w:t>The RSUs granted to the executive officers under the 2011 Equity Incentive Plan in February 2020 have a three-year cliff vest and are earned as long as</w:t>
      </w:r>
      <w:r>
        <w:rPr>
          <w:rFonts w:ascii="Arial" w:cs="Arial" w:eastAsia="Arial" w:hAnsi="Arial"/>
          <w:sz w:val="15"/>
          <w:szCs w:val="15"/>
          <w:b w:val="1"/>
          <w:bCs w:val="1"/>
          <w:color w:val="5D89B4"/>
        </w:rPr>
        <w:t xml:space="preserve"> </w:t>
      </w:r>
      <w:r>
        <w:rPr>
          <w:rFonts w:ascii="Arial" w:cs="Arial" w:eastAsia="Arial" w:hAnsi="Arial"/>
          <w:sz w:val="15"/>
          <w:szCs w:val="15"/>
          <w:color w:val="000000"/>
        </w:rPr>
        <w:t>the executive officer continues to be employed by the Company. Dividend equivalents are accumulated on the RSUs under these awards and vest on the same basis as the underlying award. Additional vesting terms applicable to these grants are described in further detail in the section entitled “Termination of Employment and Change of Control Arrangements” following the Nonqualified Deferred Compensation Table.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5D89B4"/>
        </w:rPr>
        <w:t xml:space="preserve">Career shares. </w:t>
      </w:r>
      <w:r>
        <w:rPr>
          <w:rFonts w:ascii="Arial" w:cs="Arial" w:eastAsia="Arial" w:hAnsi="Arial"/>
          <w:sz w:val="15"/>
          <w:szCs w:val="15"/>
          <w:color w:val="000000"/>
        </w:rPr>
        <w:t>ManpowerGroup did not make any career share grants to any of the NEOs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69297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Outstanding Equity Awards at December 31,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2320" w:type="dxa"/>
            <w:vAlign w:val="bottom"/>
            <w:gridSpan w:val="2"/>
            <w:shd w:val="clear" w:color="auto" w:fill="EAEAEA"/>
          </w:tcPr>
          <w:p>
            <w:pPr>
              <w:jc w:val="right"/>
              <w:ind w:right="336"/>
              <w:spacing w:after="0"/>
              <w:rPr>
                <w:sz w:val="20"/>
                <w:szCs w:val="20"/>
                <w:color w:val="auto"/>
              </w:rPr>
            </w:pPr>
            <w:r>
              <w:rPr>
                <w:rFonts w:ascii="Arial" w:cs="Arial" w:eastAsia="Arial" w:hAnsi="Arial"/>
                <w:sz w:val="11"/>
                <w:szCs w:val="11"/>
                <w:b w:val="1"/>
                <w:bCs w:val="1"/>
                <w:color w:val="5D89B4"/>
              </w:rPr>
              <w:t>OPTION AWARDS</w:t>
            </w:r>
          </w:p>
        </w:tc>
        <w:tc>
          <w:tcPr>
            <w:tcW w:w="200" w:type="dxa"/>
            <w:vAlign w:val="bottom"/>
            <w:shd w:val="clear" w:color="auto" w:fill="EAEAEA"/>
          </w:tcPr>
          <w:p>
            <w:pPr>
              <w:spacing w:after="0"/>
              <w:rPr>
                <w:sz w:val="16"/>
                <w:szCs w:val="16"/>
                <w:color w:val="auto"/>
              </w:rPr>
            </w:pPr>
          </w:p>
        </w:tc>
        <w:tc>
          <w:tcPr>
            <w:tcW w:w="540" w:type="dxa"/>
            <w:vAlign w:val="bottom"/>
            <w:shd w:val="clear" w:color="auto" w:fill="EAEAEA"/>
          </w:tcPr>
          <w:p>
            <w:pPr>
              <w:spacing w:after="0"/>
              <w:rPr>
                <w:sz w:val="16"/>
                <w:szCs w:val="16"/>
                <w:color w:val="auto"/>
              </w:rPr>
            </w:pPr>
          </w:p>
        </w:tc>
        <w:tc>
          <w:tcPr>
            <w:tcW w:w="8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1940" w:type="dxa"/>
            <w:vAlign w:val="bottom"/>
            <w:gridSpan w:val="2"/>
            <w:shd w:val="clear" w:color="auto" w:fill="EAEAEA"/>
          </w:tcPr>
          <w:p>
            <w:pPr>
              <w:jc w:val="right"/>
              <w:ind w:right="596"/>
              <w:spacing w:after="0"/>
              <w:rPr>
                <w:sz w:val="20"/>
                <w:szCs w:val="20"/>
                <w:color w:val="auto"/>
              </w:rPr>
            </w:pPr>
            <w:r>
              <w:rPr>
                <w:rFonts w:ascii="Arial" w:cs="Arial" w:eastAsia="Arial" w:hAnsi="Arial"/>
                <w:sz w:val="11"/>
                <w:szCs w:val="11"/>
                <w:b w:val="1"/>
                <w:bCs w:val="1"/>
                <w:color w:val="5D89B4"/>
              </w:rPr>
              <w:t>STOCK AWARDS</w:t>
            </w:r>
          </w:p>
        </w:tc>
        <w:tc>
          <w:tcPr>
            <w:tcW w:w="20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740" w:type="dxa"/>
            <w:vAlign w:val="bottom"/>
            <w:tcBorders>
              <w:bottom w:val="single" w:sz="8" w:color="EAEAEA"/>
            </w:tcBorders>
            <w:shd w:val="clear" w:color="auto" w:fill="EAEAEA"/>
          </w:tcPr>
          <w:p>
            <w:pPr>
              <w:spacing w:after="0"/>
              <w:rPr>
                <w:sz w:val="5"/>
                <w:szCs w:val="5"/>
                <w:color w:val="auto"/>
              </w:rPr>
            </w:pPr>
          </w:p>
        </w:tc>
        <w:tc>
          <w:tcPr>
            <w:tcW w:w="160" w:type="dxa"/>
            <w:vAlign w:val="bottom"/>
            <w:tcBorders>
              <w:bottom w:val="single" w:sz="8" w:color="EAEAEA"/>
            </w:tcBorders>
            <w:shd w:val="clear" w:color="auto" w:fill="EAEAEA"/>
          </w:tcPr>
          <w:p>
            <w:pPr>
              <w:spacing w:after="0"/>
              <w:rPr>
                <w:sz w:val="5"/>
                <w:szCs w:val="5"/>
                <w:color w:val="auto"/>
              </w:rPr>
            </w:pPr>
          </w:p>
        </w:tc>
        <w:tc>
          <w:tcPr>
            <w:tcW w:w="880" w:type="dxa"/>
            <w:vAlign w:val="bottom"/>
            <w:tcBorders>
              <w:bottom w:val="single" w:sz="8" w:color="5D89B4"/>
            </w:tcBorders>
            <w:shd w:val="clear" w:color="auto" w:fill="EAEAEA"/>
          </w:tcPr>
          <w:p>
            <w:pPr>
              <w:spacing w:after="0"/>
              <w:rPr>
                <w:sz w:val="5"/>
                <w:szCs w:val="5"/>
                <w:color w:val="auto"/>
              </w:rPr>
            </w:pPr>
          </w:p>
        </w:tc>
        <w:tc>
          <w:tcPr>
            <w:tcW w:w="1300" w:type="dxa"/>
            <w:vAlign w:val="bottom"/>
            <w:tcBorders>
              <w:bottom w:val="single" w:sz="8" w:color="5D89B4"/>
            </w:tcBorders>
            <w:shd w:val="clear" w:color="auto" w:fill="EAEAEA"/>
          </w:tcPr>
          <w:p>
            <w:pPr>
              <w:spacing w:after="0"/>
              <w:rPr>
                <w:sz w:val="5"/>
                <w:szCs w:val="5"/>
                <w:color w:val="auto"/>
              </w:rPr>
            </w:pPr>
          </w:p>
        </w:tc>
        <w:tc>
          <w:tcPr>
            <w:tcW w:w="102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540" w:type="dxa"/>
            <w:vAlign w:val="bottom"/>
            <w:tcBorders>
              <w:bottom w:val="single" w:sz="8" w:color="5D89B4"/>
            </w:tcBorders>
            <w:shd w:val="clear" w:color="auto" w:fill="EAEAEA"/>
          </w:tcPr>
          <w:p>
            <w:pPr>
              <w:spacing w:after="0"/>
              <w:rPr>
                <w:sz w:val="5"/>
                <w:szCs w:val="5"/>
                <w:color w:val="auto"/>
              </w:rPr>
            </w:pPr>
          </w:p>
        </w:tc>
        <w:tc>
          <w:tcPr>
            <w:tcW w:w="800" w:type="dxa"/>
            <w:vAlign w:val="bottom"/>
            <w:tcBorders>
              <w:bottom w:val="single" w:sz="8" w:color="5D89B4"/>
            </w:tcBorders>
            <w:shd w:val="clear" w:color="auto" w:fill="EAEAEA"/>
          </w:tcPr>
          <w:p>
            <w:pPr>
              <w:spacing w:after="0"/>
              <w:rPr>
                <w:sz w:val="5"/>
                <w:szCs w:val="5"/>
                <w:color w:val="auto"/>
              </w:rPr>
            </w:pPr>
          </w:p>
        </w:tc>
        <w:tc>
          <w:tcPr>
            <w:tcW w:w="80" w:type="dxa"/>
            <w:vAlign w:val="bottom"/>
            <w:tcBorders>
              <w:bottom w:val="single" w:sz="8" w:color="EAEAEA"/>
            </w:tcBorders>
            <w:shd w:val="clear" w:color="auto" w:fill="EAEAEA"/>
          </w:tcPr>
          <w:p>
            <w:pPr>
              <w:spacing w:after="0"/>
              <w:rPr>
                <w:sz w:val="5"/>
                <w:szCs w:val="5"/>
                <w:color w:val="auto"/>
              </w:rPr>
            </w:pPr>
          </w:p>
        </w:tc>
        <w:tc>
          <w:tcPr>
            <w:tcW w:w="104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680" w:type="dxa"/>
            <w:vAlign w:val="bottom"/>
            <w:tcBorders>
              <w:bottom w:val="single" w:sz="8" w:color="5D89B4"/>
            </w:tcBorders>
            <w:shd w:val="clear" w:color="auto" w:fill="EAEAEA"/>
          </w:tcPr>
          <w:p>
            <w:pPr>
              <w:spacing w:after="0"/>
              <w:rPr>
                <w:sz w:val="5"/>
                <w:szCs w:val="5"/>
                <w:color w:val="auto"/>
              </w:rPr>
            </w:pPr>
          </w:p>
        </w:tc>
        <w:tc>
          <w:tcPr>
            <w:tcW w:w="126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820" w:type="dxa"/>
            <w:vAlign w:val="bottom"/>
            <w:tcBorders>
              <w:bottom w:val="single" w:sz="8" w:color="5D89B4"/>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74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54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80" w:type="dxa"/>
            <w:vAlign w:val="bottom"/>
            <w:shd w:val="clear" w:color="auto" w:fill="EAEAEA"/>
          </w:tcPr>
          <w:p>
            <w:pPr>
              <w:spacing w:after="0"/>
              <w:rPr>
                <w:sz w:val="13"/>
                <w:szCs w:val="13"/>
                <w:color w:val="auto"/>
              </w:rPr>
            </w:pPr>
          </w:p>
        </w:tc>
        <w:tc>
          <w:tcPr>
            <w:tcW w:w="104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6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INCENTIVE</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INCENTIVE</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PLAN AWARDS:</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MARKET OR</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INCENTIVE</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jc w:val="right"/>
              <w:ind w:right="15"/>
              <w:spacing w:after="0" w:line="121" w:lineRule="exact"/>
              <w:rPr>
                <w:sz w:val="20"/>
                <w:szCs w:val="20"/>
                <w:color w:val="auto"/>
              </w:rPr>
            </w:pPr>
            <w:r>
              <w:rPr>
                <w:rFonts w:ascii="Arial" w:cs="Arial" w:eastAsia="Arial" w:hAnsi="Arial"/>
                <w:sz w:val="11"/>
                <w:szCs w:val="11"/>
                <w:b w:val="1"/>
                <w:bCs w:val="1"/>
                <w:color w:val="5D89B4"/>
              </w:rPr>
              <w:t>MARKET</w:t>
            </w: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NUMBER OF</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PAYOUT VALUE</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NUMBER OF</w:t>
            </w:r>
          </w:p>
        </w:tc>
        <w:tc>
          <w:tcPr>
            <w:tcW w:w="1300" w:type="dxa"/>
            <w:vAlign w:val="bottom"/>
            <w:shd w:val="clear" w:color="auto" w:fill="EAEAEA"/>
          </w:tcPr>
          <w:p>
            <w:pPr>
              <w:jc w:val="right"/>
              <w:ind w:right="216"/>
              <w:spacing w:after="0" w:line="121" w:lineRule="exact"/>
              <w:rPr>
                <w:sz w:val="20"/>
                <w:szCs w:val="20"/>
                <w:color w:val="auto"/>
              </w:rPr>
            </w:pPr>
            <w:r>
              <w:rPr>
                <w:rFonts w:ascii="Arial" w:cs="Arial" w:eastAsia="Arial" w:hAnsi="Arial"/>
                <w:sz w:val="11"/>
                <w:szCs w:val="11"/>
                <w:b w:val="1"/>
                <w:bCs w:val="1"/>
                <w:color w:val="5D89B4"/>
              </w:rPr>
              <w:t>NUMBER OF</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NUMBER</w:t>
            </w: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jc w:val="right"/>
              <w:ind w:right="15"/>
              <w:spacing w:after="0" w:line="121" w:lineRule="exact"/>
              <w:rPr>
                <w:sz w:val="20"/>
                <w:szCs w:val="20"/>
                <w:color w:val="auto"/>
              </w:rPr>
            </w:pPr>
            <w:r>
              <w:rPr>
                <w:rFonts w:ascii="Arial" w:cs="Arial" w:eastAsia="Arial" w:hAnsi="Arial"/>
                <w:sz w:val="11"/>
                <w:szCs w:val="11"/>
                <w:b w:val="1"/>
                <w:bCs w:val="1"/>
                <w:color w:val="5D89B4"/>
              </w:rPr>
              <w:t>VALUE</w:t>
            </w: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4"/>
              </w:rPr>
              <w:t>OF UNEARNED</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SECURITIES</w:t>
            </w:r>
          </w:p>
        </w:tc>
        <w:tc>
          <w:tcPr>
            <w:tcW w:w="1300" w:type="dxa"/>
            <w:vAlign w:val="bottom"/>
            <w:shd w:val="clear" w:color="auto" w:fill="EAEAEA"/>
          </w:tcPr>
          <w:p>
            <w:pPr>
              <w:jc w:val="right"/>
              <w:ind w:right="216"/>
              <w:spacing w:after="0" w:line="121" w:lineRule="exact"/>
              <w:rPr>
                <w:sz w:val="20"/>
                <w:szCs w:val="20"/>
                <w:color w:val="auto"/>
              </w:rPr>
            </w:pPr>
            <w:r>
              <w:rPr>
                <w:rFonts w:ascii="Arial" w:cs="Arial" w:eastAsia="Arial" w:hAnsi="Arial"/>
                <w:sz w:val="11"/>
                <w:szCs w:val="11"/>
                <w:b w:val="1"/>
                <w:bCs w:val="1"/>
                <w:color w:val="5D89B4"/>
              </w:rPr>
              <w:t>SECURITIES</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NUMBER OF</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OF SHARES</w:t>
            </w:r>
          </w:p>
        </w:tc>
        <w:tc>
          <w:tcPr>
            <w:tcW w:w="880" w:type="dxa"/>
            <w:vAlign w:val="bottom"/>
            <w:gridSpan w:val="2"/>
            <w:shd w:val="clear" w:color="auto" w:fill="EAEAEA"/>
          </w:tcPr>
          <w:p>
            <w:pPr>
              <w:jc w:val="right"/>
              <w:ind w:right="15"/>
              <w:spacing w:after="0" w:line="121" w:lineRule="exact"/>
              <w:rPr>
                <w:sz w:val="20"/>
                <w:szCs w:val="20"/>
                <w:color w:val="auto"/>
              </w:rPr>
            </w:pPr>
            <w:r>
              <w:rPr>
                <w:rFonts w:ascii="Arial" w:cs="Arial" w:eastAsia="Arial" w:hAnsi="Arial"/>
                <w:sz w:val="11"/>
                <w:szCs w:val="11"/>
                <w:b w:val="1"/>
                <w:bCs w:val="1"/>
                <w:color w:val="5D89B4"/>
              </w:rPr>
              <w:t>OF SHARES</w:t>
            </w: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SHARES, UNITS,</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SHARES, UNITS,</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UNDERLYING</w:t>
            </w:r>
          </w:p>
        </w:tc>
        <w:tc>
          <w:tcPr>
            <w:tcW w:w="1300" w:type="dxa"/>
            <w:vAlign w:val="bottom"/>
            <w:shd w:val="clear" w:color="auto" w:fill="EAEAEA"/>
          </w:tcPr>
          <w:p>
            <w:pPr>
              <w:jc w:val="right"/>
              <w:ind w:right="216"/>
              <w:spacing w:after="0" w:line="121" w:lineRule="exact"/>
              <w:rPr>
                <w:sz w:val="20"/>
                <w:szCs w:val="20"/>
                <w:color w:val="auto"/>
              </w:rPr>
            </w:pPr>
            <w:r>
              <w:rPr>
                <w:rFonts w:ascii="Arial" w:cs="Arial" w:eastAsia="Arial" w:hAnsi="Arial"/>
                <w:sz w:val="11"/>
                <w:szCs w:val="11"/>
                <w:b w:val="1"/>
                <w:bCs w:val="1"/>
                <w:color w:val="5D89B4"/>
              </w:rPr>
              <w:t>UNDERLYING</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SECURITIES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OR UNITS</w:t>
            </w: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jc w:val="right"/>
              <w:ind w:right="15"/>
              <w:spacing w:after="0" w:line="121" w:lineRule="exact"/>
              <w:rPr>
                <w:sz w:val="20"/>
                <w:szCs w:val="20"/>
                <w:color w:val="auto"/>
              </w:rPr>
            </w:pPr>
            <w:r>
              <w:rPr>
                <w:rFonts w:ascii="Arial" w:cs="Arial" w:eastAsia="Arial" w:hAnsi="Arial"/>
                <w:sz w:val="11"/>
                <w:szCs w:val="11"/>
                <w:b w:val="1"/>
                <w:bCs w:val="1"/>
                <w:color w:val="5D89B4"/>
              </w:rPr>
              <w:t>OR UNITS</w:t>
            </w: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OR OTHER</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OR OTHER</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w w:val="95"/>
              </w:rPr>
              <w:t>UNEXERCISED</w:t>
            </w:r>
          </w:p>
        </w:tc>
        <w:tc>
          <w:tcPr>
            <w:tcW w:w="1300" w:type="dxa"/>
            <w:vAlign w:val="bottom"/>
            <w:shd w:val="clear" w:color="auto" w:fill="EAEAEA"/>
          </w:tcPr>
          <w:p>
            <w:pPr>
              <w:jc w:val="right"/>
              <w:ind w:right="216"/>
              <w:spacing w:after="0" w:line="121" w:lineRule="exact"/>
              <w:rPr>
                <w:sz w:val="20"/>
                <w:szCs w:val="20"/>
                <w:color w:val="auto"/>
              </w:rPr>
            </w:pPr>
            <w:r>
              <w:rPr>
                <w:rFonts w:ascii="Arial" w:cs="Arial" w:eastAsia="Arial" w:hAnsi="Arial"/>
                <w:sz w:val="11"/>
                <w:szCs w:val="11"/>
                <w:b w:val="1"/>
                <w:bCs w:val="1"/>
                <w:color w:val="5D89B4"/>
              </w:rPr>
              <w:t>UNEXERCISED</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UNDERLYING</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4"/>
              <w:spacing w:after="0" w:line="121" w:lineRule="exact"/>
              <w:rPr>
                <w:sz w:val="20"/>
                <w:szCs w:val="20"/>
                <w:color w:val="auto"/>
              </w:rPr>
            </w:pPr>
            <w:r>
              <w:rPr>
                <w:rFonts w:ascii="Arial" w:cs="Arial" w:eastAsia="Arial" w:hAnsi="Arial"/>
                <w:sz w:val="11"/>
                <w:szCs w:val="11"/>
                <w:b w:val="1"/>
                <w:bCs w:val="1"/>
                <w:color w:val="5D89B4"/>
                <w:w w:val="99"/>
              </w:rPr>
              <w:t>OPTION</w:t>
            </w: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OF STOCK</w:t>
            </w: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jc w:val="right"/>
              <w:ind w:right="15"/>
              <w:spacing w:after="0" w:line="121" w:lineRule="exact"/>
              <w:rPr>
                <w:sz w:val="20"/>
                <w:szCs w:val="20"/>
                <w:color w:val="auto"/>
              </w:rPr>
            </w:pPr>
            <w:r>
              <w:rPr>
                <w:rFonts w:ascii="Arial" w:cs="Arial" w:eastAsia="Arial" w:hAnsi="Arial"/>
                <w:sz w:val="11"/>
                <w:szCs w:val="11"/>
                <w:b w:val="1"/>
                <w:bCs w:val="1"/>
                <w:color w:val="5D89B4"/>
              </w:rPr>
              <w:t>OF STOCK</w:t>
            </w: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RIGHTS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RIGHTS</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OPTIONS</w:t>
            </w:r>
          </w:p>
        </w:tc>
        <w:tc>
          <w:tcPr>
            <w:tcW w:w="1300" w:type="dxa"/>
            <w:vAlign w:val="bottom"/>
            <w:shd w:val="clear" w:color="auto" w:fill="EAEAEA"/>
          </w:tcPr>
          <w:p>
            <w:pPr>
              <w:jc w:val="right"/>
              <w:ind w:right="216"/>
              <w:spacing w:after="0" w:line="121" w:lineRule="exact"/>
              <w:rPr>
                <w:sz w:val="20"/>
                <w:szCs w:val="20"/>
                <w:color w:val="auto"/>
              </w:rPr>
            </w:pPr>
            <w:r>
              <w:rPr>
                <w:rFonts w:ascii="Arial" w:cs="Arial" w:eastAsia="Arial" w:hAnsi="Arial"/>
                <w:sz w:val="11"/>
                <w:szCs w:val="11"/>
                <w:b w:val="1"/>
                <w:bCs w:val="1"/>
                <w:color w:val="5D89B4"/>
              </w:rPr>
              <w:t>OPTIONS</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UNEXERCISED</w:t>
            </w:r>
          </w:p>
        </w:tc>
        <w:tc>
          <w:tcPr>
            <w:tcW w:w="740" w:type="dxa"/>
            <w:vAlign w:val="bottom"/>
            <w:gridSpan w:val="2"/>
            <w:shd w:val="clear" w:color="auto" w:fill="EAEAEA"/>
          </w:tcPr>
          <w:p>
            <w:pPr>
              <w:ind w:left="100"/>
              <w:spacing w:after="0" w:line="121" w:lineRule="exact"/>
              <w:rPr>
                <w:sz w:val="20"/>
                <w:szCs w:val="20"/>
                <w:color w:val="auto"/>
              </w:rPr>
            </w:pPr>
            <w:r>
              <w:rPr>
                <w:rFonts w:ascii="Arial" w:cs="Arial" w:eastAsia="Arial" w:hAnsi="Arial"/>
                <w:sz w:val="11"/>
                <w:szCs w:val="11"/>
                <w:b w:val="1"/>
                <w:bCs w:val="1"/>
                <w:color w:val="5D89B4"/>
              </w:rPr>
              <w:t>EXERCISE</w:t>
            </w:r>
          </w:p>
        </w:tc>
        <w:tc>
          <w:tcPr>
            <w:tcW w:w="880" w:type="dxa"/>
            <w:vAlign w:val="bottom"/>
            <w:gridSpan w:val="2"/>
            <w:shd w:val="clear" w:color="auto" w:fill="EAEAEA"/>
          </w:tcPr>
          <w:p>
            <w:pPr>
              <w:jc w:val="right"/>
              <w:ind w:right="120"/>
              <w:spacing w:after="0" w:line="121" w:lineRule="exact"/>
              <w:rPr>
                <w:sz w:val="20"/>
                <w:szCs w:val="20"/>
                <w:color w:val="auto"/>
              </w:rPr>
            </w:pPr>
            <w:r>
              <w:rPr>
                <w:rFonts w:ascii="Arial" w:cs="Arial" w:eastAsia="Arial" w:hAnsi="Arial"/>
                <w:sz w:val="11"/>
                <w:szCs w:val="11"/>
                <w:b w:val="1"/>
                <w:bCs w:val="1"/>
                <w:color w:val="5D89B4"/>
              </w:rPr>
              <w:t>OPTION</w:t>
            </w:r>
          </w:p>
        </w:tc>
        <w:tc>
          <w:tcPr>
            <w:tcW w:w="104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THAT HAVE</w:t>
            </w:r>
          </w:p>
        </w:tc>
        <w:tc>
          <w:tcPr>
            <w:tcW w:w="200" w:type="dxa"/>
            <w:vAlign w:val="bottom"/>
            <w:shd w:val="clear" w:color="auto" w:fill="EAEAEA"/>
          </w:tcPr>
          <w:p>
            <w:pPr>
              <w:spacing w:after="0"/>
              <w:rPr>
                <w:sz w:val="10"/>
                <w:szCs w:val="10"/>
                <w:color w:val="auto"/>
              </w:rPr>
            </w:pPr>
          </w:p>
        </w:tc>
        <w:tc>
          <w:tcPr>
            <w:tcW w:w="680" w:type="dxa"/>
            <w:vAlign w:val="bottom"/>
            <w:shd w:val="clear" w:color="auto" w:fill="EAEAEA"/>
          </w:tcPr>
          <w:p>
            <w:pPr>
              <w:jc w:val="right"/>
              <w:ind w:right="15"/>
              <w:spacing w:after="0" w:line="121" w:lineRule="exact"/>
              <w:rPr>
                <w:sz w:val="20"/>
                <w:szCs w:val="20"/>
                <w:color w:val="auto"/>
              </w:rPr>
            </w:pPr>
            <w:r>
              <w:rPr>
                <w:rFonts w:ascii="Arial" w:cs="Arial" w:eastAsia="Arial" w:hAnsi="Arial"/>
                <w:sz w:val="11"/>
                <w:szCs w:val="11"/>
                <w:b w:val="1"/>
                <w:bCs w:val="1"/>
                <w:color w:val="5D89B4"/>
                <w:w w:val="92"/>
              </w:rPr>
              <w:t>THAT HAVE</w:t>
            </w: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THAT HAVE</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THAT HAVE</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ind w:left="80"/>
              <w:spacing w:after="0" w:line="121" w:lineRule="exact"/>
              <w:rPr>
                <w:sz w:val="20"/>
                <w:szCs w:val="20"/>
                <w:color w:val="auto"/>
              </w:rPr>
            </w:pPr>
            <w:r>
              <w:rPr>
                <w:rFonts w:ascii="Arial" w:cs="Arial" w:eastAsia="Arial" w:hAnsi="Arial"/>
                <w:sz w:val="11"/>
                <w:szCs w:val="11"/>
                <w:b w:val="1"/>
                <w:bCs w:val="1"/>
                <w:color w:val="5D89B4"/>
              </w:rPr>
              <w:t>NAME &amp; PRINCIPAL</w:t>
            </w:r>
          </w:p>
        </w:tc>
        <w:tc>
          <w:tcPr>
            <w:tcW w:w="1040" w:type="dxa"/>
            <w:vAlign w:val="bottom"/>
            <w:gridSpan w:val="2"/>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w:t>
            </w:r>
          </w:p>
        </w:tc>
        <w:tc>
          <w:tcPr>
            <w:tcW w:w="1300" w:type="dxa"/>
            <w:vAlign w:val="bottom"/>
            <w:shd w:val="clear" w:color="auto" w:fill="EAEAEA"/>
          </w:tcPr>
          <w:p>
            <w:pPr>
              <w:jc w:val="right"/>
              <w:ind w:right="216"/>
              <w:spacing w:after="0" w:line="121" w:lineRule="exact"/>
              <w:rPr>
                <w:sz w:val="20"/>
                <w:szCs w:val="20"/>
                <w:color w:val="auto"/>
              </w:rPr>
            </w:pPr>
            <w:r>
              <w:rPr>
                <w:rFonts w:ascii="Arial" w:cs="Arial" w:eastAsia="Arial" w:hAnsi="Arial"/>
                <w:sz w:val="11"/>
                <w:szCs w:val="11"/>
                <w:b w:val="1"/>
                <w:bCs w:val="1"/>
                <w:color w:val="5D89B4"/>
              </w:rPr>
              <w:t>(#)</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4"/>
              <w:spacing w:after="0" w:line="121" w:lineRule="exact"/>
              <w:rPr>
                <w:sz w:val="20"/>
                <w:szCs w:val="20"/>
                <w:color w:val="auto"/>
              </w:rPr>
            </w:pPr>
            <w:r>
              <w:rPr>
                <w:rFonts w:ascii="Arial" w:cs="Arial" w:eastAsia="Arial" w:hAnsi="Arial"/>
                <w:sz w:val="11"/>
                <w:szCs w:val="11"/>
                <w:b w:val="1"/>
                <w:bCs w:val="1"/>
                <w:color w:val="5D89B4"/>
              </w:rPr>
              <w:t>PRICE</w:t>
            </w:r>
          </w:p>
        </w:tc>
        <w:tc>
          <w:tcPr>
            <w:tcW w:w="880" w:type="dxa"/>
            <w:vAlign w:val="bottom"/>
            <w:gridSpan w:val="2"/>
            <w:shd w:val="clear" w:color="auto" w:fill="EAEAEA"/>
          </w:tcPr>
          <w:p>
            <w:pPr>
              <w:jc w:val="right"/>
              <w:ind w:right="120"/>
              <w:spacing w:after="0" w:line="121" w:lineRule="exact"/>
              <w:rPr>
                <w:sz w:val="20"/>
                <w:szCs w:val="20"/>
                <w:color w:val="auto"/>
              </w:rPr>
            </w:pPr>
            <w:r>
              <w:rPr>
                <w:rFonts w:ascii="Arial" w:cs="Arial" w:eastAsia="Arial" w:hAnsi="Arial"/>
                <w:sz w:val="11"/>
                <w:szCs w:val="11"/>
                <w:b w:val="1"/>
                <w:bCs w:val="1"/>
                <w:color w:val="5D89B4"/>
              </w:rPr>
              <w:t>EXPIRATION</w:t>
            </w:r>
          </w:p>
        </w:tc>
        <w:tc>
          <w:tcPr>
            <w:tcW w:w="104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w w:val="96"/>
              </w:rPr>
              <w:t>NOT VESTED</w:t>
            </w:r>
          </w:p>
        </w:tc>
        <w:tc>
          <w:tcPr>
            <w:tcW w:w="880" w:type="dxa"/>
            <w:vAlign w:val="bottom"/>
            <w:gridSpan w:val="2"/>
            <w:shd w:val="clear" w:color="auto" w:fill="EAEAEA"/>
          </w:tcPr>
          <w:p>
            <w:pPr>
              <w:ind w:left="120"/>
              <w:spacing w:after="0" w:line="121" w:lineRule="exact"/>
              <w:rPr>
                <w:sz w:val="20"/>
                <w:szCs w:val="20"/>
                <w:color w:val="auto"/>
              </w:rPr>
            </w:pPr>
            <w:r>
              <w:rPr>
                <w:rFonts w:ascii="Arial" w:cs="Arial" w:eastAsia="Arial" w:hAnsi="Arial"/>
                <w:sz w:val="11"/>
                <w:szCs w:val="11"/>
                <w:b w:val="1"/>
                <w:bCs w:val="1"/>
                <w:color w:val="5D89B4"/>
              </w:rPr>
              <w:t>NOT VESTED</w:t>
            </w:r>
          </w:p>
        </w:tc>
        <w:tc>
          <w:tcPr>
            <w:tcW w:w="126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NOT VESTED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NOT VESTED</w:t>
            </w:r>
          </w:p>
        </w:tc>
        <w:tc>
          <w:tcPr>
            <w:tcW w:w="0" w:type="dxa"/>
            <w:vAlign w:val="bottom"/>
          </w:tcPr>
          <w:p>
            <w:pPr>
              <w:spacing w:after="0"/>
              <w:rPr>
                <w:sz w:val="1"/>
                <w:szCs w:val="1"/>
                <w:color w:val="auto"/>
              </w:rPr>
            </w:pPr>
          </w:p>
        </w:tc>
      </w:tr>
      <w:tr>
        <w:trPr>
          <w:trHeight w:val="141"/>
        </w:trPr>
        <w:tc>
          <w:tcPr>
            <w:tcW w:w="174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60" w:type="dxa"/>
            <w:vAlign w:val="bottom"/>
            <w:shd w:val="clear" w:color="auto" w:fill="EAEAEA"/>
          </w:tcPr>
          <w:p>
            <w:pPr>
              <w:spacing w:after="0"/>
              <w:rPr>
                <w:sz w:val="12"/>
                <w:szCs w:val="12"/>
                <w:color w:val="auto"/>
              </w:rPr>
            </w:pPr>
          </w:p>
        </w:tc>
        <w:tc>
          <w:tcPr>
            <w:tcW w:w="880" w:type="dxa"/>
            <w:vAlign w:val="bottom"/>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w w:val="97"/>
              </w:rPr>
              <w:t>EXERCISABLE</w:t>
            </w:r>
          </w:p>
        </w:tc>
        <w:tc>
          <w:tcPr>
            <w:tcW w:w="1300" w:type="dxa"/>
            <w:vAlign w:val="bottom"/>
            <w:shd w:val="clear" w:color="auto" w:fill="EAEAEA"/>
          </w:tcPr>
          <w:p>
            <w:pPr>
              <w:jc w:val="right"/>
              <w:ind w:right="216"/>
              <w:spacing w:after="0"/>
              <w:rPr>
                <w:sz w:val="20"/>
                <w:szCs w:val="20"/>
                <w:color w:val="auto"/>
              </w:rPr>
            </w:pPr>
            <w:r>
              <w:rPr>
                <w:rFonts w:ascii="Arial" w:cs="Arial" w:eastAsia="Arial" w:hAnsi="Arial"/>
                <w:sz w:val="11"/>
                <w:szCs w:val="11"/>
                <w:b w:val="1"/>
                <w:bCs w:val="1"/>
                <w:color w:val="5D89B4"/>
              </w:rPr>
              <w:t>UNEXERCISABLE</w:t>
            </w:r>
          </w:p>
        </w:tc>
        <w:tc>
          <w:tcPr>
            <w:tcW w:w="1020" w:type="dxa"/>
            <w:vAlign w:val="bottom"/>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rPr>
              <w:t>OPTIONS (#)</w:t>
            </w:r>
          </w:p>
        </w:tc>
        <w:tc>
          <w:tcPr>
            <w:tcW w:w="200" w:type="dxa"/>
            <w:vAlign w:val="bottom"/>
            <w:shd w:val="clear" w:color="auto" w:fill="EAEAEA"/>
          </w:tcPr>
          <w:p>
            <w:pPr>
              <w:spacing w:after="0"/>
              <w:rPr>
                <w:sz w:val="12"/>
                <w:szCs w:val="12"/>
                <w:color w:val="auto"/>
              </w:rPr>
            </w:pPr>
          </w:p>
        </w:tc>
        <w:tc>
          <w:tcPr>
            <w:tcW w:w="540" w:type="dxa"/>
            <w:vAlign w:val="bottom"/>
            <w:shd w:val="clear" w:color="auto" w:fill="EAEAEA"/>
          </w:tcPr>
          <w:p>
            <w:pPr>
              <w:jc w:val="right"/>
              <w:ind w:right="34"/>
              <w:spacing w:after="0"/>
              <w:rPr>
                <w:sz w:val="20"/>
                <w:szCs w:val="20"/>
                <w:color w:val="auto"/>
              </w:rPr>
            </w:pPr>
            <w:r>
              <w:rPr>
                <w:rFonts w:ascii="Arial" w:cs="Arial" w:eastAsia="Arial" w:hAnsi="Arial"/>
                <w:sz w:val="11"/>
                <w:szCs w:val="11"/>
                <w:b w:val="1"/>
                <w:bCs w:val="1"/>
                <w:color w:val="5D89B4"/>
              </w:rPr>
              <w:t>($)</w:t>
            </w:r>
          </w:p>
        </w:tc>
        <w:tc>
          <w:tcPr>
            <w:tcW w:w="880" w:type="dxa"/>
            <w:vAlign w:val="bottom"/>
            <w:gridSpan w:val="2"/>
            <w:shd w:val="clear" w:color="auto" w:fill="EAEAEA"/>
          </w:tcPr>
          <w:p>
            <w:pPr>
              <w:jc w:val="right"/>
              <w:ind w:right="120"/>
              <w:spacing w:after="0"/>
              <w:rPr>
                <w:sz w:val="20"/>
                <w:szCs w:val="20"/>
                <w:color w:val="auto"/>
              </w:rPr>
            </w:pPr>
            <w:r>
              <w:rPr>
                <w:rFonts w:ascii="Arial" w:cs="Arial" w:eastAsia="Arial" w:hAnsi="Arial"/>
                <w:sz w:val="11"/>
                <w:szCs w:val="11"/>
                <w:b w:val="1"/>
                <w:bCs w:val="1"/>
                <w:color w:val="5D89B4"/>
              </w:rPr>
              <w:t>DATE</w:t>
            </w:r>
          </w:p>
        </w:tc>
        <w:tc>
          <w:tcPr>
            <w:tcW w:w="1040" w:type="dxa"/>
            <w:vAlign w:val="bottom"/>
            <w:shd w:val="clear" w:color="auto" w:fill="EAEAEA"/>
          </w:tcPr>
          <w:p>
            <w:pPr>
              <w:jc w:val="right"/>
              <w:ind w:right="276"/>
              <w:spacing w:after="0"/>
              <w:rPr>
                <w:sz w:val="20"/>
                <w:szCs w:val="20"/>
                <w:color w:val="auto"/>
              </w:rPr>
            </w:pPr>
            <w:r>
              <w:rPr>
                <w:rFonts w:ascii="Arial" w:cs="Arial" w:eastAsia="Arial" w:hAnsi="Arial"/>
                <w:sz w:val="11"/>
                <w:szCs w:val="11"/>
                <w:b w:val="1"/>
                <w:bCs w:val="1"/>
                <w:color w:val="5D89B4"/>
              </w:rPr>
              <w:t>(#)(1)</w:t>
            </w:r>
          </w:p>
        </w:tc>
        <w:tc>
          <w:tcPr>
            <w:tcW w:w="200" w:type="dxa"/>
            <w:vAlign w:val="bottom"/>
            <w:shd w:val="clear" w:color="auto" w:fill="EAEAEA"/>
          </w:tcPr>
          <w:p>
            <w:pPr>
              <w:spacing w:after="0"/>
              <w:rPr>
                <w:sz w:val="12"/>
                <w:szCs w:val="12"/>
                <w:color w:val="auto"/>
              </w:rPr>
            </w:pPr>
          </w:p>
        </w:tc>
        <w:tc>
          <w:tcPr>
            <w:tcW w:w="680" w:type="dxa"/>
            <w:vAlign w:val="bottom"/>
            <w:shd w:val="clear" w:color="auto" w:fill="EAEAEA"/>
          </w:tcPr>
          <w:p>
            <w:pPr>
              <w:jc w:val="right"/>
              <w:ind w:right="15"/>
              <w:spacing w:after="0"/>
              <w:rPr>
                <w:sz w:val="20"/>
                <w:szCs w:val="20"/>
                <w:color w:val="auto"/>
              </w:rPr>
            </w:pPr>
            <w:r>
              <w:rPr>
                <w:rFonts w:ascii="Arial" w:cs="Arial" w:eastAsia="Arial" w:hAnsi="Arial"/>
                <w:sz w:val="11"/>
                <w:szCs w:val="11"/>
                <w:b w:val="1"/>
                <w:bCs w:val="1"/>
                <w:color w:val="5D89B4"/>
              </w:rPr>
              <w:t>($)(2)</w:t>
            </w:r>
          </w:p>
        </w:tc>
        <w:tc>
          <w:tcPr>
            <w:tcW w:w="1260" w:type="dxa"/>
            <w:vAlign w:val="bottom"/>
            <w:shd w:val="clear" w:color="auto" w:fill="EAEAEA"/>
          </w:tcPr>
          <w:p>
            <w:pPr>
              <w:jc w:val="right"/>
              <w:ind w:right="276"/>
              <w:spacing w:after="0"/>
              <w:rPr>
                <w:sz w:val="20"/>
                <w:szCs w:val="20"/>
                <w:color w:val="auto"/>
              </w:rPr>
            </w:pPr>
            <w:r>
              <w:rPr>
                <w:rFonts w:ascii="Arial" w:cs="Arial" w:eastAsia="Arial" w:hAnsi="Arial"/>
                <w:sz w:val="11"/>
                <w:szCs w:val="11"/>
                <w:b w:val="1"/>
                <w:bCs w:val="1"/>
                <w:color w:val="5D89B4"/>
              </w:rPr>
              <w:t>(#)(3)</w:t>
            </w:r>
          </w:p>
        </w:tc>
        <w:tc>
          <w:tcPr>
            <w:tcW w:w="200" w:type="dxa"/>
            <w:vAlign w:val="bottom"/>
            <w:shd w:val="clear" w:color="auto" w:fill="EAEAEA"/>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c>
          <w:tcPr>
            <w:tcW w:w="0" w:type="dxa"/>
            <w:vAlign w:val="bottom"/>
          </w:tcPr>
          <w:p>
            <w:pPr>
              <w:spacing w:after="0"/>
              <w:rPr>
                <w:sz w:val="1"/>
                <w:szCs w:val="1"/>
                <w:color w:val="auto"/>
              </w:rPr>
            </w:pPr>
          </w:p>
        </w:tc>
      </w:tr>
      <w:tr>
        <w:trPr>
          <w:trHeight w:val="75"/>
        </w:trPr>
        <w:tc>
          <w:tcPr>
            <w:tcW w:w="1740" w:type="dxa"/>
            <w:vAlign w:val="bottom"/>
            <w:shd w:val="clear" w:color="auto" w:fill="EAEAEA"/>
          </w:tcPr>
          <w:p>
            <w:pPr>
              <w:spacing w:after="0"/>
              <w:rPr>
                <w:sz w:val="6"/>
                <w:szCs w:val="6"/>
                <w:color w:val="auto"/>
              </w:rPr>
            </w:pPr>
          </w:p>
        </w:tc>
        <w:tc>
          <w:tcPr>
            <w:tcW w:w="160" w:type="dxa"/>
            <w:vAlign w:val="bottom"/>
            <w:shd w:val="clear" w:color="auto" w:fill="EAEAEA"/>
          </w:tcPr>
          <w:p>
            <w:pPr>
              <w:spacing w:after="0"/>
              <w:rPr>
                <w:sz w:val="6"/>
                <w:szCs w:val="6"/>
                <w:color w:val="auto"/>
              </w:rPr>
            </w:pPr>
          </w:p>
        </w:tc>
        <w:tc>
          <w:tcPr>
            <w:tcW w:w="880" w:type="dxa"/>
            <w:vAlign w:val="bottom"/>
            <w:shd w:val="clear" w:color="auto" w:fill="EAEAEA"/>
          </w:tcPr>
          <w:p>
            <w:pPr>
              <w:spacing w:after="0"/>
              <w:rPr>
                <w:sz w:val="6"/>
                <w:szCs w:val="6"/>
                <w:color w:val="auto"/>
              </w:rPr>
            </w:pPr>
          </w:p>
        </w:tc>
        <w:tc>
          <w:tcPr>
            <w:tcW w:w="1300" w:type="dxa"/>
            <w:vAlign w:val="bottom"/>
            <w:shd w:val="clear" w:color="auto" w:fill="EAEAEA"/>
          </w:tcPr>
          <w:p>
            <w:pPr>
              <w:spacing w:after="0"/>
              <w:rPr>
                <w:sz w:val="6"/>
                <w:szCs w:val="6"/>
                <w:color w:val="auto"/>
              </w:rPr>
            </w:pPr>
          </w:p>
        </w:tc>
        <w:tc>
          <w:tcPr>
            <w:tcW w:w="1020" w:type="dxa"/>
            <w:vAlign w:val="bottom"/>
            <w:shd w:val="clear" w:color="auto" w:fill="EAEAEA"/>
          </w:tcPr>
          <w:p>
            <w:pPr>
              <w:spacing w:after="0"/>
              <w:rPr>
                <w:sz w:val="6"/>
                <w:szCs w:val="6"/>
                <w:color w:val="auto"/>
              </w:rPr>
            </w:pPr>
          </w:p>
        </w:tc>
        <w:tc>
          <w:tcPr>
            <w:tcW w:w="200" w:type="dxa"/>
            <w:vAlign w:val="bottom"/>
            <w:shd w:val="clear" w:color="auto" w:fill="EAEAEA"/>
          </w:tcPr>
          <w:p>
            <w:pPr>
              <w:spacing w:after="0"/>
              <w:rPr>
                <w:sz w:val="6"/>
                <w:szCs w:val="6"/>
                <w:color w:val="auto"/>
              </w:rPr>
            </w:pPr>
          </w:p>
        </w:tc>
        <w:tc>
          <w:tcPr>
            <w:tcW w:w="540" w:type="dxa"/>
            <w:vAlign w:val="bottom"/>
            <w:shd w:val="clear" w:color="auto" w:fill="EAEAEA"/>
          </w:tcPr>
          <w:p>
            <w:pPr>
              <w:spacing w:after="0"/>
              <w:rPr>
                <w:sz w:val="6"/>
                <w:szCs w:val="6"/>
                <w:color w:val="auto"/>
              </w:rPr>
            </w:pPr>
          </w:p>
        </w:tc>
        <w:tc>
          <w:tcPr>
            <w:tcW w:w="800" w:type="dxa"/>
            <w:vAlign w:val="bottom"/>
            <w:shd w:val="clear" w:color="auto" w:fill="EAEAEA"/>
          </w:tcPr>
          <w:p>
            <w:pPr>
              <w:spacing w:after="0"/>
              <w:rPr>
                <w:sz w:val="6"/>
                <w:szCs w:val="6"/>
                <w:color w:val="auto"/>
              </w:rPr>
            </w:pPr>
          </w:p>
        </w:tc>
        <w:tc>
          <w:tcPr>
            <w:tcW w:w="80" w:type="dxa"/>
            <w:vAlign w:val="bottom"/>
            <w:shd w:val="clear" w:color="auto" w:fill="EAEAEA"/>
          </w:tcPr>
          <w:p>
            <w:pPr>
              <w:spacing w:after="0"/>
              <w:rPr>
                <w:sz w:val="6"/>
                <w:szCs w:val="6"/>
                <w:color w:val="auto"/>
              </w:rPr>
            </w:pPr>
          </w:p>
        </w:tc>
        <w:tc>
          <w:tcPr>
            <w:tcW w:w="1040" w:type="dxa"/>
            <w:vAlign w:val="bottom"/>
            <w:shd w:val="clear" w:color="auto" w:fill="EAEAEA"/>
          </w:tcPr>
          <w:p>
            <w:pPr>
              <w:spacing w:after="0"/>
              <w:rPr>
                <w:sz w:val="6"/>
                <w:szCs w:val="6"/>
                <w:color w:val="auto"/>
              </w:rPr>
            </w:pPr>
          </w:p>
        </w:tc>
        <w:tc>
          <w:tcPr>
            <w:tcW w:w="200" w:type="dxa"/>
            <w:vAlign w:val="bottom"/>
            <w:shd w:val="clear" w:color="auto" w:fill="EAEAEA"/>
          </w:tcPr>
          <w:p>
            <w:pPr>
              <w:spacing w:after="0"/>
              <w:rPr>
                <w:sz w:val="6"/>
                <w:szCs w:val="6"/>
                <w:color w:val="auto"/>
              </w:rPr>
            </w:pPr>
          </w:p>
        </w:tc>
        <w:tc>
          <w:tcPr>
            <w:tcW w:w="680" w:type="dxa"/>
            <w:vAlign w:val="bottom"/>
            <w:shd w:val="clear" w:color="auto" w:fill="EAEAEA"/>
          </w:tcPr>
          <w:p>
            <w:pPr>
              <w:spacing w:after="0"/>
              <w:rPr>
                <w:sz w:val="6"/>
                <w:szCs w:val="6"/>
                <w:color w:val="auto"/>
              </w:rPr>
            </w:pPr>
          </w:p>
        </w:tc>
        <w:tc>
          <w:tcPr>
            <w:tcW w:w="1260" w:type="dxa"/>
            <w:vAlign w:val="bottom"/>
            <w:shd w:val="clear" w:color="auto" w:fill="EAEAEA"/>
          </w:tcPr>
          <w:p>
            <w:pPr>
              <w:spacing w:after="0"/>
              <w:rPr>
                <w:sz w:val="6"/>
                <w:szCs w:val="6"/>
                <w:color w:val="auto"/>
              </w:rPr>
            </w:pPr>
          </w:p>
        </w:tc>
        <w:tc>
          <w:tcPr>
            <w:tcW w:w="200" w:type="dxa"/>
            <w:vAlign w:val="bottom"/>
            <w:shd w:val="clear" w:color="auto" w:fill="EAEAEA"/>
          </w:tcPr>
          <w:p>
            <w:pPr>
              <w:spacing w:after="0"/>
              <w:rPr>
                <w:sz w:val="6"/>
                <w:szCs w:val="6"/>
                <w:color w:val="auto"/>
              </w:rPr>
            </w:pPr>
          </w:p>
        </w:tc>
        <w:tc>
          <w:tcPr>
            <w:tcW w:w="82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80"/>
              <w:spacing w:after="0" w:line="147" w:lineRule="exact"/>
              <w:rPr>
                <w:sz w:val="20"/>
                <w:szCs w:val="20"/>
                <w:color w:val="auto"/>
              </w:rPr>
            </w:pPr>
            <w:r>
              <w:rPr>
                <w:rFonts w:ascii="Arial" w:cs="Arial" w:eastAsia="Arial" w:hAnsi="Arial"/>
                <w:sz w:val="13"/>
                <w:szCs w:val="13"/>
                <w:b w:val="1"/>
                <w:bCs w:val="1"/>
                <w:color w:val="auto"/>
              </w:rPr>
              <w:t>Jonas Prising</w:t>
            </w:r>
          </w:p>
        </w:tc>
        <w:tc>
          <w:tcPr>
            <w:tcW w:w="1040" w:type="dxa"/>
            <w:vAlign w:val="bottom"/>
            <w:gridSpan w:val="2"/>
          </w:tcPr>
          <w:p>
            <w:pPr>
              <w:jc w:val="right"/>
              <w:ind w:right="36"/>
              <w:spacing w:after="0" w:line="147" w:lineRule="exact"/>
              <w:rPr>
                <w:sz w:val="20"/>
                <w:szCs w:val="20"/>
                <w:color w:val="auto"/>
              </w:rPr>
            </w:pPr>
            <w:r>
              <w:rPr>
                <w:rFonts w:ascii="Arial" w:cs="Arial" w:eastAsia="Arial" w:hAnsi="Arial"/>
                <w:sz w:val="13"/>
                <w:szCs w:val="13"/>
                <w:color w:val="auto"/>
              </w:rPr>
              <w:t>15,681</w:t>
            </w:r>
          </w:p>
        </w:tc>
        <w:tc>
          <w:tcPr>
            <w:tcW w:w="1300" w:type="dxa"/>
            <w:vAlign w:val="bottom"/>
          </w:tcPr>
          <w:p>
            <w:pPr>
              <w:jc w:val="right"/>
              <w:ind w:right="216"/>
              <w:spacing w:after="0" w:line="147"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line="147"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7"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line="147" w:lineRule="exact"/>
              <w:rPr>
                <w:sz w:val="20"/>
                <w:szCs w:val="20"/>
                <w:color w:val="auto"/>
              </w:rPr>
            </w:pPr>
            <w:r>
              <w:rPr>
                <w:rFonts w:ascii="Arial" w:cs="Arial" w:eastAsia="Arial" w:hAnsi="Arial"/>
                <w:sz w:val="13"/>
                <w:szCs w:val="13"/>
                <w:color w:val="auto"/>
              </w:rPr>
              <w:t>76.13</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2/11/2024</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line="147"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1740" w:type="dxa"/>
            <w:vAlign w:val="bottom"/>
          </w:tcPr>
          <w:p>
            <w:pPr>
              <w:ind w:left="80"/>
              <w:spacing w:after="0"/>
              <w:rPr>
                <w:sz w:val="20"/>
                <w:szCs w:val="20"/>
                <w:color w:val="auto"/>
              </w:rPr>
            </w:pPr>
            <w:r>
              <w:rPr>
                <w:rFonts w:ascii="Arial" w:cs="Arial" w:eastAsia="Arial" w:hAnsi="Arial"/>
                <w:sz w:val="13"/>
                <w:szCs w:val="13"/>
                <w:color w:val="333333"/>
              </w:rPr>
              <w:t>CEO</w:t>
            </w: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26,510</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82.24</w:t>
            </w:r>
          </w:p>
        </w:tc>
        <w:tc>
          <w:tcPr>
            <w:tcW w:w="800" w:type="dxa"/>
            <w:vAlign w:val="bottom"/>
          </w:tcPr>
          <w:p>
            <w:pPr>
              <w:jc w:val="right"/>
              <w:spacing w:after="0"/>
              <w:rPr>
                <w:sz w:val="20"/>
                <w:szCs w:val="20"/>
                <w:color w:val="auto"/>
              </w:rPr>
            </w:pPr>
            <w:r>
              <w:rPr>
                <w:rFonts w:ascii="Arial" w:cs="Arial" w:eastAsia="Arial" w:hAnsi="Arial"/>
                <w:sz w:val="13"/>
                <w:szCs w:val="13"/>
                <w:color w:val="auto"/>
              </w:rPr>
              <w:t>5/1/2024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52,078</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76.97</w:t>
            </w:r>
          </w:p>
        </w:tc>
        <w:tc>
          <w:tcPr>
            <w:tcW w:w="800" w:type="dxa"/>
            <w:vAlign w:val="bottom"/>
          </w:tcPr>
          <w:p>
            <w:pPr>
              <w:jc w:val="right"/>
              <w:spacing w:after="0"/>
              <w:rPr>
                <w:sz w:val="20"/>
                <w:szCs w:val="20"/>
                <w:color w:val="auto"/>
              </w:rPr>
            </w:pPr>
            <w:r>
              <w:rPr>
                <w:rFonts w:ascii="Arial" w:cs="Arial" w:eastAsia="Arial" w:hAnsi="Arial"/>
                <w:sz w:val="13"/>
                <w:szCs w:val="13"/>
                <w:color w:val="auto"/>
              </w:rPr>
              <w:t>2/10/2025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76,220</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75.07</w:t>
            </w:r>
          </w:p>
        </w:tc>
        <w:tc>
          <w:tcPr>
            <w:tcW w:w="800" w:type="dxa"/>
            <w:vAlign w:val="bottom"/>
          </w:tcPr>
          <w:p>
            <w:pPr>
              <w:jc w:val="right"/>
              <w:spacing w:after="0"/>
              <w:rPr>
                <w:sz w:val="20"/>
                <w:szCs w:val="20"/>
                <w:color w:val="auto"/>
              </w:rPr>
            </w:pPr>
            <w:r>
              <w:rPr>
                <w:rFonts w:ascii="Arial" w:cs="Arial" w:eastAsia="Arial" w:hAnsi="Arial"/>
                <w:sz w:val="13"/>
                <w:szCs w:val="13"/>
                <w:color w:val="auto"/>
              </w:rPr>
              <w:t>2/16/2026</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49,551</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16,517(4)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800" w:type="dxa"/>
            <w:vAlign w:val="bottom"/>
          </w:tcPr>
          <w:p>
            <w:pPr>
              <w:jc w:val="right"/>
              <w:spacing w:after="0"/>
              <w:rPr>
                <w:sz w:val="20"/>
                <w:szCs w:val="20"/>
                <w:color w:val="auto"/>
              </w:rPr>
            </w:pPr>
            <w:r>
              <w:rPr>
                <w:rFonts w:ascii="Arial" w:cs="Arial" w:eastAsia="Arial" w:hAnsi="Arial"/>
                <w:sz w:val="13"/>
                <w:szCs w:val="13"/>
                <w:color w:val="auto"/>
              </w:rPr>
              <w:t>2/9/2027</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28,608</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28,608(5)</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800" w:type="dxa"/>
            <w:vAlign w:val="bottom"/>
          </w:tcPr>
          <w:p>
            <w:pPr>
              <w:jc w:val="right"/>
              <w:spacing w:after="0"/>
              <w:rPr>
                <w:sz w:val="20"/>
                <w:szCs w:val="20"/>
                <w:color w:val="auto"/>
              </w:rPr>
            </w:pPr>
            <w:r>
              <w:rPr>
                <w:rFonts w:ascii="Arial" w:cs="Arial" w:eastAsia="Arial" w:hAnsi="Arial"/>
                <w:sz w:val="13"/>
                <w:szCs w:val="13"/>
                <w:color w:val="auto"/>
              </w:rPr>
              <w:t>2/15/2028</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26,012</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78,038(6)</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800" w:type="dxa"/>
            <w:vAlign w:val="bottom"/>
          </w:tcPr>
          <w:p>
            <w:pPr>
              <w:jc w:val="right"/>
              <w:spacing w:after="0"/>
              <w:rPr>
                <w:sz w:val="20"/>
                <w:szCs w:val="20"/>
                <w:color w:val="auto"/>
              </w:rPr>
            </w:pPr>
            <w:r>
              <w:rPr>
                <w:rFonts w:ascii="Arial" w:cs="Arial" w:eastAsia="Arial" w:hAnsi="Arial"/>
                <w:sz w:val="13"/>
                <w:szCs w:val="13"/>
                <w:color w:val="auto"/>
              </w:rPr>
              <w:t>2/15/2029</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105,541(7)</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15,834(9)</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1,427,910</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23,153(10)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2,087,938</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22,259(14)</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2,007,317</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21,975(15)</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1,981,706</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32,868(16)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2,964,036</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32,363(17)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2,918,495</w:t>
            </w:r>
          </w:p>
        </w:tc>
        <w:tc>
          <w:tcPr>
            <w:tcW w:w="0" w:type="dxa"/>
            <w:vAlign w:val="bottom"/>
          </w:tcPr>
          <w:p>
            <w:pPr>
              <w:spacing w:after="0"/>
              <w:rPr>
                <w:sz w:val="1"/>
                <w:szCs w:val="1"/>
                <w:color w:val="auto"/>
              </w:rPr>
            </w:pPr>
          </w:p>
        </w:tc>
      </w:tr>
      <w:tr>
        <w:trPr>
          <w:trHeight w:val="54"/>
        </w:trPr>
        <w:tc>
          <w:tcPr>
            <w:tcW w:w="1740" w:type="dxa"/>
            <w:vAlign w:val="bottom"/>
            <w:tcBorders>
              <w:bottom w:val="single" w:sz="8" w:color="5D89B4"/>
            </w:tcBorders>
          </w:tcPr>
          <w:p>
            <w:pPr>
              <w:spacing w:after="0"/>
              <w:rPr>
                <w:sz w:val="4"/>
                <w:szCs w:val="4"/>
                <w:color w:val="auto"/>
              </w:rPr>
            </w:pPr>
          </w:p>
        </w:tc>
        <w:tc>
          <w:tcPr>
            <w:tcW w:w="16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8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80"/>
              <w:spacing w:after="0" w:line="140" w:lineRule="exact"/>
              <w:rPr>
                <w:sz w:val="20"/>
                <w:szCs w:val="20"/>
                <w:color w:val="auto"/>
              </w:rPr>
            </w:pPr>
            <w:r>
              <w:rPr>
                <w:rFonts w:ascii="Arial" w:cs="Arial" w:eastAsia="Arial" w:hAnsi="Arial"/>
                <w:sz w:val="13"/>
                <w:szCs w:val="13"/>
                <w:b w:val="1"/>
                <w:bCs w:val="1"/>
                <w:color w:val="auto"/>
              </w:rPr>
              <w:t>John T. McGinnis</w:t>
            </w:r>
          </w:p>
        </w:tc>
        <w:tc>
          <w:tcPr>
            <w:tcW w:w="1040" w:type="dxa"/>
            <w:vAlign w:val="bottom"/>
            <w:gridSpan w:val="2"/>
          </w:tcPr>
          <w:p>
            <w:pPr>
              <w:jc w:val="right"/>
              <w:ind w:right="36"/>
              <w:spacing w:after="0" w:line="140" w:lineRule="exact"/>
              <w:rPr>
                <w:sz w:val="20"/>
                <w:szCs w:val="20"/>
                <w:color w:val="auto"/>
              </w:rPr>
            </w:pPr>
            <w:r>
              <w:rPr>
                <w:rFonts w:ascii="Arial" w:cs="Arial" w:eastAsia="Arial" w:hAnsi="Arial"/>
                <w:sz w:val="13"/>
                <w:szCs w:val="13"/>
                <w:color w:val="auto"/>
              </w:rPr>
              <w:t>20,326</w:t>
            </w:r>
          </w:p>
        </w:tc>
        <w:tc>
          <w:tcPr>
            <w:tcW w:w="1300" w:type="dxa"/>
            <w:vAlign w:val="bottom"/>
          </w:tcPr>
          <w:p>
            <w:pPr>
              <w:jc w:val="right"/>
              <w:ind w:right="216"/>
              <w:spacing w:after="0" w:line="140"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0"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line="140" w:lineRule="exact"/>
              <w:rPr>
                <w:sz w:val="20"/>
                <w:szCs w:val="20"/>
                <w:color w:val="auto"/>
              </w:rPr>
            </w:pPr>
            <w:r>
              <w:rPr>
                <w:rFonts w:ascii="Arial" w:cs="Arial" w:eastAsia="Arial" w:hAnsi="Arial"/>
                <w:sz w:val="13"/>
                <w:szCs w:val="13"/>
                <w:color w:val="auto"/>
              </w:rPr>
              <w:t>75.07</w:t>
            </w:r>
          </w:p>
        </w:tc>
        <w:tc>
          <w:tcPr>
            <w:tcW w:w="800" w:type="dxa"/>
            <w:vAlign w:val="bottom"/>
          </w:tcPr>
          <w:p>
            <w:pPr>
              <w:jc w:val="right"/>
              <w:spacing w:after="0" w:line="140" w:lineRule="exact"/>
              <w:rPr>
                <w:sz w:val="20"/>
                <w:szCs w:val="20"/>
                <w:color w:val="auto"/>
              </w:rPr>
            </w:pPr>
            <w:r>
              <w:rPr>
                <w:rFonts w:ascii="Arial" w:cs="Arial" w:eastAsia="Arial" w:hAnsi="Arial"/>
                <w:sz w:val="13"/>
                <w:szCs w:val="13"/>
                <w:color w:val="auto"/>
              </w:rPr>
              <w:t>2/16/2026</w:t>
            </w:r>
          </w:p>
        </w:tc>
        <w:tc>
          <w:tcPr>
            <w:tcW w:w="80" w:type="dxa"/>
            <w:vAlign w:val="bottom"/>
          </w:tcPr>
          <w:p>
            <w:pPr>
              <w:spacing w:after="0"/>
              <w:rPr>
                <w:sz w:val="12"/>
                <w:szCs w:val="12"/>
                <w:color w:val="auto"/>
              </w:rPr>
            </w:pPr>
          </w:p>
        </w:tc>
        <w:tc>
          <w:tcPr>
            <w:tcW w:w="1040" w:type="dxa"/>
            <w:vAlign w:val="bottom"/>
          </w:tcPr>
          <w:p>
            <w:pPr>
              <w:jc w:val="right"/>
              <w:ind w:right="276"/>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ind w:right="15"/>
              <w:spacing w:after="0" w:line="140"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1740" w:type="dxa"/>
            <w:vAlign w:val="bottom"/>
          </w:tcPr>
          <w:p>
            <w:pPr>
              <w:ind w:left="80"/>
              <w:spacing w:after="0"/>
              <w:rPr>
                <w:sz w:val="20"/>
                <w:szCs w:val="20"/>
                <w:color w:val="auto"/>
              </w:rPr>
            </w:pPr>
            <w:r>
              <w:rPr>
                <w:rFonts w:ascii="Arial" w:cs="Arial" w:eastAsia="Arial" w:hAnsi="Arial"/>
                <w:sz w:val="13"/>
                <w:szCs w:val="13"/>
                <w:color w:val="333333"/>
              </w:rPr>
              <w:t>CFO</w:t>
            </w: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13,487</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4,496(4)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800" w:type="dxa"/>
            <w:vAlign w:val="bottom"/>
          </w:tcPr>
          <w:p>
            <w:pPr>
              <w:jc w:val="right"/>
              <w:spacing w:after="0"/>
              <w:rPr>
                <w:sz w:val="20"/>
                <w:szCs w:val="20"/>
                <w:color w:val="auto"/>
              </w:rPr>
            </w:pPr>
            <w:r>
              <w:rPr>
                <w:rFonts w:ascii="Arial" w:cs="Arial" w:eastAsia="Arial" w:hAnsi="Arial"/>
                <w:sz w:val="13"/>
                <w:szCs w:val="13"/>
                <w:color w:val="auto"/>
              </w:rPr>
              <w:t>2/9/2027</w:t>
            </w:r>
          </w:p>
        </w:tc>
        <w:tc>
          <w:tcPr>
            <w:tcW w:w="80" w:type="dxa"/>
            <w:vAlign w:val="bottom"/>
          </w:tcPr>
          <w:p>
            <w:pPr>
              <w:spacing w:after="0"/>
              <w:rPr>
                <w:sz w:val="16"/>
                <w:szCs w:val="16"/>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7,629</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7,629(5)</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800" w:type="dxa"/>
            <w:vAlign w:val="bottom"/>
          </w:tcPr>
          <w:p>
            <w:pPr>
              <w:jc w:val="right"/>
              <w:spacing w:after="0"/>
              <w:rPr>
                <w:sz w:val="20"/>
                <w:szCs w:val="20"/>
                <w:color w:val="auto"/>
              </w:rPr>
            </w:pPr>
            <w:r>
              <w:rPr>
                <w:rFonts w:ascii="Arial" w:cs="Arial" w:eastAsia="Arial" w:hAnsi="Arial"/>
                <w:sz w:val="13"/>
                <w:szCs w:val="13"/>
                <w:color w:val="auto"/>
              </w:rPr>
              <w:t>2/15/2028</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40" w:type="dxa"/>
            <w:vAlign w:val="bottom"/>
            <w:gridSpan w:val="2"/>
          </w:tcPr>
          <w:p>
            <w:pPr>
              <w:jc w:val="right"/>
              <w:ind w:right="36"/>
              <w:spacing w:after="0"/>
              <w:rPr>
                <w:sz w:val="20"/>
                <w:szCs w:val="20"/>
                <w:color w:val="auto"/>
              </w:rPr>
            </w:pPr>
            <w:r>
              <w:rPr>
                <w:rFonts w:ascii="Arial" w:cs="Arial" w:eastAsia="Arial" w:hAnsi="Arial"/>
                <w:sz w:val="13"/>
                <w:szCs w:val="13"/>
                <w:color w:val="auto"/>
              </w:rPr>
              <w:t>7,171</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21,513(6)</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800" w:type="dxa"/>
            <w:vAlign w:val="bottom"/>
          </w:tcPr>
          <w:p>
            <w:pPr>
              <w:jc w:val="right"/>
              <w:spacing w:after="0"/>
              <w:rPr>
                <w:sz w:val="20"/>
                <w:szCs w:val="20"/>
                <w:color w:val="auto"/>
              </w:rPr>
            </w:pPr>
            <w:r>
              <w:rPr>
                <w:rFonts w:ascii="Arial" w:cs="Arial" w:eastAsia="Arial" w:hAnsi="Arial"/>
                <w:sz w:val="13"/>
                <w:szCs w:val="13"/>
                <w:color w:val="auto"/>
              </w:rPr>
              <w:t>2/15/2029</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31,663(7)</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8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4,224(9)</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380,920</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6,383(10)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575,619</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14,960(11)</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1,349,093</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6,678(14)</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602,222</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5,860(15)</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528,455</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9,061(16)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817,121</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9,709(17)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875,558</w:t>
            </w:r>
          </w:p>
        </w:tc>
        <w:tc>
          <w:tcPr>
            <w:tcW w:w="0" w:type="dxa"/>
            <w:vAlign w:val="bottom"/>
          </w:tcPr>
          <w:p>
            <w:pPr>
              <w:spacing w:after="0"/>
              <w:rPr>
                <w:sz w:val="1"/>
                <w:szCs w:val="1"/>
                <w:color w:val="auto"/>
              </w:rPr>
            </w:pPr>
          </w:p>
        </w:tc>
      </w:tr>
      <w:tr>
        <w:trPr>
          <w:trHeight w:val="54"/>
        </w:trPr>
        <w:tc>
          <w:tcPr>
            <w:tcW w:w="1740" w:type="dxa"/>
            <w:vAlign w:val="bottom"/>
            <w:tcBorders>
              <w:bottom w:val="single" w:sz="8" w:color="5D89B4"/>
            </w:tcBorders>
          </w:tcPr>
          <w:p>
            <w:pPr>
              <w:spacing w:after="0"/>
              <w:rPr>
                <w:sz w:val="4"/>
                <w:szCs w:val="4"/>
                <w:color w:val="auto"/>
              </w:rPr>
            </w:pPr>
          </w:p>
        </w:tc>
        <w:tc>
          <w:tcPr>
            <w:tcW w:w="16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8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80"/>
              <w:spacing w:after="0" w:line="140" w:lineRule="exact"/>
              <w:rPr>
                <w:sz w:val="20"/>
                <w:szCs w:val="20"/>
                <w:color w:val="auto"/>
              </w:rPr>
            </w:pPr>
            <w:r>
              <w:rPr>
                <w:rFonts w:ascii="Arial" w:cs="Arial" w:eastAsia="Arial" w:hAnsi="Arial"/>
                <w:sz w:val="13"/>
                <w:szCs w:val="13"/>
                <w:b w:val="1"/>
                <w:bCs w:val="1"/>
                <w:color w:val="auto"/>
              </w:rPr>
              <w:t>Michelle S. Nettles</w:t>
            </w:r>
          </w:p>
        </w:tc>
        <w:tc>
          <w:tcPr>
            <w:tcW w:w="1040" w:type="dxa"/>
            <w:vAlign w:val="bottom"/>
            <w:gridSpan w:val="2"/>
          </w:tcPr>
          <w:p>
            <w:pPr>
              <w:jc w:val="right"/>
              <w:ind w:right="36"/>
              <w:spacing w:after="0" w:line="140" w:lineRule="exact"/>
              <w:rPr>
                <w:sz w:val="20"/>
                <w:szCs w:val="20"/>
                <w:color w:val="auto"/>
              </w:rPr>
            </w:pPr>
            <w:r>
              <w:rPr>
                <w:rFonts w:ascii="Arial" w:cs="Arial" w:eastAsia="Arial" w:hAnsi="Arial"/>
                <w:sz w:val="13"/>
                <w:szCs w:val="13"/>
                <w:color w:val="auto"/>
              </w:rPr>
              <w:t>2,813</w:t>
            </w:r>
          </w:p>
        </w:tc>
        <w:tc>
          <w:tcPr>
            <w:tcW w:w="1300" w:type="dxa"/>
            <w:vAlign w:val="bottom"/>
          </w:tcPr>
          <w:p>
            <w:pPr>
              <w:jc w:val="right"/>
              <w:ind w:right="56"/>
              <w:spacing w:after="0" w:line="140" w:lineRule="exact"/>
              <w:rPr>
                <w:sz w:val="20"/>
                <w:szCs w:val="20"/>
                <w:color w:val="auto"/>
              </w:rPr>
            </w:pPr>
            <w:r>
              <w:rPr>
                <w:rFonts w:ascii="Arial" w:cs="Arial" w:eastAsia="Arial" w:hAnsi="Arial"/>
                <w:sz w:val="13"/>
                <w:szCs w:val="13"/>
                <w:color w:val="auto"/>
              </w:rPr>
              <w:t>8,441(8)</w:t>
            </w:r>
          </w:p>
        </w:tc>
        <w:tc>
          <w:tcPr>
            <w:tcW w:w="102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0"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line="140" w:lineRule="exact"/>
              <w:rPr>
                <w:sz w:val="20"/>
                <w:szCs w:val="20"/>
                <w:color w:val="auto"/>
              </w:rPr>
            </w:pPr>
            <w:r>
              <w:rPr>
                <w:rFonts w:ascii="Arial" w:cs="Arial" w:eastAsia="Arial" w:hAnsi="Arial"/>
                <w:sz w:val="13"/>
                <w:szCs w:val="13"/>
                <w:color w:val="auto"/>
              </w:rPr>
              <w:t>83.84</w:t>
            </w:r>
          </w:p>
        </w:tc>
        <w:tc>
          <w:tcPr>
            <w:tcW w:w="800" w:type="dxa"/>
            <w:vAlign w:val="bottom"/>
          </w:tcPr>
          <w:p>
            <w:pPr>
              <w:jc w:val="right"/>
              <w:spacing w:after="0" w:line="140" w:lineRule="exact"/>
              <w:rPr>
                <w:sz w:val="20"/>
                <w:szCs w:val="20"/>
                <w:color w:val="auto"/>
              </w:rPr>
            </w:pPr>
            <w:r>
              <w:rPr>
                <w:rFonts w:ascii="Arial" w:cs="Arial" w:eastAsia="Arial" w:hAnsi="Arial"/>
                <w:sz w:val="13"/>
                <w:szCs w:val="13"/>
                <w:color w:val="auto"/>
              </w:rPr>
              <w:t>8/14/2029</w:t>
            </w:r>
          </w:p>
        </w:tc>
        <w:tc>
          <w:tcPr>
            <w:tcW w:w="80" w:type="dxa"/>
            <w:vAlign w:val="bottom"/>
          </w:tcPr>
          <w:p>
            <w:pPr>
              <w:spacing w:after="0"/>
              <w:rPr>
                <w:sz w:val="12"/>
                <w:szCs w:val="12"/>
                <w:color w:val="auto"/>
              </w:rPr>
            </w:pPr>
          </w:p>
        </w:tc>
        <w:tc>
          <w:tcPr>
            <w:tcW w:w="1040" w:type="dxa"/>
            <w:vAlign w:val="bottom"/>
          </w:tcPr>
          <w:p>
            <w:pPr>
              <w:jc w:val="right"/>
              <w:ind w:right="276"/>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ind w:right="15"/>
              <w:spacing w:after="0" w:line="140"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40" w:type="dxa"/>
            <w:vAlign w:val="bottom"/>
          </w:tcPr>
          <w:p>
            <w:pPr>
              <w:ind w:left="80"/>
              <w:spacing w:after="0" w:line="148" w:lineRule="exact"/>
              <w:rPr>
                <w:sz w:val="20"/>
                <w:szCs w:val="20"/>
                <w:color w:val="auto"/>
              </w:rPr>
            </w:pPr>
            <w:r>
              <w:rPr>
                <w:rFonts w:ascii="Arial" w:cs="Arial" w:eastAsia="Arial" w:hAnsi="Arial"/>
                <w:sz w:val="13"/>
                <w:szCs w:val="13"/>
                <w:color w:val="333333"/>
              </w:rPr>
              <w:t>Chief People</w:t>
            </w:r>
          </w:p>
        </w:tc>
        <w:tc>
          <w:tcPr>
            <w:tcW w:w="160" w:type="dxa"/>
            <w:vAlign w:val="bottom"/>
          </w:tcPr>
          <w:p>
            <w:pPr>
              <w:spacing w:after="0"/>
              <w:rPr>
                <w:sz w:val="12"/>
                <w:szCs w:val="12"/>
                <w:color w:val="auto"/>
              </w:rPr>
            </w:pPr>
          </w:p>
        </w:tc>
        <w:tc>
          <w:tcPr>
            <w:tcW w:w="880" w:type="dxa"/>
            <w:vAlign w:val="bottom"/>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6"/>
              <w:spacing w:after="0" w:line="148" w:lineRule="exact"/>
              <w:rPr>
                <w:sz w:val="20"/>
                <w:szCs w:val="20"/>
                <w:color w:val="auto"/>
              </w:rPr>
            </w:pPr>
            <w:r>
              <w:rPr>
                <w:rFonts w:ascii="Arial" w:cs="Arial" w:eastAsia="Arial" w:hAnsi="Arial"/>
                <w:sz w:val="13"/>
                <w:szCs w:val="13"/>
                <w:color w:val="auto"/>
              </w:rPr>
              <w:t>10,555(7)</w:t>
            </w:r>
          </w:p>
        </w:tc>
        <w:tc>
          <w:tcPr>
            <w:tcW w:w="1020" w:type="dxa"/>
            <w:vAlign w:val="bottom"/>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line="148" w:lineRule="exact"/>
              <w:rPr>
                <w:sz w:val="20"/>
                <w:szCs w:val="20"/>
                <w:color w:val="auto"/>
              </w:rPr>
            </w:pPr>
            <w:r>
              <w:rPr>
                <w:rFonts w:ascii="Arial" w:cs="Arial" w:eastAsia="Arial" w:hAnsi="Arial"/>
                <w:sz w:val="13"/>
                <w:szCs w:val="13"/>
                <w:color w:val="auto"/>
              </w:rPr>
              <w:t>92.70</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2/15/2030</w:t>
            </w:r>
          </w:p>
        </w:tc>
        <w:tc>
          <w:tcPr>
            <w:tcW w:w="80" w:type="dxa"/>
            <w:vAlign w:val="bottom"/>
          </w:tcPr>
          <w:p>
            <w:pPr>
              <w:spacing w:after="0"/>
              <w:rPr>
                <w:sz w:val="12"/>
                <w:szCs w:val="12"/>
                <w:color w:val="auto"/>
              </w:rPr>
            </w:pPr>
          </w:p>
        </w:tc>
        <w:tc>
          <w:tcPr>
            <w:tcW w:w="1040" w:type="dxa"/>
            <w:vAlign w:val="bottom"/>
          </w:tcPr>
          <w:p>
            <w:pPr>
              <w:jc w:val="right"/>
              <w:ind w:right="276"/>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ind w:right="15"/>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76"/>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40" w:type="dxa"/>
            <w:vAlign w:val="bottom"/>
          </w:tcPr>
          <w:p>
            <w:pPr>
              <w:ind w:left="80"/>
              <w:spacing w:after="0"/>
              <w:rPr>
                <w:sz w:val="20"/>
                <w:szCs w:val="20"/>
                <w:color w:val="auto"/>
              </w:rPr>
            </w:pPr>
            <w:r>
              <w:rPr>
                <w:rFonts w:ascii="Arial" w:cs="Arial" w:eastAsia="Arial" w:hAnsi="Arial"/>
                <w:sz w:val="13"/>
                <w:szCs w:val="13"/>
                <w:color w:val="333333"/>
              </w:rPr>
              <w:t>and Culture Officer</w:t>
            </w:r>
          </w:p>
        </w:tc>
        <w:tc>
          <w:tcPr>
            <w:tcW w:w="160" w:type="dxa"/>
            <w:vAlign w:val="bottom"/>
          </w:tcPr>
          <w:p>
            <w:pPr>
              <w:spacing w:after="0"/>
              <w:rPr>
                <w:sz w:val="14"/>
                <w:szCs w:val="14"/>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4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36"/>
              <w:spacing w:after="0"/>
              <w:rPr>
                <w:sz w:val="20"/>
                <w:szCs w:val="20"/>
                <w:color w:val="auto"/>
              </w:rPr>
            </w:pPr>
            <w:r>
              <w:rPr>
                <w:rFonts w:ascii="Arial" w:cs="Arial" w:eastAsia="Arial" w:hAnsi="Arial"/>
                <w:sz w:val="13"/>
                <w:szCs w:val="13"/>
                <w:color w:val="auto"/>
              </w:rPr>
              <w:t>2,520(12)</w:t>
            </w:r>
          </w:p>
        </w:tc>
        <w:tc>
          <w:tcPr>
            <w:tcW w:w="200" w:type="dxa"/>
            <w:vAlign w:val="bottom"/>
            <w:vMerge w:val="restart"/>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ind w:right="15"/>
              <w:spacing w:after="0"/>
              <w:rPr>
                <w:sz w:val="20"/>
                <w:szCs w:val="20"/>
                <w:color w:val="auto"/>
              </w:rPr>
            </w:pPr>
            <w:r>
              <w:rPr>
                <w:rFonts w:ascii="Arial" w:cs="Arial" w:eastAsia="Arial" w:hAnsi="Arial"/>
                <w:sz w:val="13"/>
                <w:szCs w:val="13"/>
                <w:color w:val="auto"/>
              </w:rPr>
              <w:t>227,254</w:t>
            </w:r>
          </w:p>
        </w:tc>
        <w:tc>
          <w:tcPr>
            <w:tcW w:w="1260" w:type="dxa"/>
            <w:vAlign w:val="bottom"/>
            <w:vMerge w:val="restart"/>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9,452(13)</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852,381</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2,226(14)</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200,741</w:t>
            </w:r>
          </w:p>
        </w:tc>
        <w:tc>
          <w:tcPr>
            <w:tcW w:w="12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3,579(16)</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322,754</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3,237(17)</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291,913</w:t>
            </w:r>
          </w:p>
        </w:tc>
        <w:tc>
          <w:tcPr>
            <w:tcW w:w="0" w:type="dxa"/>
            <w:vAlign w:val="bottom"/>
          </w:tcPr>
          <w:p>
            <w:pPr>
              <w:spacing w:after="0"/>
              <w:rPr>
                <w:sz w:val="1"/>
                <w:szCs w:val="1"/>
                <w:color w:val="auto"/>
              </w:rPr>
            </w:pPr>
          </w:p>
        </w:tc>
      </w:tr>
      <w:tr>
        <w:trPr>
          <w:trHeight w:val="54"/>
        </w:trPr>
        <w:tc>
          <w:tcPr>
            <w:tcW w:w="1740" w:type="dxa"/>
            <w:vAlign w:val="bottom"/>
            <w:tcBorders>
              <w:bottom w:val="single" w:sz="8" w:color="5D89B4"/>
            </w:tcBorders>
          </w:tcPr>
          <w:p>
            <w:pPr>
              <w:spacing w:after="0"/>
              <w:rPr>
                <w:sz w:val="4"/>
                <w:szCs w:val="4"/>
                <w:color w:val="auto"/>
              </w:rPr>
            </w:pPr>
          </w:p>
        </w:tc>
        <w:tc>
          <w:tcPr>
            <w:tcW w:w="16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8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5D89B4"/>
            </w:tcBorders>
          </w:tcPr>
          <w:p>
            <w:pPr>
              <w:spacing w:after="0"/>
              <w:rPr>
                <w:sz w:val="14"/>
                <w:szCs w:val="14"/>
                <w:color w:val="auto"/>
              </w:rPr>
            </w:pPr>
          </w:p>
        </w:tc>
        <w:tc>
          <w:tcPr>
            <w:tcW w:w="160" w:type="dxa"/>
            <w:vAlign w:val="bottom"/>
            <w:tcBorders>
              <w:bottom w:val="single" w:sz="8" w:color="5D89B4"/>
            </w:tcBorders>
          </w:tcPr>
          <w:p>
            <w:pPr>
              <w:spacing w:after="0"/>
              <w:rPr>
                <w:sz w:val="14"/>
                <w:szCs w:val="14"/>
                <w:color w:val="auto"/>
              </w:rPr>
            </w:pPr>
          </w:p>
        </w:tc>
        <w:tc>
          <w:tcPr>
            <w:tcW w:w="880" w:type="dxa"/>
            <w:vAlign w:val="bottom"/>
            <w:tcBorders>
              <w:bottom w:val="single" w:sz="8" w:color="5D89B4"/>
            </w:tcBorders>
          </w:tcPr>
          <w:p>
            <w:pPr>
              <w:spacing w:after="0"/>
              <w:rPr>
                <w:sz w:val="14"/>
                <w:szCs w:val="14"/>
                <w:color w:val="auto"/>
              </w:rPr>
            </w:pPr>
          </w:p>
        </w:tc>
        <w:tc>
          <w:tcPr>
            <w:tcW w:w="1300" w:type="dxa"/>
            <w:vAlign w:val="bottom"/>
            <w:tcBorders>
              <w:bottom w:val="single" w:sz="8" w:color="5D89B4"/>
            </w:tcBorders>
          </w:tcPr>
          <w:p>
            <w:pPr>
              <w:spacing w:after="0"/>
              <w:rPr>
                <w:sz w:val="14"/>
                <w:szCs w:val="14"/>
                <w:color w:val="auto"/>
              </w:rPr>
            </w:pPr>
          </w:p>
        </w:tc>
        <w:tc>
          <w:tcPr>
            <w:tcW w:w="1020" w:type="dxa"/>
            <w:vAlign w:val="bottom"/>
            <w:tcBorders>
              <w:bottom w:val="single" w:sz="8" w:color="5D89B4"/>
            </w:tcBorders>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540" w:type="dxa"/>
            <w:vAlign w:val="bottom"/>
            <w:tcBorders>
              <w:bottom w:val="single" w:sz="8" w:color="5D89B4"/>
            </w:tcBorders>
          </w:tcPr>
          <w:p>
            <w:pPr>
              <w:spacing w:after="0"/>
              <w:rPr>
                <w:sz w:val="14"/>
                <w:szCs w:val="14"/>
                <w:color w:val="auto"/>
              </w:rPr>
            </w:pPr>
          </w:p>
        </w:tc>
        <w:tc>
          <w:tcPr>
            <w:tcW w:w="800" w:type="dxa"/>
            <w:vAlign w:val="bottom"/>
            <w:tcBorders>
              <w:bottom w:val="single" w:sz="8" w:color="5D89B4"/>
            </w:tcBorders>
          </w:tcPr>
          <w:p>
            <w:pPr>
              <w:spacing w:after="0"/>
              <w:rPr>
                <w:sz w:val="14"/>
                <w:szCs w:val="14"/>
                <w:color w:val="auto"/>
              </w:rPr>
            </w:pPr>
          </w:p>
        </w:tc>
        <w:tc>
          <w:tcPr>
            <w:tcW w:w="80" w:type="dxa"/>
            <w:vAlign w:val="bottom"/>
            <w:tcBorders>
              <w:bottom w:val="single" w:sz="8" w:color="5D89B4"/>
            </w:tcBorders>
          </w:tcPr>
          <w:p>
            <w:pPr>
              <w:spacing w:after="0"/>
              <w:rPr>
                <w:sz w:val="14"/>
                <w:szCs w:val="14"/>
                <w:color w:val="auto"/>
              </w:rPr>
            </w:pPr>
          </w:p>
        </w:tc>
        <w:tc>
          <w:tcPr>
            <w:tcW w:w="1040" w:type="dxa"/>
            <w:vAlign w:val="bottom"/>
            <w:tcBorders>
              <w:bottom w:val="single" w:sz="8" w:color="5D89B4"/>
            </w:tcBorders>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680" w:type="dxa"/>
            <w:vAlign w:val="bottom"/>
            <w:tcBorders>
              <w:bottom w:val="single" w:sz="8" w:color="5D89B4"/>
            </w:tcBorders>
          </w:tcPr>
          <w:p>
            <w:pPr>
              <w:spacing w:after="0"/>
              <w:rPr>
                <w:sz w:val="14"/>
                <w:szCs w:val="14"/>
                <w:color w:val="auto"/>
              </w:rPr>
            </w:pPr>
          </w:p>
        </w:tc>
        <w:tc>
          <w:tcPr>
            <w:tcW w:w="1260" w:type="dxa"/>
            <w:vAlign w:val="bottom"/>
            <w:tcBorders>
              <w:bottom w:val="single" w:sz="8" w:color="5D89B4"/>
            </w:tcBorders>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82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52</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2280" w:type="dxa"/>
            <w:vAlign w:val="bottom"/>
            <w:gridSpan w:val="2"/>
            <w:shd w:val="clear" w:color="auto" w:fill="EAEAEA"/>
          </w:tcPr>
          <w:p>
            <w:pPr>
              <w:jc w:val="right"/>
              <w:ind w:right="398"/>
              <w:spacing w:after="0"/>
              <w:rPr>
                <w:sz w:val="20"/>
                <w:szCs w:val="20"/>
                <w:color w:val="auto"/>
              </w:rPr>
            </w:pPr>
            <w:r>
              <w:rPr>
                <w:rFonts w:ascii="Arial" w:cs="Arial" w:eastAsia="Arial" w:hAnsi="Arial"/>
                <w:sz w:val="11"/>
                <w:szCs w:val="11"/>
                <w:b w:val="1"/>
                <w:bCs w:val="1"/>
                <w:color w:val="5D89B4"/>
              </w:rPr>
              <w:t>OPTION AWARDS</w:t>
            </w:r>
          </w:p>
        </w:tc>
        <w:tc>
          <w:tcPr>
            <w:tcW w:w="20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840" w:type="dxa"/>
            <w:vAlign w:val="bottom"/>
            <w:shd w:val="clear" w:color="auto" w:fill="EAEAEA"/>
          </w:tcPr>
          <w:p>
            <w:pPr>
              <w:spacing w:after="0"/>
              <w:rPr>
                <w:sz w:val="16"/>
                <w:szCs w:val="16"/>
                <w:color w:val="auto"/>
              </w:rPr>
            </w:pPr>
          </w:p>
        </w:tc>
        <w:tc>
          <w:tcPr>
            <w:tcW w:w="6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1920" w:type="dxa"/>
            <w:vAlign w:val="bottom"/>
            <w:gridSpan w:val="2"/>
            <w:shd w:val="clear" w:color="auto" w:fill="EAEAEA"/>
          </w:tcPr>
          <w:p>
            <w:pPr>
              <w:jc w:val="right"/>
              <w:ind w:right="578"/>
              <w:spacing w:after="0"/>
              <w:rPr>
                <w:sz w:val="20"/>
                <w:szCs w:val="20"/>
                <w:color w:val="auto"/>
              </w:rPr>
            </w:pPr>
            <w:r>
              <w:rPr>
                <w:rFonts w:ascii="Arial" w:cs="Arial" w:eastAsia="Arial" w:hAnsi="Arial"/>
                <w:sz w:val="11"/>
                <w:szCs w:val="11"/>
                <w:b w:val="1"/>
                <w:bCs w:val="1"/>
                <w:color w:val="5D89B4"/>
              </w:rPr>
              <w:t>STOCK AWARDS</w:t>
            </w:r>
          </w:p>
        </w:tc>
        <w:tc>
          <w:tcPr>
            <w:tcW w:w="20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560" w:type="dxa"/>
            <w:vAlign w:val="bottom"/>
            <w:tcBorders>
              <w:bottom w:val="single" w:sz="8" w:color="EAEAEA"/>
            </w:tcBorders>
            <w:shd w:val="clear" w:color="auto" w:fill="EAEAEA"/>
          </w:tcPr>
          <w:p>
            <w:pPr>
              <w:spacing w:after="0"/>
              <w:rPr>
                <w:sz w:val="5"/>
                <w:szCs w:val="5"/>
                <w:color w:val="auto"/>
              </w:rPr>
            </w:pPr>
          </w:p>
        </w:tc>
        <w:tc>
          <w:tcPr>
            <w:tcW w:w="140" w:type="dxa"/>
            <w:vAlign w:val="bottom"/>
            <w:tcBorders>
              <w:bottom w:val="single" w:sz="8" w:color="EAEAEA"/>
            </w:tcBorders>
            <w:shd w:val="clear" w:color="auto" w:fill="EAEAEA"/>
          </w:tcPr>
          <w:p>
            <w:pPr>
              <w:spacing w:after="0"/>
              <w:rPr>
                <w:sz w:val="5"/>
                <w:szCs w:val="5"/>
                <w:color w:val="auto"/>
              </w:rPr>
            </w:pPr>
          </w:p>
        </w:tc>
        <w:tc>
          <w:tcPr>
            <w:tcW w:w="1120" w:type="dxa"/>
            <w:vAlign w:val="bottom"/>
            <w:tcBorders>
              <w:bottom w:val="single" w:sz="8" w:color="5D89B4"/>
            </w:tcBorders>
            <w:shd w:val="clear" w:color="auto" w:fill="EAEAEA"/>
          </w:tcPr>
          <w:p>
            <w:pPr>
              <w:spacing w:after="0"/>
              <w:rPr>
                <w:sz w:val="5"/>
                <w:szCs w:val="5"/>
                <w:color w:val="auto"/>
              </w:rPr>
            </w:pPr>
          </w:p>
        </w:tc>
        <w:tc>
          <w:tcPr>
            <w:tcW w:w="1280" w:type="dxa"/>
            <w:vAlign w:val="bottom"/>
            <w:tcBorders>
              <w:bottom w:val="single" w:sz="8" w:color="5D89B4"/>
            </w:tcBorders>
            <w:shd w:val="clear" w:color="auto" w:fill="EAEAEA"/>
          </w:tcPr>
          <w:p>
            <w:pPr>
              <w:spacing w:after="0"/>
              <w:rPr>
                <w:sz w:val="5"/>
                <w:szCs w:val="5"/>
                <w:color w:val="auto"/>
              </w:rPr>
            </w:pPr>
          </w:p>
        </w:tc>
        <w:tc>
          <w:tcPr>
            <w:tcW w:w="100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560" w:type="dxa"/>
            <w:vAlign w:val="bottom"/>
            <w:tcBorders>
              <w:bottom w:val="single" w:sz="8" w:color="5D89B4"/>
            </w:tcBorders>
            <w:shd w:val="clear" w:color="auto" w:fill="EAEAEA"/>
          </w:tcPr>
          <w:p>
            <w:pPr>
              <w:spacing w:after="0"/>
              <w:rPr>
                <w:sz w:val="5"/>
                <w:szCs w:val="5"/>
                <w:color w:val="auto"/>
              </w:rPr>
            </w:pPr>
          </w:p>
        </w:tc>
        <w:tc>
          <w:tcPr>
            <w:tcW w:w="840" w:type="dxa"/>
            <w:vAlign w:val="bottom"/>
            <w:tcBorders>
              <w:bottom w:val="single" w:sz="8" w:color="5D89B4"/>
            </w:tcBorders>
            <w:shd w:val="clear" w:color="auto" w:fill="EAEAEA"/>
          </w:tcPr>
          <w:p>
            <w:pPr>
              <w:spacing w:after="0"/>
              <w:rPr>
                <w:sz w:val="5"/>
                <w:szCs w:val="5"/>
                <w:color w:val="auto"/>
              </w:rPr>
            </w:pPr>
          </w:p>
        </w:tc>
        <w:tc>
          <w:tcPr>
            <w:tcW w:w="60" w:type="dxa"/>
            <w:vAlign w:val="bottom"/>
            <w:tcBorders>
              <w:bottom w:val="single" w:sz="8" w:color="EAEAEA"/>
            </w:tcBorders>
            <w:shd w:val="clear" w:color="auto" w:fill="EAEAEA"/>
          </w:tcPr>
          <w:p>
            <w:pPr>
              <w:spacing w:after="0"/>
              <w:rPr>
                <w:sz w:val="5"/>
                <w:szCs w:val="5"/>
                <w:color w:val="auto"/>
              </w:rPr>
            </w:pPr>
          </w:p>
        </w:tc>
        <w:tc>
          <w:tcPr>
            <w:tcW w:w="1040" w:type="dxa"/>
            <w:vAlign w:val="bottom"/>
            <w:tcBorders>
              <w:bottom w:val="single" w:sz="8" w:color="5D89B4"/>
            </w:tcBorders>
            <w:shd w:val="clear" w:color="auto" w:fill="EAEAEA"/>
          </w:tcPr>
          <w:p>
            <w:pPr>
              <w:spacing w:after="0"/>
              <w:rPr>
                <w:sz w:val="5"/>
                <w:szCs w:val="5"/>
                <w:color w:val="auto"/>
              </w:rPr>
            </w:pPr>
          </w:p>
        </w:tc>
        <w:tc>
          <w:tcPr>
            <w:tcW w:w="180" w:type="dxa"/>
            <w:vAlign w:val="bottom"/>
            <w:tcBorders>
              <w:bottom w:val="single" w:sz="8" w:color="5D89B4"/>
            </w:tcBorders>
            <w:shd w:val="clear" w:color="auto" w:fill="EAEAEA"/>
          </w:tcPr>
          <w:p>
            <w:pPr>
              <w:spacing w:after="0"/>
              <w:rPr>
                <w:sz w:val="5"/>
                <w:szCs w:val="5"/>
                <w:color w:val="auto"/>
              </w:rPr>
            </w:pPr>
          </w:p>
        </w:tc>
        <w:tc>
          <w:tcPr>
            <w:tcW w:w="680" w:type="dxa"/>
            <w:vAlign w:val="bottom"/>
            <w:tcBorders>
              <w:bottom w:val="single" w:sz="8" w:color="5D89B4"/>
            </w:tcBorders>
            <w:shd w:val="clear" w:color="auto" w:fill="EAEAEA"/>
          </w:tcPr>
          <w:p>
            <w:pPr>
              <w:spacing w:after="0"/>
              <w:rPr>
                <w:sz w:val="5"/>
                <w:szCs w:val="5"/>
                <w:color w:val="auto"/>
              </w:rPr>
            </w:pPr>
          </w:p>
        </w:tc>
        <w:tc>
          <w:tcPr>
            <w:tcW w:w="124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820" w:type="dxa"/>
            <w:vAlign w:val="bottom"/>
            <w:tcBorders>
              <w:bottom w:val="single" w:sz="8" w:color="5D89B4"/>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56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56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60" w:type="dxa"/>
            <w:vAlign w:val="bottom"/>
            <w:shd w:val="clear" w:color="auto" w:fill="EAEAEA"/>
          </w:tcPr>
          <w:p>
            <w:pPr>
              <w:spacing w:after="0"/>
              <w:rPr>
                <w:sz w:val="13"/>
                <w:szCs w:val="13"/>
                <w:color w:val="auto"/>
              </w:rPr>
            </w:pPr>
          </w:p>
        </w:tc>
        <w:tc>
          <w:tcPr>
            <w:tcW w:w="104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68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spacing w:after="0"/>
              <w:rPr>
                <w:sz w:val="10"/>
                <w:szCs w:val="10"/>
                <w:color w:val="auto"/>
              </w:rPr>
            </w:pPr>
          </w:p>
        </w:tc>
        <w:tc>
          <w:tcPr>
            <w:tcW w:w="1280" w:type="dxa"/>
            <w:vAlign w:val="bottom"/>
            <w:shd w:val="clear" w:color="auto" w:fill="EAEAEA"/>
          </w:tcPr>
          <w:p>
            <w:pPr>
              <w:spacing w:after="0"/>
              <w:rPr>
                <w:sz w:val="10"/>
                <w:szCs w:val="10"/>
                <w:color w:val="auto"/>
              </w:rPr>
            </w:pPr>
          </w:p>
        </w:tc>
        <w:tc>
          <w:tcPr>
            <w:tcW w:w="100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INCENTIVE</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spacing w:after="0"/>
              <w:rPr>
                <w:sz w:val="10"/>
                <w:szCs w:val="10"/>
                <w:color w:val="auto"/>
              </w:rPr>
            </w:pPr>
          </w:p>
        </w:tc>
        <w:tc>
          <w:tcPr>
            <w:tcW w:w="1280" w:type="dxa"/>
            <w:vAlign w:val="bottom"/>
            <w:shd w:val="clear" w:color="auto" w:fill="EAEAEA"/>
          </w:tcPr>
          <w:p>
            <w:pPr>
              <w:spacing w:after="0"/>
              <w:rPr>
                <w:sz w:val="10"/>
                <w:szCs w:val="10"/>
                <w:color w:val="auto"/>
              </w:rPr>
            </w:pPr>
          </w:p>
        </w:tc>
        <w:tc>
          <w:tcPr>
            <w:tcW w:w="100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INCENTIVE</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PLAN AWARDS:</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spacing w:after="0"/>
              <w:rPr>
                <w:sz w:val="10"/>
                <w:szCs w:val="10"/>
                <w:color w:val="auto"/>
              </w:rPr>
            </w:pPr>
          </w:p>
        </w:tc>
        <w:tc>
          <w:tcPr>
            <w:tcW w:w="1280" w:type="dxa"/>
            <w:vAlign w:val="bottom"/>
            <w:shd w:val="clear" w:color="auto" w:fill="EAEAEA"/>
          </w:tcPr>
          <w:p>
            <w:pPr>
              <w:spacing w:after="0"/>
              <w:rPr>
                <w:sz w:val="10"/>
                <w:szCs w:val="10"/>
                <w:color w:val="auto"/>
              </w:rPr>
            </w:pP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MARKET OR</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spacing w:after="0"/>
              <w:rPr>
                <w:sz w:val="10"/>
                <w:szCs w:val="10"/>
                <w:color w:val="auto"/>
              </w:rPr>
            </w:pPr>
          </w:p>
        </w:tc>
        <w:tc>
          <w:tcPr>
            <w:tcW w:w="1280" w:type="dxa"/>
            <w:vAlign w:val="bottom"/>
            <w:shd w:val="clear" w:color="auto" w:fill="EAEAEA"/>
          </w:tcPr>
          <w:p>
            <w:pPr>
              <w:spacing w:after="0"/>
              <w:rPr>
                <w:sz w:val="10"/>
                <w:szCs w:val="10"/>
                <w:color w:val="auto"/>
              </w:rPr>
            </w:pP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INCENTIVE</w:t>
            </w: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MARKET</w:t>
            </w: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NUMBER OF</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PAYOUT VALUE</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NUMBER OF</w:t>
            </w:r>
          </w:p>
        </w:tc>
        <w:tc>
          <w:tcPr>
            <w:tcW w:w="1280" w:type="dxa"/>
            <w:vAlign w:val="bottom"/>
            <w:shd w:val="clear" w:color="auto" w:fill="EAEAEA"/>
          </w:tcPr>
          <w:p>
            <w:pPr>
              <w:jc w:val="right"/>
              <w:ind w:right="197"/>
              <w:spacing w:after="0" w:line="121" w:lineRule="exact"/>
              <w:rPr>
                <w:sz w:val="20"/>
                <w:szCs w:val="20"/>
                <w:color w:val="auto"/>
              </w:rPr>
            </w:pPr>
            <w:r>
              <w:rPr>
                <w:rFonts w:ascii="Arial" w:cs="Arial" w:eastAsia="Arial" w:hAnsi="Arial"/>
                <w:sz w:val="11"/>
                <w:szCs w:val="11"/>
                <w:b w:val="1"/>
                <w:bCs w:val="1"/>
                <w:color w:val="5D89B4"/>
              </w:rPr>
              <w:t>NUMBER OF</w:t>
            </w: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7"/>
              <w:spacing w:after="0" w:line="121" w:lineRule="exact"/>
              <w:rPr>
                <w:sz w:val="20"/>
                <w:szCs w:val="20"/>
                <w:color w:val="auto"/>
              </w:rPr>
            </w:pPr>
            <w:r>
              <w:rPr>
                <w:rFonts w:ascii="Arial" w:cs="Arial" w:eastAsia="Arial" w:hAnsi="Arial"/>
                <w:sz w:val="11"/>
                <w:szCs w:val="11"/>
                <w:b w:val="1"/>
                <w:bCs w:val="1"/>
                <w:color w:val="5D89B4"/>
              </w:rPr>
              <w:t>NUMBER</w:t>
            </w: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VALUE</w:t>
            </w: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4"/>
              </w:rPr>
              <w:t>OF UNEARNED</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SECURITIES</w:t>
            </w:r>
          </w:p>
        </w:tc>
        <w:tc>
          <w:tcPr>
            <w:tcW w:w="1280" w:type="dxa"/>
            <w:vAlign w:val="bottom"/>
            <w:shd w:val="clear" w:color="auto" w:fill="EAEAEA"/>
          </w:tcPr>
          <w:p>
            <w:pPr>
              <w:jc w:val="right"/>
              <w:ind w:right="197"/>
              <w:spacing w:after="0" w:line="121" w:lineRule="exact"/>
              <w:rPr>
                <w:sz w:val="20"/>
                <w:szCs w:val="20"/>
                <w:color w:val="auto"/>
              </w:rPr>
            </w:pPr>
            <w:r>
              <w:rPr>
                <w:rFonts w:ascii="Arial" w:cs="Arial" w:eastAsia="Arial" w:hAnsi="Arial"/>
                <w:sz w:val="11"/>
                <w:szCs w:val="11"/>
                <w:b w:val="1"/>
                <w:bCs w:val="1"/>
                <w:color w:val="5D89B4"/>
              </w:rPr>
              <w:t>SECURITIES</w:t>
            </w: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NUMBER OF</w:t>
            </w: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7"/>
              <w:spacing w:after="0" w:line="121" w:lineRule="exact"/>
              <w:rPr>
                <w:sz w:val="20"/>
                <w:szCs w:val="20"/>
                <w:color w:val="auto"/>
              </w:rPr>
            </w:pPr>
            <w:r>
              <w:rPr>
                <w:rFonts w:ascii="Arial" w:cs="Arial" w:eastAsia="Arial" w:hAnsi="Arial"/>
                <w:sz w:val="11"/>
                <w:szCs w:val="11"/>
                <w:b w:val="1"/>
                <w:bCs w:val="1"/>
                <w:color w:val="5D89B4"/>
              </w:rPr>
              <w:t>OF SHARES</w:t>
            </w:r>
          </w:p>
        </w:tc>
        <w:tc>
          <w:tcPr>
            <w:tcW w:w="86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OF SHARES</w:t>
            </w: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w w:val="99"/>
              </w:rPr>
              <w:t>SHARES, UNITS,</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SHARES, UNITS,</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UNDERLYING</w:t>
            </w:r>
          </w:p>
        </w:tc>
        <w:tc>
          <w:tcPr>
            <w:tcW w:w="1280" w:type="dxa"/>
            <w:vAlign w:val="bottom"/>
            <w:shd w:val="clear" w:color="auto" w:fill="EAEAEA"/>
          </w:tcPr>
          <w:p>
            <w:pPr>
              <w:jc w:val="right"/>
              <w:ind w:right="197"/>
              <w:spacing w:after="0" w:line="121" w:lineRule="exact"/>
              <w:rPr>
                <w:sz w:val="20"/>
                <w:szCs w:val="20"/>
                <w:color w:val="auto"/>
              </w:rPr>
            </w:pPr>
            <w:r>
              <w:rPr>
                <w:rFonts w:ascii="Arial" w:cs="Arial" w:eastAsia="Arial" w:hAnsi="Arial"/>
                <w:sz w:val="11"/>
                <w:szCs w:val="11"/>
                <w:b w:val="1"/>
                <w:bCs w:val="1"/>
                <w:color w:val="5D89B4"/>
              </w:rPr>
              <w:t>UNDERLYING</w:t>
            </w: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SECURITIES</w:t>
            </w: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7"/>
              <w:spacing w:after="0" w:line="121" w:lineRule="exact"/>
              <w:rPr>
                <w:sz w:val="20"/>
                <w:szCs w:val="20"/>
                <w:color w:val="auto"/>
              </w:rPr>
            </w:pPr>
            <w:r>
              <w:rPr>
                <w:rFonts w:ascii="Arial" w:cs="Arial" w:eastAsia="Arial" w:hAnsi="Arial"/>
                <w:sz w:val="11"/>
                <w:szCs w:val="11"/>
                <w:b w:val="1"/>
                <w:bCs w:val="1"/>
                <w:color w:val="5D89B4"/>
              </w:rPr>
              <w:t>OR UNITS</w:t>
            </w: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OR UNITS</w:t>
            </w: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OR OTHER</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OR OTHER</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w w:val="95"/>
              </w:rPr>
              <w:t>UNEXERCISED</w:t>
            </w:r>
          </w:p>
        </w:tc>
        <w:tc>
          <w:tcPr>
            <w:tcW w:w="1280" w:type="dxa"/>
            <w:vAlign w:val="bottom"/>
            <w:shd w:val="clear" w:color="auto" w:fill="EAEAEA"/>
          </w:tcPr>
          <w:p>
            <w:pPr>
              <w:jc w:val="right"/>
              <w:ind w:right="197"/>
              <w:spacing w:after="0" w:line="121" w:lineRule="exact"/>
              <w:rPr>
                <w:sz w:val="20"/>
                <w:szCs w:val="20"/>
                <w:color w:val="auto"/>
              </w:rPr>
            </w:pPr>
            <w:r>
              <w:rPr>
                <w:rFonts w:ascii="Arial" w:cs="Arial" w:eastAsia="Arial" w:hAnsi="Arial"/>
                <w:sz w:val="11"/>
                <w:szCs w:val="11"/>
                <w:b w:val="1"/>
                <w:bCs w:val="1"/>
                <w:color w:val="5D89B4"/>
              </w:rPr>
              <w:t>UNEXERCISED</w:t>
            </w: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UNDERLYING</w:t>
            </w: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w w:val="99"/>
              </w:rPr>
              <w:t>OPTION</w:t>
            </w:r>
          </w:p>
        </w:tc>
        <w:tc>
          <w:tcPr>
            <w:tcW w:w="84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7"/>
              <w:spacing w:after="0" w:line="121" w:lineRule="exact"/>
              <w:rPr>
                <w:sz w:val="20"/>
                <w:szCs w:val="20"/>
                <w:color w:val="auto"/>
              </w:rPr>
            </w:pPr>
            <w:r>
              <w:rPr>
                <w:rFonts w:ascii="Arial" w:cs="Arial" w:eastAsia="Arial" w:hAnsi="Arial"/>
                <w:sz w:val="11"/>
                <w:szCs w:val="11"/>
                <w:b w:val="1"/>
                <w:bCs w:val="1"/>
                <w:color w:val="5D89B4"/>
              </w:rPr>
              <w:t>OF STOCK</w:t>
            </w: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OF STOCK</w:t>
            </w:r>
          </w:p>
        </w:tc>
        <w:tc>
          <w:tcPr>
            <w:tcW w:w="12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RIGHTS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RIGHTS</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1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OPTIONS</w:t>
            </w:r>
          </w:p>
        </w:tc>
        <w:tc>
          <w:tcPr>
            <w:tcW w:w="1280" w:type="dxa"/>
            <w:vAlign w:val="bottom"/>
            <w:shd w:val="clear" w:color="auto" w:fill="EAEAEA"/>
          </w:tcPr>
          <w:p>
            <w:pPr>
              <w:jc w:val="right"/>
              <w:ind w:right="197"/>
              <w:spacing w:after="0" w:line="121" w:lineRule="exact"/>
              <w:rPr>
                <w:sz w:val="20"/>
                <w:szCs w:val="20"/>
                <w:color w:val="auto"/>
              </w:rPr>
            </w:pPr>
            <w:r>
              <w:rPr>
                <w:rFonts w:ascii="Arial" w:cs="Arial" w:eastAsia="Arial" w:hAnsi="Arial"/>
                <w:sz w:val="11"/>
                <w:szCs w:val="11"/>
                <w:b w:val="1"/>
                <w:bCs w:val="1"/>
                <w:color w:val="5D89B4"/>
              </w:rPr>
              <w:t>OPTIONS</w:t>
            </w: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UNEXERCISED</w:t>
            </w:r>
          </w:p>
        </w:tc>
        <w:tc>
          <w:tcPr>
            <w:tcW w:w="760" w:type="dxa"/>
            <w:vAlign w:val="bottom"/>
            <w:gridSpan w:val="2"/>
            <w:shd w:val="clear" w:color="auto" w:fill="EAEAEA"/>
          </w:tcPr>
          <w:p>
            <w:pPr>
              <w:ind w:left="100"/>
              <w:spacing w:after="0" w:line="121" w:lineRule="exact"/>
              <w:rPr>
                <w:sz w:val="20"/>
                <w:szCs w:val="20"/>
                <w:color w:val="auto"/>
              </w:rPr>
            </w:pPr>
            <w:r>
              <w:rPr>
                <w:rFonts w:ascii="Arial" w:cs="Arial" w:eastAsia="Arial" w:hAnsi="Arial"/>
                <w:sz w:val="11"/>
                <w:szCs w:val="11"/>
                <w:b w:val="1"/>
                <w:bCs w:val="1"/>
                <w:color w:val="5D89B4"/>
              </w:rPr>
              <w:t>EXERCISE</w:t>
            </w:r>
          </w:p>
        </w:tc>
        <w:tc>
          <w:tcPr>
            <w:tcW w:w="900" w:type="dxa"/>
            <w:vAlign w:val="bottom"/>
            <w:gridSpan w:val="2"/>
            <w:shd w:val="clear" w:color="auto" w:fill="EAEAEA"/>
          </w:tcPr>
          <w:p>
            <w:pPr>
              <w:jc w:val="right"/>
              <w:ind w:right="100"/>
              <w:spacing w:after="0" w:line="121" w:lineRule="exact"/>
              <w:rPr>
                <w:sz w:val="20"/>
                <w:szCs w:val="20"/>
                <w:color w:val="auto"/>
              </w:rPr>
            </w:pPr>
            <w:r>
              <w:rPr>
                <w:rFonts w:ascii="Arial" w:cs="Arial" w:eastAsia="Arial" w:hAnsi="Arial"/>
                <w:sz w:val="11"/>
                <w:szCs w:val="11"/>
                <w:b w:val="1"/>
                <w:bCs w:val="1"/>
                <w:color w:val="5D89B4"/>
              </w:rPr>
              <w:t>OPTION</w:t>
            </w:r>
          </w:p>
        </w:tc>
        <w:tc>
          <w:tcPr>
            <w:tcW w:w="1040" w:type="dxa"/>
            <w:vAlign w:val="bottom"/>
            <w:shd w:val="clear" w:color="auto" w:fill="EAEAEA"/>
          </w:tcPr>
          <w:p>
            <w:pPr>
              <w:jc w:val="right"/>
              <w:ind w:right="277"/>
              <w:spacing w:after="0" w:line="121"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5"/>
              </w:rPr>
              <w:t>THAT HAVE</w:t>
            </w:r>
          </w:p>
        </w:tc>
        <w:tc>
          <w:tcPr>
            <w:tcW w:w="124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rPr>
              <w:t>THAT HAVE</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THAT HAVE</w:t>
            </w:r>
          </w:p>
        </w:tc>
        <w:tc>
          <w:tcPr>
            <w:tcW w:w="0" w:type="dxa"/>
            <w:vAlign w:val="bottom"/>
          </w:tcPr>
          <w:p>
            <w:pPr>
              <w:spacing w:after="0"/>
              <w:rPr>
                <w:sz w:val="1"/>
                <w:szCs w:val="1"/>
                <w:color w:val="auto"/>
              </w:rPr>
            </w:pPr>
          </w:p>
        </w:tc>
      </w:tr>
      <w:tr>
        <w:trPr>
          <w:trHeight w:val="120"/>
        </w:trPr>
        <w:tc>
          <w:tcPr>
            <w:tcW w:w="1560" w:type="dxa"/>
            <w:vAlign w:val="bottom"/>
            <w:shd w:val="clear" w:color="auto" w:fill="EAEAEA"/>
          </w:tcPr>
          <w:p>
            <w:pPr>
              <w:ind w:left="80"/>
              <w:spacing w:after="0" w:line="121" w:lineRule="exact"/>
              <w:rPr>
                <w:sz w:val="20"/>
                <w:szCs w:val="20"/>
                <w:color w:val="auto"/>
              </w:rPr>
            </w:pPr>
            <w:r>
              <w:rPr>
                <w:rFonts w:ascii="Arial" w:cs="Arial" w:eastAsia="Arial" w:hAnsi="Arial"/>
                <w:sz w:val="11"/>
                <w:szCs w:val="11"/>
                <w:b w:val="1"/>
                <w:bCs w:val="1"/>
                <w:color w:val="5D89B4"/>
              </w:rPr>
              <w:t>NAME &amp; PRINCIPAL</w:t>
            </w:r>
          </w:p>
        </w:tc>
        <w:tc>
          <w:tcPr>
            <w:tcW w:w="1260" w:type="dxa"/>
            <w:vAlign w:val="bottom"/>
            <w:gridSpan w:val="2"/>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w:t>
            </w:r>
          </w:p>
        </w:tc>
        <w:tc>
          <w:tcPr>
            <w:tcW w:w="1280" w:type="dxa"/>
            <w:vAlign w:val="bottom"/>
            <w:shd w:val="clear" w:color="auto" w:fill="EAEAEA"/>
          </w:tcPr>
          <w:p>
            <w:pPr>
              <w:jc w:val="right"/>
              <w:ind w:right="197"/>
              <w:spacing w:after="0" w:line="121" w:lineRule="exact"/>
              <w:rPr>
                <w:sz w:val="20"/>
                <w:szCs w:val="20"/>
                <w:color w:val="auto"/>
              </w:rPr>
            </w:pPr>
            <w:r>
              <w:rPr>
                <w:rFonts w:ascii="Arial" w:cs="Arial" w:eastAsia="Arial" w:hAnsi="Arial"/>
                <w:sz w:val="11"/>
                <w:szCs w:val="11"/>
                <w:b w:val="1"/>
                <w:bCs w:val="1"/>
                <w:color w:val="5D89B4"/>
              </w:rPr>
              <w:t>(#)</w:t>
            </w:r>
          </w:p>
        </w:tc>
        <w:tc>
          <w:tcPr>
            <w:tcW w:w="100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560" w:type="dxa"/>
            <w:vAlign w:val="bottom"/>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rPr>
              <w:t>PRICE</w:t>
            </w:r>
          </w:p>
        </w:tc>
        <w:tc>
          <w:tcPr>
            <w:tcW w:w="900" w:type="dxa"/>
            <w:vAlign w:val="bottom"/>
            <w:gridSpan w:val="2"/>
            <w:shd w:val="clear" w:color="auto" w:fill="EAEAEA"/>
          </w:tcPr>
          <w:p>
            <w:pPr>
              <w:jc w:val="right"/>
              <w:ind w:right="100"/>
              <w:spacing w:after="0" w:line="121" w:lineRule="exact"/>
              <w:rPr>
                <w:sz w:val="20"/>
                <w:szCs w:val="20"/>
                <w:color w:val="auto"/>
              </w:rPr>
            </w:pPr>
            <w:r>
              <w:rPr>
                <w:rFonts w:ascii="Arial" w:cs="Arial" w:eastAsia="Arial" w:hAnsi="Arial"/>
                <w:sz w:val="11"/>
                <w:szCs w:val="11"/>
                <w:b w:val="1"/>
                <w:bCs w:val="1"/>
                <w:color w:val="5D89B4"/>
              </w:rPr>
              <w:t>EXPIRATION</w:t>
            </w:r>
          </w:p>
        </w:tc>
        <w:tc>
          <w:tcPr>
            <w:tcW w:w="1040" w:type="dxa"/>
            <w:vAlign w:val="bottom"/>
            <w:shd w:val="clear" w:color="auto" w:fill="EAEAEA"/>
          </w:tcPr>
          <w:p>
            <w:pPr>
              <w:jc w:val="right"/>
              <w:ind w:right="277"/>
              <w:spacing w:after="0" w:line="121" w:lineRule="exact"/>
              <w:rPr>
                <w:sz w:val="20"/>
                <w:szCs w:val="20"/>
                <w:color w:val="auto"/>
              </w:rPr>
            </w:pPr>
            <w:r>
              <w:rPr>
                <w:rFonts w:ascii="Arial" w:cs="Arial" w:eastAsia="Arial" w:hAnsi="Arial"/>
                <w:sz w:val="11"/>
                <w:szCs w:val="11"/>
                <w:b w:val="1"/>
                <w:bCs w:val="1"/>
                <w:color w:val="5D89B4"/>
                <w:w w:val="96"/>
              </w:rPr>
              <w:t>NOT VESTED</w:t>
            </w:r>
          </w:p>
        </w:tc>
        <w:tc>
          <w:tcPr>
            <w:tcW w:w="86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NOT VESTED</w:t>
            </w:r>
          </w:p>
        </w:tc>
        <w:tc>
          <w:tcPr>
            <w:tcW w:w="124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rPr>
              <w:t>NOT VESTED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NOT VESTED</w:t>
            </w:r>
          </w:p>
        </w:tc>
        <w:tc>
          <w:tcPr>
            <w:tcW w:w="0" w:type="dxa"/>
            <w:vAlign w:val="bottom"/>
          </w:tcPr>
          <w:p>
            <w:pPr>
              <w:spacing w:after="0"/>
              <w:rPr>
                <w:sz w:val="1"/>
                <w:szCs w:val="1"/>
                <w:color w:val="auto"/>
              </w:rPr>
            </w:pPr>
          </w:p>
        </w:tc>
      </w:tr>
      <w:tr>
        <w:trPr>
          <w:trHeight w:val="141"/>
        </w:trPr>
        <w:tc>
          <w:tcPr>
            <w:tcW w:w="156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40" w:type="dxa"/>
            <w:vAlign w:val="bottom"/>
            <w:shd w:val="clear" w:color="auto" w:fill="EAEAEA"/>
          </w:tcPr>
          <w:p>
            <w:pPr>
              <w:spacing w:after="0"/>
              <w:rPr>
                <w:sz w:val="12"/>
                <w:szCs w:val="12"/>
                <w:color w:val="auto"/>
              </w:rPr>
            </w:pPr>
          </w:p>
        </w:tc>
        <w:tc>
          <w:tcPr>
            <w:tcW w:w="1120" w:type="dxa"/>
            <w:vAlign w:val="bottom"/>
            <w:shd w:val="clear" w:color="auto" w:fill="EAEAEA"/>
          </w:tcPr>
          <w:p>
            <w:pPr>
              <w:jc w:val="right"/>
              <w:ind w:right="279"/>
              <w:spacing w:after="0"/>
              <w:rPr>
                <w:sz w:val="20"/>
                <w:szCs w:val="20"/>
                <w:color w:val="auto"/>
              </w:rPr>
            </w:pPr>
            <w:r>
              <w:rPr>
                <w:rFonts w:ascii="Arial" w:cs="Arial" w:eastAsia="Arial" w:hAnsi="Arial"/>
                <w:sz w:val="11"/>
                <w:szCs w:val="11"/>
                <w:b w:val="1"/>
                <w:bCs w:val="1"/>
                <w:color w:val="5D89B4"/>
                <w:w w:val="97"/>
              </w:rPr>
              <w:t>EXERCISABLE</w:t>
            </w:r>
          </w:p>
        </w:tc>
        <w:tc>
          <w:tcPr>
            <w:tcW w:w="1280" w:type="dxa"/>
            <w:vAlign w:val="bottom"/>
            <w:shd w:val="clear" w:color="auto" w:fill="EAEAEA"/>
          </w:tcPr>
          <w:p>
            <w:pPr>
              <w:jc w:val="right"/>
              <w:ind w:right="197"/>
              <w:spacing w:after="0"/>
              <w:rPr>
                <w:sz w:val="20"/>
                <w:szCs w:val="20"/>
                <w:color w:val="auto"/>
              </w:rPr>
            </w:pPr>
            <w:r>
              <w:rPr>
                <w:rFonts w:ascii="Arial" w:cs="Arial" w:eastAsia="Arial" w:hAnsi="Arial"/>
                <w:sz w:val="11"/>
                <w:szCs w:val="11"/>
                <w:b w:val="1"/>
                <w:bCs w:val="1"/>
                <w:color w:val="5D89B4"/>
              </w:rPr>
              <w:t>UNEXERCISABLE</w:t>
            </w:r>
          </w:p>
        </w:tc>
        <w:tc>
          <w:tcPr>
            <w:tcW w:w="1000" w:type="dxa"/>
            <w:vAlign w:val="bottom"/>
            <w:shd w:val="clear" w:color="auto" w:fill="EAEAEA"/>
          </w:tcPr>
          <w:p>
            <w:pPr>
              <w:jc w:val="right"/>
              <w:ind w:right="38"/>
              <w:spacing w:after="0"/>
              <w:rPr>
                <w:sz w:val="20"/>
                <w:szCs w:val="20"/>
                <w:color w:val="auto"/>
              </w:rPr>
            </w:pPr>
            <w:r>
              <w:rPr>
                <w:rFonts w:ascii="Arial" w:cs="Arial" w:eastAsia="Arial" w:hAnsi="Arial"/>
                <w:sz w:val="11"/>
                <w:szCs w:val="11"/>
                <w:b w:val="1"/>
                <w:bCs w:val="1"/>
                <w:color w:val="5D89B4"/>
              </w:rPr>
              <w:t>OPTIONS (#)</w:t>
            </w:r>
          </w:p>
        </w:tc>
        <w:tc>
          <w:tcPr>
            <w:tcW w:w="200" w:type="dxa"/>
            <w:vAlign w:val="bottom"/>
            <w:shd w:val="clear" w:color="auto" w:fill="EAEAEA"/>
          </w:tcPr>
          <w:p>
            <w:pPr>
              <w:spacing w:after="0"/>
              <w:rPr>
                <w:sz w:val="12"/>
                <w:szCs w:val="12"/>
                <w:color w:val="auto"/>
              </w:rPr>
            </w:pPr>
          </w:p>
        </w:tc>
        <w:tc>
          <w:tcPr>
            <w:tcW w:w="560" w:type="dxa"/>
            <w:vAlign w:val="bottom"/>
            <w:shd w:val="clear" w:color="auto" w:fill="EAEAEA"/>
          </w:tcPr>
          <w:p>
            <w:pPr>
              <w:jc w:val="right"/>
              <w:ind w:right="55"/>
              <w:spacing w:after="0"/>
              <w:rPr>
                <w:sz w:val="20"/>
                <w:szCs w:val="20"/>
                <w:color w:val="auto"/>
              </w:rPr>
            </w:pPr>
            <w:r>
              <w:rPr>
                <w:rFonts w:ascii="Arial" w:cs="Arial" w:eastAsia="Arial" w:hAnsi="Arial"/>
                <w:sz w:val="11"/>
                <w:szCs w:val="11"/>
                <w:b w:val="1"/>
                <w:bCs w:val="1"/>
                <w:color w:val="5D89B4"/>
              </w:rPr>
              <w:t>($)</w:t>
            </w:r>
          </w:p>
        </w:tc>
        <w:tc>
          <w:tcPr>
            <w:tcW w:w="900" w:type="dxa"/>
            <w:vAlign w:val="bottom"/>
            <w:gridSpan w:val="2"/>
            <w:shd w:val="clear" w:color="auto" w:fill="EAEAEA"/>
          </w:tcPr>
          <w:p>
            <w:pPr>
              <w:jc w:val="right"/>
              <w:ind w:right="100"/>
              <w:spacing w:after="0"/>
              <w:rPr>
                <w:sz w:val="20"/>
                <w:szCs w:val="20"/>
                <w:color w:val="auto"/>
              </w:rPr>
            </w:pPr>
            <w:r>
              <w:rPr>
                <w:rFonts w:ascii="Arial" w:cs="Arial" w:eastAsia="Arial" w:hAnsi="Arial"/>
                <w:sz w:val="11"/>
                <w:szCs w:val="11"/>
                <w:b w:val="1"/>
                <w:bCs w:val="1"/>
                <w:color w:val="5D89B4"/>
              </w:rPr>
              <w:t>DATE</w:t>
            </w:r>
          </w:p>
        </w:tc>
        <w:tc>
          <w:tcPr>
            <w:tcW w:w="1040" w:type="dxa"/>
            <w:vAlign w:val="bottom"/>
            <w:shd w:val="clear" w:color="auto" w:fill="EAEAEA"/>
          </w:tcPr>
          <w:p>
            <w:pPr>
              <w:jc w:val="right"/>
              <w:ind w:right="277"/>
              <w:spacing w:after="0"/>
              <w:rPr>
                <w:sz w:val="20"/>
                <w:szCs w:val="20"/>
                <w:color w:val="auto"/>
              </w:rPr>
            </w:pPr>
            <w:r>
              <w:rPr>
                <w:rFonts w:ascii="Arial" w:cs="Arial" w:eastAsia="Arial" w:hAnsi="Arial"/>
                <w:sz w:val="11"/>
                <w:szCs w:val="11"/>
                <w:b w:val="1"/>
                <w:bCs w:val="1"/>
                <w:color w:val="5D89B4"/>
              </w:rPr>
              <w:t>(#)(1)</w:t>
            </w:r>
          </w:p>
        </w:tc>
        <w:tc>
          <w:tcPr>
            <w:tcW w:w="180" w:type="dxa"/>
            <w:vAlign w:val="bottom"/>
            <w:shd w:val="clear" w:color="auto" w:fill="EAEAEA"/>
          </w:tcPr>
          <w:p>
            <w:pPr>
              <w:spacing w:after="0"/>
              <w:rPr>
                <w:sz w:val="12"/>
                <w:szCs w:val="12"/>
                <w:color w:val="auto"/>
              </w:rPr>
            </w:pPr>
          </w:p>
        </w:tc>
        <w:tc>
          <w:tcPr>
            <w:tcW w:w="6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c>
          <w:tcPr>
            <w:tcW w:w="1240" w:type="dxa"/>
            <w:vAlign w:val="bottom"/>
            <w:shd w:val="clear" w:color="auto" w:fill="EAEAEA"/>
          </w:tcPr>
          <w:p>
            <w:pPr>
              <w:jc w:val="right"/>
              <w:ind w:right="278"/>
              <w:spacing w:after="0"/>
              <w:rPr>
                <w:sz w:val="20"/>
                <w:szCs w:val="20"/>
                <w:color w:val="auto"/>
              </w:rPr>
            </w:pPr>
            <w:r>
              <w:rPr>
                <w:rFonts w:ascii="Arial" w:cs="Arial" w:eastAsia="Arial" w:hAnsi="Arial"/>
                <w:sz w:val="11"/>
                <w:szCs w:val="11"/>
                <w:b w:val="1"/>
                <w:bCs w:val="1"/>
                <w:color w:val="5D89B4"/>
              </w:rPr>
              <w:t>(#)(3)</w:t>
            </w:r>
          </w:p>
        </w:tc>
        <w:tc>
          <w:tcPr>
            <w:tcW w:w="200" w:type="dxa"/>
            <w:vAlign w:val="bottom"/>
            <w:shd w:val="clear" w:color="auto" w:fill="EAEAEA"/>
          </w:tcPr>
          <w:p>
            <w:pPr>
              <w:spacing w:after="0"/>
              <w:rPr>
                <w:sz w:val="12"/>
                <w:szCs w:val="1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c>
          <w:tcPr>
            <w:tcW w:w="0" w:type="dxa"/>
            <w:vAlign w:val="bottom"/>
          </w:tcPr>
          <w:p>
            <w:pPr>
              <w:spacing w:after="0"/>
              <w:rPr>
                <w:sz w:val="1"/>
                <w:szCs w:val="1"/>
                <w:color w:val="auto"/>
              </w:rPr>
            </w:pPr>
          </w:p>
        </w:tc>
      </w:tr>
      <w:tr>
        <w:trPr>
          <w:trHeight w:val="75"/>
        </w:trPr>
        <w:tc>
          <w:tcPr>
            <w:tcW w:w="1560" w:type="dxa"/>
            <w:vAlign w:val="bottom"/>
            <w:shd w:val="clear" w:color="auto" w:fill="EAEAEA"/>
          </w:tcPr>
          <w:p>
            <w:pPr>
              <w:spacing w:after="0"/>
              <w:rPr>
                <w:sz w:val="6"/>
                <w:szCs w:val="6"/>
                <w:color w:val="auto"/>
              </w:rPr>
            </w:pPr>
          </w:p>
        </w:tc>
        <w:tc>
          <w:tcPr>
            <w:tcW w:w="14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280" w:type="dxa"/>
            <w:vAlign w:val="bottom"/>
            <w:shd w:val="clear" w:color="auto" w:fill="EAEAEA"/>
          </w:tcPr>
          <w:p>
            <w:pPr>
              <w:spacing w:after="0"/>
              <w:rPr>
                <w:sz w:val="6"/>
                <w:szCs w:val="6"/>
                <w:color w:val="auto"/>
              </w:rPr>
            </w:pPr>
          </w:p>
        </w:tc>
        <w:tc>
          <w:tcPr>
            <w:tcW w:w="1000" w:type="dxa"/>
            <w:vAlign w:val="bottom"/>
            <w:shd w:val="clear" w:color="auto" w:fill="EAEAEA"/>
          </w:tcPr>
          <w:p>
            <w:pPr>
              <w:spacing w:after="0"/>
              <w:rPr>
                <w:sz w:val="6"/>
                <w:szCs w:val="6"/>
                <w:color w:val="auto"/>
              </w:rPr>
            </w:pPr>
          </w:p>
        </w:tc>
        <w:tc>
          <w:tcPr>
            <w:tcW w:w="200" w:type="dxa"/>
            <w:vAlign w:val="bottom"/>
            <w:shd w:val="clear" w:color="auto" w:fill="EAEAEA"/>
          </w:tcPr>
          <w:p>
            <w:pPr>
              <w:spacing w:after="0"/>
              <w:rPr>
                <w:sz w:val="6"/>
                <w:szCs w:val="6"/>
                <w:color w:val="auto"/>
              </w:rPr>
            </w:pPr>
          </w:p>
        </w:tc>
        <w:tc>
          <w:tcPr>
            <w:tcW w:w="560" w:type="dxa"/>
            <w:vAlign w:val="bottom"/>
            <w:shd w:val="clear" w:color="auto" w:fill="EAEAEA"/>
          </w:tcPr>
          <w:p>
            <w:pPr>
              <w:spacing w:after="0"/>
              <w:rPr>
                <w:sz w:val="6"/>
                <w:szCs w:val="6"/>
                <w:color w:val="auto"/>
              </w:rPr>
            </w:pPr>
          </w:p>
        </w:tc>
        <w:tc>
          <w:tcPr>
            <w:tcW w:w="840" w:type="dxa"/>
            <w:vAlign w:val="bottom"/>
            <w:shd w:val="clear" w:color="auto" w:fill="EAEAEA"/>
          </w:tcPr>
          <w:p>
            <w:pPr>
              <w:spacing w:after="0"/>
              <w:rPr>
                <w:sz w:val="6"/>
                <w:szCs w:val="6"/>
                <w:color w:val="auto"/>
              </w:rPr>
            </w:pPr>
          </w:p>
        </w:tc>
        <w:tc>
          <w:tcPr>
            <w:tcW w:w="60" w:type="dxa"/>
            <w:vAlign w:val="bottom"/>
            <w:shd w:val="clear" w:color="auto" w:fill="EAEAEA"/>
          </w:tcPr>
          <w:p>
            <w:pPr>
              <w:spacing w:after="0"/>
              <w:rPr>
                <w:sz w:val="6"/>
                <w:szCs w:val="6"/>
                <w:color w:val="auto"/>
              </w:rPr>
            </w:pPr>
          </w:p>
        </w:tc>
        <w:tc>
          <w:tcPr>
            <w:tcW w:w="1040" w:type="dxa"/>
            <w:vAlign w:val="bottom"/>
            <w:shd w:val="clear" w:color="auto" w:fill="EAEAEA"/>
          </w:tcPr>
          <w:p>
            <w:pPr>
              <w:spacing w:after="0"/>
              <w:rPr>
                <w:sz w:val="6"/>
                <w:szCs w:val="6"/>
                <w:color w:val="auto"/>
              </w:rPr>
            </w:pPr>
          </w:p>
        </w:tc>
        <w:tc>
          <w:tcPr>
            <w:tcW w:w="180" w:type="dxa"/>
            <w:vAlign w:val="bottom"/>
            <w:shd w:val="clear" w:color="auto" w:fill="EAEAEA"/>
          </w:tcPr>
          <w:p>
            <w:pPr>
              <w:spacing w:after="0"/>
              <w:rPr>
                <w:sz w:val="6"/>
                <w:szCs w:val="6"/>
                <w:color w:val="auto"/>
              </w:rPr>
            </w:pPr>
          </w:p>
        </w:tc>
        <w:tc>
          <w:tcPr>
            <w:tcW w:w="680" w:type="dxa"/>
            <w:vAlign w:val="bottom"/>
            <w:shd w:val="clear" w:color="auto" w:fill="EAEAEA"/>
          </w:tcPr>
          <w:p>
            <w:pPr>
              <w:spacing w:after="0"/>
              <w:rPr>
                <w:sz w:val="6"/>
                <w:szCs w:val="6"/>
                <w:color w:val="auto"/>
              </w:rPr>
            </w:pPr>
          </w:p>
        </w:tc>
        <w:tc>
          <w:tcPr>
            <w:tcW w:w="1240" w:type="dxa"/>
            <w:vAlign w:val="bottom"/>
            <w:shd w:val="clear" w:color="auto" w:fill="EAEAEA"/>
          </w:tcPr>
          <w:p>
            <w:pPr>
              <w:spacing w:after="0"/>
              <w:rPr>
                <w:sz w:val="6"/>
                <w:szCs w:val="6"/>
                <w:color w:val="auto"/>
              </w:rPr>
            </w:pPr>
          </w:p>
        </w:tc>
        <w:tc>
          <w:tcPr>
            <w:tcW w:w="200" w:type="dxa"/>
            <w:vAlign w:val="bottom"/>
            <w:shd w:val="clear" w:color="auto" w:fill="EAEAEA"/>
          </w:tcPr>
          <w:p>
            <w:pPr>
              <w:spacing w:after="0"/>
              <w:rPr>
                <w:sz w:val="6"/>
                <w:szCs w:val="6"/>
                <w:color w:val="auto"/>
              </w:rPr>
            </w:pPr>
          </w:p>
        </w:tc>
        <w:tc>
          <w:tcPr>
            <w:tcW w:w="82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60" w:type="dxa"/>
            <w:vAlign w:val="bottom"/>
          </w:tcPr>
          <w:p>
            <w:pPr>
              <w:ind w:left="80"/>
              <w:spacing w:after="0" w:line="147" w:lineRule="exact"/>
              <w:rPr>
                <w:sz w:val="20"/>
                <w:szCs w:val="20"/>
                <w:color w:val="auto"/>
              </w:rPr>
            </w:pPr>
            <w:r>
              <w:rPr>
                <w:rFonts w:ascii="Arial" w:cs="Arial" w:eastAsia="Arial" w:hAnsi="Arial"/>
                <w:sz w:val="13"/>
                <w:szCs w:val="13"/>
                <w:b w:val="1"/>
                <w:bCs w:val="1"/>
                <w:color w:val="auto"/>
              </w:rPr>
              <w:t>Richard Buchband</w:t>
            </w:r>
          </w:p>
        </w:tc>
        <w:tc>
          <w:tcPr>
            <w:tcW w:w="1260" w:type="dxa"/>
            <w:vAlign w:val="bottom"/>
            <w:gridSpan w:val="2"/>
          </w:tcPr>
          <w:p>
            <w:pPr>
              <w:jc w:val="right"/>
              <w:ind w:right="279"/>
              <w:spacing w:after="0" w:line="147" w:lineRule="exact"/>
              <w:rPr>
                <w:sz w:val="20"/>
                <w:szCs w:val="20"/>
                <w:color w:val="auto"/>
              </w:rPr>
            </w:pPr>
            <w:r>
              <w:rPr>
                <w:rFonts w:ascii="Arial" w:cs="Arial" w:eastAsia="Arial" w:hAnsi="Arial"/>
                <w:sz w:val="13"/>
                <w:szCs w:val="13"/>
                <w:color w:val="auto"/>
              </w:rPr>
              <w:t>5,541</w:t>
            </w:r>
          </w:p>
        </w:tc>
        <w:tc>
          <w:tcPr>
            <w:tcW w:w="1280" w:type="dxa"/>
            <w:vAlign w:val="bottom"/>
          </w:tcPr>
          <w:p>
            <w:pPr>
              <w:jc w:val="right"/>
              <w:ind w:right="197"/>
              <w:spacing w:after="0" w:line="147"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line="147"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7"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line="147" w:lineRule="exact"/>
              <w:rPr>
                <w:sz w:val="20"/>
                <w:szCs w:val="20"/>
                <w:color w:val="auto"/>
              </w:rPr>
            </w:pPr>
            <w:r>
              <w:rPr>
                <w:rFonts w:ascii="Arial" w:cs="Arial" w:eastAsia="Arial" w:hAnsi="Arial"/>
                <w:sz w:val="13"/>
                <w:szCs w:val="13"/>
                <w:color w:val="auto"/>
              </w:rPr>
              <w:t>76.97</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2/10/2025</w:t>
            </w:r>
          </w:p>
        </w:tc>
        <w:tc>
          <w:tcPr>
            <w:tcW w:w="60" w:type="dxa"/>
            <w:vAlign w:val="bottom"/>
          </w:tcPr>
          <w:p>
            <w:pPr>
              <w:spacing w:after="0"/>
              <w:rPr>
                <w:sz w:val="12"/>
                <w:szCs w:val="12"/>
                <w:color w:val="auto"/>
              </w:rPr>
            </w:pPr>
          </w:p>
        </w:tc>
        <w:tc>
          <w:tcPr>
            <w:tcW w:w="1040" w:type="dxa"/>
            <w:vAlign w:val="bottom"/>
          </w:tcPr>
          <w:p>
            <w:pPr>
              <w:jc w:val="right"/>
              <w:ind w:right="277"/>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line="147"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60" w:type="dxa"/>
            <w:vAlign w:val="bottom"/>
          </w:tcPr>
          <w:p>
            <w:pPr>
              <w:ind w:left="80"/>
              <w:spacing w:after="0" w:line="148" w:lineRule="exact"/>
              <w:rPr>
                <w:sz w:val="20"/>
                <w:szCs w:val="20"/>
                <w:color w:val="auto"/>
              </w:rPr>
            </w:pPr>
            <w:r>
              <w:rPr>
                <w:rFonts w:ascii="Arial" w:cs="Arial" w:eastAsia="Arial" w:hAnsi="Arial"/>
                <w:sz w:val="13"/>
                <w:szCs w:val="13"/>
                <w:color w:val="333333"/>
              </w:rPr>
              <w:t>SVP, General Counsel</w:t>
            </w:r>
          </w:p>
        </w:tc>
        <w:tc>
          <w:tcPr>
            <w:tcW w:w="1260" w:type="dxa"/>
            <w:vAlign w:val="bottom"/>
            <w:gridSpan w:val="2"/>
          </w:tcPr>
          <w:p>
            <w:pPr>
              <w:jc w:val="right"/>
              <w:ind w:right="279"/>
              <w:spacing w:after="0" w:line="148" w:lineRule="exact"/>
              <w:rPr>
                <w:sz w:val="20"/>
                <w:szCs w:val="20"/>
                <w:color w:val="auto"/>
              </w:rPr>
            </w:pPr>
            <w:r>
              <w:rPr>
                <w:rFonts w:ascii="Arial" w:cs="Arial" w:eastAsia="Arial" w:hAnsi="Arial"/>
                <w:sz w:val="13"/>
                <w:szCs w:val="13"/>
                <w:color w:val="auto"/>
              </w:rPr>
              <w:t>7,114</w:t>
            </w:r>
          </w:p>
        </w:tc>
        <w:tc>
          <w:tcPr>
            <w:tcW w:w="1280" w:type="dxa"/>
            <w:vAlign w:val="bottom"/>
          </w:tcPr>
          <w:p>
            <w:pPr>
              <w:jc w:val="right"/>
              <w:ind w:right="197"/>
              <w:spacing w:after="0" w:line="148"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line="148" w:lineRule="exact"/>
              <w:rPr>
                <w:sz w:val="20"/>
                <w:szCs w:val="20"/>
                <w:color w:val="auto"/>
              </w:rPr>
            </w:pPr>
            <w:r>
              <w:rPr>
                <w:rFonts w:ascii="Arial" w:cs="Arial" w:eastAsia="Arial" w:hAnsi="Arial"/>
                <w:sz w:val="13"/>
                <w:szCs w:val="13"/>
                <w:color w:val="auto"/>
              </w:rPr>
              <w:t>75.07</w:t>
            </w: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2/16/2026</w:t>
            </w:r>
          </w:p>
        </w:tc>
        <w:tc>
          <w:tcPr>
            <w:tcW w:w="60" w:type="dxa"/>
            <w:vAlign w:val="bottom"/>
          </w:tcPr>
          <w:p>
            <w:pPr>
              <w:spacing w:after="0"/>
              <w:rPr>
                <w:sz w:val="12"/>
                <w:szCs w:val="12"/>
                <w:color w:val="auto"/>
              </w:rPr>
            </w:pPr>
          </w:p>
        </w:tc>
        <w:tc>
          <w:tcPr>
            <w:tcW w:w="1040" w:type="dxa"/>
            <w:vAlign w:val="bottom"/>
          </w:tcPr>
          <w:p>
            <w:pPr>
              <w:jc w:val="right"/>
              <w:ind w:right="277"/>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560" w:type="dxa"/>
            <w:vAlign w:val="bottom"/>
          </w:tcPr>
          <w:p>
            <w:pPr>
              <w:ind w:left="80"/>
              <w:spacing w:after="0"/>
              <w:rPr>
                <w:sz w:val="20"/>
                <w:szCs w:val="20"/>
                <w:color w:val="auto"/>
              </w:rPr>
            </w:pPr>
            <w:r>
              <w:rPr>
                <w:rFonts w:ascii="Arial" w:cs="Arial" w:eastAsia="Arial" w:hAnsi="Arial"/>
                <w:sz w:val="13"/>
                <w:szCs w:val="13"/>
                <w:color w:val="333333"/>
              </w:rPr>
              <w:t>and Secretary</w:t>
            </w:r>
          </w:p>
        </w:tc>
        <w:tc>
          <w:tcPr>
            <w:tcW w:w="1260" w:type="dxa"/>
            <w:vAlign w:val="bottom"/>
            <w:gridSpan w:val="2"/>
            <w:vMerge w:val="restart"/>
          </w:tcPr>
          <w:p>
            <w:pPr>
              <w:jc w:val="right"/>
              <w:ind w:right="279"/>
              <w:spacing w:after="0"/>
              <w:rPr>
                <w:sz w:val="20"/>
                <w:szCs w:val="20"/>
                <w:color w:val="auto"/>
              </w:rPr>
            </w:pPr>
            <w:r>
              <w:rPr>
                <w:rFonts w:ascii="Arial" w:cs="Arial" w:eastAsia="Arial" w:hAnsi="Arial"/>
                <w:sz w:val="13"/>
                <w:szCs w:val="13"/>
                <w:color w:val="auto"/>
              </w:rPr>
              <w:t>4,691</w:t>
            </w: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1,564(4)</w:t>
            </w:r>
          </w:p>
        </w:tc>
        <w:tc>
          <w:tcPr>
            <w:tcW w:w="100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5"/>
              <w:spacing w:after="0"/>
              <w:rPr>
                <w:sz w:val="20"/>
                <w:szCs w:val="20"/>
                <w:color w:val="auto"/>
              </w:rPr>
            </w:pPr>
            <w:r>
              <w:rPr>
                <w:rFonts w:ascii="Arial" w:cs="Arial" w:eastAsia="Arial" w:hAnsi="Arial"/>
                <w:sz w:val="13"/>
                <w:szCs w:val="13"/>
                <w:color w:val="auto"/>
              </w:rPr>
              <w:t>96.94</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2/9/2027</w:t>
            </w:r>
          </w:p>
        </w:tc>
        <w:tc>
          <w:tcPr>
            <w:tcW w:w="60" w:type="dxa"/>
            <w:vAlign w:val="bottom"/>
          </w:tcPr>
          <w:p>
            <w:pPr>
              <w:spacing w:after="0"/>
              <w:rPr>
                <w:sz w:val="14"/>
                <w:szCs w:val="14"/>
                <w:color w:val="auto"/>
              </w:rPr>
            </w:pPr>
          </w:p>
        </w:tc>
        <w:tc>
          <w:tcPr>
            <w:tcW w:w="1040" w:type="dxa"/>
            <w:vAlign w:val="bottom"/>
            <w:vMerge w:val="restart"/>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15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260" w:type="dxa"/>
            <w:vAlign w:val="bottom"/>
            <w:gridSpan w:val="2"/>
          </w:tcPr>
          <w:p>
            <w:pPr>
              <w:jc w:val="right"/>
              <w:ind w:right="279"/>
              <w:spacing w:after="0"/>
              <w:rPr>
                <w:sz w:val="20"/>
                <w:szCs w:val="20"/>
                <w:color w:val="auto"/>
              </w:rPr>
            </w:pPr>
            <w:r>
              <w:rPr>
                <w:rFonts w:ascii="Arial" w:cs="Arial" w:eastAsia="Arial" w:hAnsi="Arial"/>
                <w:sz w:val="13"/>
                <w:szCs w:val="13"/>
                <w:color w:val="auto"/>
              </w:rPr>
              <w:t>2,543</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2,543(5)</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122.87</w:t>
            </w:r>
          </w:p>
        </w:tc>
        <w:tc>
          <w:tcPr>
            <w:tcW w:w="840" w:type="dxa"/>
            <w:vAlign w:val="bottom"/>
          </w:tcPr>
          <w:p>
            <w:pPr>
              <w:jc w:val="right"/>
              <w:spacing w:after="0"/>
              <w:rPr>
                <w:sz w:val="20"/>
                <w:szCs w:val="20"/>
                <w:color w:val="auto"/>
              </w:rPr>
            </w:pPr>
            <w:r>
              <w:rPr>
                <w:rFonts w:ascii="Arial" w:cs="Arial" w:eastAsia="Arial" w:hAnsi="Arial"/>
                <w:sz w:val="13"/>
                <w:szCs w:val="13"/>
                <w:color w:val="auto"/>
              </w:rPr>
              <w:t>2/15/2028</w:t>
            </w:r>
          </w:p>
        </w:tc>
        <w:tc>
          <w:tcPr>
            <w:tcW w:w="60" w:type="dxa"/>
            <w:vAlign w:val="bottom"/>
          </w:tcPr>
          <w:p>
            <w:pPr>
              <w:spacing w:after="0"/>
              <w:rPr>
                <w:sz w:val="15"/>
                <w:szCs w:val="15"/>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260" w:type="dxa"/>
            <w:vAlign w:val="bottom"/>
            <w:gridSpan w:val="2"/>
          </w:tcPr>
          <w:p>
            <w:pPr>
              <w:jc w:val="right"/>
              <w:ind w:right="279"/>
              <w:spacing w:after="0"/>
              <w:rPr>
                <w:sz w:val="20"/>
                <w:szCs w:val="20"/>
                <w:color w:val="auto"/>
              </w:rPr>
            </w:pPr>
            <w:r>
              <w:rPr>
                <w:rFonts w:ascii="Arial" w:cs="Arial" w:eastAsia="Arial" w:hAnsi="Arial"/>
                <w:sz w:val="13"/>
                <w:szCs w:val="13"/>
                <w:color w:val="auto"/>
              </w:rPr>
              <w:t>2,249</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6,750(6)</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84.43</w:t>
            </w:r>
          </w:p>
        </w:tc>
        <w:tc>
          <w:tcPr>
            <w:tcW w:w="840" w:type="dxa"/>
            <w:vAlign w:val="bottom"/>
          </w:tcPr>
          <w:p>
            <w:pPr>
              <w:jc w:val="right"/>
              <w:spacing w:after="0"/>
              <w:rPr>
                <w:sz w:val="20"/>
                <w:szCs w:val="20"/>
                <w:color w:val="auto"/>
              </w:rPr>
            </w:pPr>
            <w:r>
              <w:rPr>
                <w:rFonts w:ascii="Arial" w:cs="Arial" w:eastAsia="Arial" w:hAnsi="Arial"/>
                <w:sz w:val="13"/>
                <w:szCs w:val="13"/>
                <w:color w:val="auto"/>
              </w:rPr>
              <w:t>2/15/2029</w:t>
            </w:r>
          </w:p>
        </w:tc>
        <w:tc>
          <w:tcPr>
            <w:tcW w:w="60" w:type="dxa"/>
            <w:vAlign w:val="bottom"/>
          </w:tcPr>
          <w:p>
            <w:pPr>
              <w:spacing w:after="0"/>
              <w:rPr>
                <w:sz w:val="15"/>
                <w:szCs w:val="15"/>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8,444(7)</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92.70</w:t>
            </w:r>
          </w:p>
        </w:tc>
        <w:tc>
          <w:tcPr>
            <w:tcW w:w="840" w:type="dxa"/>
            <w:vAlign w:val="bottom"/>
          </w:tcPr>
          <w:p>
            <w:pPr>
              <w:jc w:val="right"/>
              <w:spacing w:after="0"/>
              <w:rPr>
                <w:sz w:val="20"/>
                <w:szCs w:val="20"/>
                <w:color w:val="auto"/>
              </w:rPr>
            </w:pPr>
            <w:r>
              <w:rPr>
                <w:rFonts w:ascii="Arial" w:cs="Arial" w:eastAsia="Arial" w:hAnsi="Arial"/>
                <w:sz w:val="13"/>
                <w:szCs w:val="13"/>
                <w:color w:val="auto"/>
              </w:rPr>
              <w:t>2/14/2030</w:t>
            </w:r>
          </w:p>
        </w:tc>
        <w:tc>
          <w:tcPr>
            <w:tcW w:w="60" w:type="dxa"/>
            <w:vAlign w:val="bottom"/>
          </w:tcPr>
          <w:p>
            <w:pPr>
              <w:spacing w:after="0"/>
              <w:rPr>
                <w:sz w:val="15"/>
                <w:szCs w:val="15"/>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1,408(9)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126,973</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2,004(10)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180,721</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1,781(14)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160,611</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1,954(15)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176,212</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8"/>
              <w:spacing w:after="0"/>
              <w:rPr>
                <w:sz w:val="20"/>
                <w:szCs w:val="20"/>
                <w:color w:val="auto"/>
              </w:rPr>
            </w:pPr>
            <w:r>
              <w:rPr>
                <w:rFonts w:ascii="Arial" w:cs="Arial" w:eastAsia="Arial" w:hAnsi="Arial"/>
                <w:sz w:val="13"/>
                <w:szCs w:val="13"/>
                <w:color w:val="auto"/>
              </w:rPr>
              <w:t>2,843(16)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256,382</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8"/>
              <w:spacing w:after="0"/>
              <w:rPr>
                <w:sz w:val="20"/>
                <w:szCs w:val="20"/>
                <w:color w:val="auto"/>
              </w:rPr>
            </w:pPr>
            <w:r>
              <w:rPr>
                <w:rFonts w:ascii="Arial" w:cs="Arial" w:eastAsia="Arial" w:hAnsi="Arial"/>
                <w:sz w:val="13"/>
                <w:szCs w:val="13"/>
                <w:color w:val="auto"/>
              </w:rPr>
              <w:t>2,589(17)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233,476</w:t>
            </w:r>
          </w:p>
        </w:tc>
        <w:tc>
          <w:tcPr>
            <w:tcW w:w="0" w:type="dxa"/>
            <w:vAlign w:val="bottom"/>
          </w:tcPr>
          <w:p>
            <w:pPr>
              <w:spacing w:after="0"/>
              <w:rPr>
                <w:sz w:val="1"/>
                <w:szCs w:val="1"/>
                <w:color w:val="auto"/>
              </w:rPr>
            </w:pPr>
          </w:p>
        </w:tc>
      </w:tr>
      <w:tr>
        <w:trPr>
          <w:trHeight w:val="54"/>
        </w:trPr>
        <w:tc>
          <w:tcPr>
            <w:tcW w:w="156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560" w:type="dxa"/>
            <w:vAlign w:val="bottom"/>
          </w:tcPr>
          <w:p>
            <w:pPr>
              <w:ind w:left="80"/>
              <w:spacing w:after="0" w:line="140" w:lineRule="exact"/>
              <w:rPr>
                <w:sz w:val="20"/>
                <w:szCs w:val="20"/>
                <w:color w:val="auto"/>
              </w:rPr>
            </w:pPr>
            <w:r>
              <w:rPr>
                <w:rFonts w:ascii="Arial" w:cs="Arial" w:eastAsia="Arial" w:hAnsi="Arial"/>
                <w:sz w:val="13"/>
                <w:szCs w:val="13"/>
                <w:b w:val="1"/>
                <w:bCs w:val="1"/>
                <w:color w:val="auto"/>
              </w:rPr>
              <w:t>Mara E. Swan</w:t>
            </w:r>
          </w:p>
        </w:tc>
        <w:tc>
          <w:tcPr>
            <w:tcW w:w="1260" w:type="dxa"/>
            <w:vAlign w:val="bottom"/>
            <w:gridSpan w:val="2"/>
          </w:tcPr>
          <w:p>
            <w:pPr>
              <w:jc w:val="right"/>
              <w:ind w:right="39"/>
              <w:spacing w:after="0" w:line="140" w:lineRule="exact"/>
              <w:rPr>
                <w:sz w:val="20"/>
                <w:szCs w:val="20"/>
                <w:color w:val="auto"/>
              </w:rPr>
            </w:pPr>
            <w:r>
              <w:rPr>
                <w:rFonts w:ascii="Arial" w:cs="Arial" w:eastAsia="Arial" w:hAnsi="Arial"/>
                <w:sz w:val="13"/>
                <w:szCs w:val="13"/>
                <w:color w:val="auto"/>
              </w:rPr>
              <w:t>11,081(18)</w:t>
            </w:r>
          </w:p>
        </w:tc>
        <w:tc>
          <w:tcPr>
            <w:tcW w:w="1280" w:type="dxa"/>
            <w:vAlign w:val="bottom"/>
          </w:tcPr>
          <w:p>
            <w:pPr>
              <w:jc w:val="right"/>
              <w:ind w:right="197"/>
              <w:spacing w:after="0" w:line="140"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0"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line="140" w:lineRule="exact"/>
              <w:rPr>
                <w:sz w:val="20"/>
                <w:szCs w:val="20"/>
                <w:color w:val="auto"/>
              </w:rPr>
            </w:pPr>
            <w:r>
              <w:rPr>
                <w:rFonts w:ascii="Arial" w:cs="Arial" w:eastAsia="Arial" w:hAnsi="Arial"/>
                <w:sz w:val="13"/>
                <w:szCs w:val="13"/>
                <w:color w:val="auto"/>
              </w:rPr>
              <w:t>76.97</w:t>
            </w:r>
          </w:p>
        </w:tc>
        <w:tc>
          <w:tcPr>
            <w:tcW w:w="840" w:type="dxa"/>
            <w:vAlign w:val="bottom"/>
          </w:tcPr>
          <w:p>
            <w:pPr>
              <w:jc w:val="right"/>
              <w:spacing w:after="0" w:line="140" w:lineRule="exact"/>
              <w:rPr>
                <w:sz w:val="20"/>
                <w:szCs w:val="20"/>
                <w:color w:val="auto"/>
              </w:rPr>
            </w:pPr>
            <w:r>
              <w:rPr>
                <w:rFonts w:ascii="Arial" w:cs="Arial" w:eastAsia="Arial" w:hAnsi="Arial"/>
                <w:sz w:val="13"/>
                <w:szCs w:val="13"/>
                <w:color w:val="auto"/>
              </w:rPr>
              <w:t>03/07/2023</w:t>
            </w:r>
          </w:p>
        </w:tc>
        <w:tc>
          <w:tcPr>
            <w:tcW w:w="60" w:type="dxa"/>
            <w:vAlign w:val="bottom"/>
          </w:tcPr>
          <w:p>
            <w:pPr>
              <w:spacing w:after="0"/>
              <w:rPr>
                <w:sz w:val="12"/>
                <w:szCs w:val="12"/>
                <w:color w:val="auto"/>
              </w:rPr>
            </w:pPr>
          </w:p>
        </w:tc>
        <w:tc>
          <w:tcPr>
            <w:tcW w:w="1040" w:type="dxa"/>
            <w:vAlign w:val="bottom"/>
          </w:tcPr>
          <w:p>
            <w:pPr>
              <w:jc w:val="right"/>
              <w:ind w:right="277"/>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60" w:type="dxa"/>
            <w:vAlign w:val="bottom"/>
          </w:tcPr>
          <w:p>
            <w:pPr>
              <w:ind w:left="80"/>
              <w:spacing w:after="0" w:line="148" w:lineRule="exact"/>
              <w:rPr>
                <w:sz w:val="20"/>
                <w:szCs w:val="20"/>
                <w:color w:val="auto"/>
              </w:rPr>
            </w:pPr>
            <w:r>
              <w:rPr>
                <w:rFonts w:ascii="Arial" w:cs="Arial" w:eastAsia="Arial" w:hAnsi="Arial"/>
                <w:sz w:val="13"/>
                <w:szCs w:val="13"/>
                <w:color w:val="333333"/>
              </w:rPr>
              <w:t>Former EVP, Global</w:t>
            </w:r>
          </w:p>
        </w:tc>
        <w:tc>
          <w:tcPr>
            <w:tcW w:w="1260" w:type="dxa"/>
            <w:vAlign w:val="bottom"/>
            <w:gridSpan w:val="2"/>
          </w:tcPr>
          <w:p>
            <w:pPr>
              <w:jc w:val="right"/>
              <w:ind w:right="39"/>
              <w:spacing w:after="0" w:line="148" w:lineRule="exact"/>
              <w:rPr>
                <w:sz w:val="20"/>
                <w:szCs w:val="20"/>
                <w:color w:val="auto"/>
              </w:rPr>
            </w:pPr>
            <w:r>
              <w:rPr>
                <w:rFonts w:ascii="Arial" w:cs="Arial" w:eastAsia="Arial" w:hAnsi="Arial"/>
                <w:sz w:val="13"/>
                <w:szCs w:val="13"/>
                <w:color w:val="auto"/>
              </w:rPr>
              <w:t>12,196(18)</w:t>
            </w:r>
          </w:p>
        </w:tc>
        <w:tc>
          <w:tcPr>
            <w:tcW w:w="1280" w:type="dxa"/>
            <w:vAlign w:val="bottom"/>
          </w:tcPr>
          <w:p>
            <w:pPr>
              <w:jc w:val="right"/>
              <w:ind w:right="197"/>
              <w:spacing w:after="0" w:line="148"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line="148" w:lineRule="exact"/>
              <w:rPr>
                <w:sz w:val="20"/>
                <w:szCs w:val="20"/>
                <w:color w:val="auto"/>
              </w:rPr>
            </w:pPr>
            <w:r>
              <w:rPr>
                <w:rFonts w:ascii="Arial" w:cs="Arial" w:eastAsia="Arial" w:hAnsi="Arial"/>
                <w:sz w:val="13"/>
                <w:szCs w:val="13"/>
                <w:color w:val="auto"/>
              </w:rPr>
              <w:t>75.07</w:t>
            </w: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03/07/2023</w:t>
            </w:r>
          </w:p>
        </w:tc>
        <w:tc>
          <w:tcPr>
            <w:tcW w:w="60" w:type="dxa"/>
            <w:vAlign w:val="bottom"/>
          </w:tcPr>
          <w:p>
            <w:pPr>
              <w:spacing w:after="0"/>
              <w:rPr>
                <w:sz w:val="12"/>
                <w:szCs w:val="12"/>
                <w:color w:val="auto"/>
              </w:rPr>
            </w:pPr>
          </w:p>
        </w:tc>
        <w:tc>
          <w:tcPr>
            <w:tcW w:w="1040" w:type="dxa"/>
            <w:vAlign w:val="bottom"/>
          </w:tcPr>
          <w:p>
            <w:pPr>
              <w:jc w:val="right"/>
              <w:ind w:right="277"/>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560" w:type="dxa"/>
            <w:vAlign w:val="bottom"/>
          </w:tcPr>
          <w:p>
            <w:pPr>
              <w:ind w:left="80"/>
              <w:spacing w:after="0"/>
              <w:rPr>
                <w:sz w:val="20"/>
                <w:szCs w:val="20"/>
                <w:color w:val="auto"/>
              </w:rPr>
            </w:pPr>
            <w:r>
              <w:rPr>
                <w:rFonts w:ascii="Arial" w:cs="Arial" w:eastAsia="Arial" w:hAnsi="Arial"/>
                <w:sz w:val="13"/>
                <w:szCs w:val="13"/>
                <w:color w:val="333333"/>
              </w:rPr>
              <w:t>Strategy and Talent</w:t>
            </w:r>
          </w:p>
        </w:tc>
        <w:tc>
          <w:tcPr>
            <w:tcW w:w="1260" w:type="dxa"/>
            <w:vAlign w:val="bottom"/>
            <w:gridSpan w:val="2"/>
            <w:vMerge w:val="restart"/>
          </w:tcPr>
          <w:p>
            <w:pPr>
              <w:jc w:val="right"/>
              <w:ind w:right="39"/>
              <w:spacing w:after="0"/>
              <w:rPr>
                <w:sz w:val="20"/>
                <w:szCs w:val="20"/>
                <w:color w:val="auto"/>
              </w:rPr>
            </w:pPr>
            <w:r>
              <w:rPr>
                <w:rFonts w:ascii="Arial" w:cs="Arial" w:eastAsia="Arial" w:hAnsi="Arial"/>
                <w:sz w:val="13"/>
                <w:szCs w:val="13"/>
                <w:color w:val="auto"/>
              </w:rPr>
              <w:t>10,556(18)</w:t>
            </w:r>
          </w:p>
        </w:tc>
        <w:tc>
          <w:tcPr>
            <w:tcW w:w="128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5"/>
              <w:spacing w:after="0"/>
              <w:rPr>
                <w:sz w:val="20"/>
                <w:szCs w:val="20"/>
                <w:color w:val="auto"/>
              </w:rPr>
            </w:pPr>
            <w:r>
              <w:rPr>
                <w:rFonts w:ascii="Arial" w:cs="Arial" w:eastAsia="Arial" w:hAnsi="Arial"/>
                <w:sz w:val="13"/>
                <w:szCs w:val="13"/>
                <w:color w:val="auto"/>
              </w:rPr>
              <w:t>96.94</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03/07/2023</w:t>
            </w:r>
          </w:p>
        </w:tc>
        <w:tc>
          <w:tcPr>
            <w:tcW w:w="60" w:type="dxa"/>
            <w:vAlign w:val="bottom"/>
          </w:tcPr>
          <w:p>
            <w:pPr>
              <w:spacing w:after="0"/>
              <w:rPr>
                <w:sz w:val="14"/>
                <w:szCs w:val="14"/>
                <w:color w:val="auto"/>
              </w:rPr>
            </w:pPr>
          </w:p>
        </w:tc>
        <w:tc>
          <w:tcPr>
            <w:tcW w:w="1040" w:type="dxa"/>
            <w:vAlign w:val="bottom"/>
            <w:vMerge w:val="restart"/>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15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3"/>
                <w:szCs w:val="13"/>
                <w:color w:val="auto"/>
              </w:rPr>
              <w:t>8,583(18)</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122.87</w:t>
            </w:r>
          </w:p>
        </w:tc>
        <w:tc>
          <w:tcPr>
            <w:tcW w:w="840" w:type="dxa"/>
            <w:vAlign w:val="bottom"/>
          </w:tcPr>
          <w:p>
            <w:pPr>
              <w:jc w:val="right"/>
              <w:spacing w:after="0"/>
              <w:rPr>
                <w:sz w:val="20"/>
                <w:szCs w:val="20"/>
                <w:color w:val="auto"/>
              </w:rPr>
            </w:pPr>
            <w:r>
              <w:rPr>
                <w:rFonts w:ascii="Arial" w:cs="Arial" w:eastAsia="Arial" w:hAnsi="Arial"/>
                <w:sz w:val="13"/>
                <w:szCs w:val="13"/>
                <w:color w:val="auto"/>
              </w:rPr>
              <w:t>03/07/2023</w:t>
            </w:r>
          </w:p>
        </w:tc>
        <w:tc>
          <w:tcPr>
            <w:tcW w:w="60" w:type="dxa"/>
            <w:vAlign w:val="bottom"/>
          </w:tcPr>
          <w:p>
            <w:pPr>
              <w:spacing w:after="0"/>
              <w:rPr>
                <w:sz w:val="15"/>
                <w:szCs w:val="15"/>
                <w:color w:val="auto"/>
              </w:rPr>
            </w:pP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3,297(15)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297,323</w:t>
            </w: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156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RSUs, career shares or earned but unvested PSUs.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Value based on the closing price of $90.18 on December 31, 2020.</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outstanding grants of PSUs.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9, 2021.</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15, 2021 and the remaining unvested options are scheduled to vest on February 15, 2022.</w:t>
      </w:r>
    </w:p>
    <w:p>
      <w:pPr>
        <w:spacing w:after="0" w:line="66" w:lineRule="exact"/>
        <w:rPr>
          <w:rFonts w:ascii="Arial" w:cs="Arial" w:eastAsia="Arial" w:hAnsi="Arial"/>
          <w:sz w:val="14"/>
          <w:szCs w:val="14"/>
          <w:color w:val="auto"/>
        </w:rPr>
      </w:pPr>
    </w:p>
    <w:p>
      <w:pPr>
        <w:ind w:left="440" w:right="40" w:hanging="433"/>
        <w:spacing w:after="0" w:line="254" w:lineRule="auto"/>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33% of the remaining unvested options vested on February 15, 2021, and 33% of the remaining unvested options are scheduled to vest on each of February 15, 2022 and 2023.</w:t>
      </w:r>
    </w:p>
    <w:p>
      <w:pPr>
        <w:spacing w:after="0" w:line="47" w:lineRule="exact"/>
        <w:rPr>
          <w:rFonts w:ascii="Arial" w:cs="Arial" w:eastAsia="Arial" w:hAnsi="Arial"/>
          <w:sz w:val="14"/>
          <w:szCs w:val="14"/>
          <w:color w:val="auto"/>
        </w:rPr>
      </w:pPr>
    </w:p>
    <w:p>
      <w:pPr>
        <w:ind w:left="440" w:right="60" w:hanging="433"/>
        <w:spacing w:after="0" w:line="254" w:lineRule="auto"/>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25% of the unvested options vested on February 14, 2021 and 25% of the remaining unvested options are scheduled to vest on each of February 14, 2022, 2023 and 2024.</w:t>
      </w:r>
    </w:p>
    <w:p>
      <w:pPr>
        <w:spacing w:after="0" w:line="47"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33% of the remaining unvested options are scheduled to vest on each of August 14, 2021, 2022 and 2023.</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RSUs vested on February 15, 2021.</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RSUs scheduled to vest on February 15, 2022.</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Career shares vested on February 16, 2021.</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RSUs scheduled to vest on August 14, 2022.</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33% of the remaining unvested RSUs are scheduled to vest on each of August 14, 2021, 2022 and 2023.</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RSUs scheduled to vest on February 14, 2023.</w:t>
      </w:r>
    </w:p>
    <w:p>
      <w:pPr>
        <w:spacing w:after="0" w:line="66" w:lineRule="exact"/>
        <w:rPr>
          <w:rFonts w:ascii="Arial" w:cs="Arial" w:eastAsia="Arial" w:hAnsi="Arial"/>
          <w:sz w:val="14"/>
          <w:szCs w:val="14"/>
          <w:color w:val="auto"/>
        </w:rPr>
      </w:pPr>
    </w:p>
    <w:p>
      <w:pPr>
        <w:ind w:left="440" w:right="160" w:hanging="433"/>
        <w:spacing w:after="0" w:line="254" w:lineRule="auto"/>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PSUs represent the actual shares achieved during the 2018-2020 performance period. These shares were earned on February 12, 2021 after the Committee certified the performance achieved as of December 31, 2020.</w:t>
      </w:r>
    </w:p>
    <w:p>
      <w:pPr>
        <w:spacing w:after="0" w:line="47" w:lineRule="exact"/>
        <w:rPr>
          <w:rFonts w:ascii="Arial" w:cs="Arial" w:eastAsia="Arial" w:hAnsi="Arial"/>
          <w:sz w:val="14"/>
          <w:szCs w:val="14"/>
          <w:color w:val="auto"/>
        </w:rPr>
      </w:pPr>
    </w:p>
    <w:p>
      <w:pPr>
        <w:ind w:left="440" w:right="280" w:hanging="433"/>
        <w:spacing w:after="0" w:line="254" w:lineRule="auto"/>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PSUs, reported at the threshold level, scheduled to vest in February 2022 if the Committee certifies that the performance targets are achieved as of December 31, 2021.</w:t>
      </w:r>
    </w:p>
    <w:p>
      <w:pPr>
        <w:spacing w:after="0" w:line="47" w:lineRule="exact"/>
        <w:rPr>
          <w:rFonts w:ascii="Arial" w:cs="Arial" w:eastAsia="Arial" w:hAnsi="Arial"/>
          <w:sz w:val="14"/>
          <w:szCs w:val="14"/>
          <w:color w:val="auto"/>
        </w:rPr>
      </w:pPr>
    </w:p>
    <w:p>
      <w:pPr>
        <w:ind w:left="440" w:right="280" w:hanging="433"/>
        <w:spacing w:after="0" w:line="254" w:lineRule="auto"/>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PSUs, reported at the threshold level, scheduled to vest in February 2023 if the Committee certifies that the performance targets are achieved as of December 31, 2022.</w:t>
      </w:r>
    </w:p>
    <w:p>
      <w:pPr>
        <w:spacing w:after="0" w:line="47" w:lineRule="exact"/>
        <w:rPr>
          <w:rFonts w:ascii="Arial" w:cs="Arial" w:eastAsia="Arial" w:hAnsi="Arial"/>
          <w:sz w:val="14"/>
          <w:szCs w:val="14"/>
          <w:color w:val="auto"/>
        </w:rPr>
      </w:pPr>
    </w:p>
    <w:p>
      <w:pPr>
        <w:ind w:left="440" w:hanging="433"/>
        <w:spacing w:after="0"/>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options fully vested upon Ms. Swan’s retirement on March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53</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Option Exercises and Stock Vested in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40" w:type="dxa"/>
            <w:vAlign w:val="bottom"/>
            <w:tcBorders>
              <w:bottom w:val="single" w:sz="8" w:color="EAEAEA"/>
            </w:tcBorders>
            <w:shd w:val="clear" w:color="auto" w:fill="EAEAEA"/>
          </w:tcPr>
          <w:p>
            <w:pPr>
              <w:spacing w:after="0"/>
              <w:rPr>
                <w:sz w:val="24"/>
                <w:szCs w:val="24"/>
                <w:color w:val="auto"/>
              </w:rPr>
            </w:pPr>
          </w:p>
        </w:tc>
        <w:tc>
          <w:tcPr>
            <w:tcW w:w="3240" w:type="dxa"/>
            <w:vAlign w:val="bottom"/>
            <w:tcBorders>
              <w:bottom w:val="single" w:sz="8" w:color="EAEAEA"/>
            </w:tcBorders>
            <w:shd w:val="clear" w:color="auto" w:fill="EAEAEA"/>
          </w:tcPr>
          <w:p>
            <w:pPr>
              <w:spacing w:after="0"/>
              <w:rPr>
                <w:sz w:val="24"/>
                <w:szCs w:val="24"/>
                <w:color w:val="auto"/>
              </w:rPr>
            </w:pPr>
          </w:p>
        </w:tc>
        <w:tc>
          <w:tcPr>
            <w:tcW w:w="23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b w:val="1"/>
                <w:bCs w:val="1"/>
                <w:color w:val="5D89B4"/>
              </w:rPr>
              <w:t>OPTION AWARDS</w:t>
            </w:r>
          </w:p>
        </w:tc>
        <w:tc>
          <w:tcPr>
            <w:tcW w:w="1160" w:type="dxa"/>
            <w:vAlign w:val="bottom"/>
            <w:tcBorders>
              <w:bottom w:val="single" w:sz="8" w:color="EAEAEA"/>
            </w:tcBorders>
            <w:shd w:val="clear" w:color="auto" w:fill="EAEAEA"/>
          </w:tcPr>
          <w:p>
            <w:pPr>
              <w:spacing w:after="0"/>
              <w:rPr>
                <w:sz w:val="24"/>
                <w:szCs w:val="24"/>
                <w:color w:val="auto"/>
              </w:rPr>
            </w:pPr>
          </w:p>
        </w:tc>
        <w:tc>
          <w:tcPr>
            <w:tcW w:w="500" w:type="dxa"/>
            <w:vAlign w:val="bottom"/>
            <w:tcBorders>
              <w:bottom w:val="single" w:sz="8" w:color="EAEAEA"/>
            </w:tcBorders>
            <w:shd w:val="clear" w:color="auto" w:fill="EAEAEA"/>
          </w:tcPr>
          <w:p>
            <w:pPr>
              <w:spacing w:after="0"/>
              <w:rPr>
                <w:sz w:val="24"/>
                <w:szCs w:val="24"/>
                <w:color w:val="auto"/>
              </w:rPr>
            </w:pPr>
          </w:p>
        </w:tc>
        <w:tc>
          <w:tcPr>
            <w:tcW w:w="3240" w:type="dxa"/>
            <w:vAlign w:val="bottom"/>
            <w:tcBorders>
              <w:bottom w:val="single" w:sz="8" w:color="EAEAEA"/>
            </w:tcBorders>
            <w:gridSpan w:val="3"/>
            <w:shd w:val="clear" w:color="auto" w:fill="EAEAEA"/>
          </w:tcPr>
          <w:p>
            <w:pPr>
              <w:jc w:val="right"/>
              <w:ind w:right="1060"/>
              <w:spacing w:after="0"/>
              <w:rPr>
                <w:sz w:val="20"/>
                <w:szCs w:val="20"/>
                <w:color w:val="auto"/>
              </w:rPr>
            </w:pPr>
            <w:r>
              <w:rPr>
                <w:rFonts w:ascii="Arial" w:cs="Arial" w:eastAsia="Arial" w:hAnsi="Arial"/>
                <w:sz w:val="14"/>
                <w:szCs w:val="14"/>
                <w:b w:val="1"/>
                <w:bCs w:val="1"/>
                <w:color w:val="5D89B4"/>
              </w:rPr>
              <w:t>STOCK AWARDS</w:t>
            </w:r>
          </w:p>
        </w:tc>
      </w:tr>
      <w:tr>
        <w:trPr>
          <w:trHeight w:val="194"/>
        </w:trPr>
        <w:tc>
          <w:tcPr>
            <w:tcW w:w="440" w:type="dxa"/>
            <w:vAlign w:val="bottom"/>
            <w:tcBorders>
              <w:top w:val="single" w:sz="8" w:color="EAEAEA"/>
            </w:tcBorders>
            <w:shd w:val="clear" w:color="auto" w:fill="EAEAEA"/>
          </w:tcPr>
          <w:p>
            <w:pPr>
              <w:spacing w:after="0"/>
              <w:rPr>
                <w:sz w:val="16"/>
                <w:szCs w:val="16"/>
                <w:color w:val="auto"/>
              </w:rPr>
            </w:pPr>
          </w:p>
        </w:tc>
        <w:tc>
          <w:tcPr>
            <w:tcW w:w="3240" w:type="dxa"/>
            <w:vAlign w:val="bottom"/>
            <w:tcBorders>
              <w:top w:val="single" w:sz="8" w:color="EAEAEA"/>
            </w:tcBorders>
            <w:shd w:val="clear" w:color="auto" w:fill="EAEAEA"/>
          </w:tcPr>
          <w:p>
            <w:pPr>
              <w:spacing w:after="0"/>
              <w:rPr>
                <w:sz w:val="16"/>
                <w:szCs w:val="16"/>
                <w:color w:val="auto"/>
              </w:rPr>
            </w:pPr>
          </w:p>
        </w:tc>
        <w:tc>
          <w:tcPr>
            <w:tcW w:w="1540" w:type="dxa"/>
            <w:vAlign w:val="bottom"/>
            <w:tcBorders>
              <w:top w:val="single" w:sz="8" w:color="5D89B4"/>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NUMBER OF</w:t>
            </w:r>
          </w:p>
        </w:tc>
        <w:tc>
          <w:tcPr>
            <w:tcW w:w="800" w:type="dxa"/>
            <w:vAlign w:val="bottom"/>
            <w:tcBorders>
              <w:top w:val="single" w:sz="8" w:color="5D89B4"/>
            </w:tcBorders>
            <w:shd w:val="clear" w:color="auto" w:fill="EAEAEA"/>
          </w:tcPr>
          <w:p>
            <w:pPr>
              <w:spacing w:after="0"/>
              <w:rPr>
                <w:sz w:val="16"/>
                <w:szCs w:val="16"/>
                <w:color w:val="auto"/>
              </w:rPr>
            </w:pPr>
          </w:p>
        </w:tc>
        <w:tc>
          <w:tcPr>
            <w:tcW w:w="1160" w:type="dxa"/>
            <w:vAlign w:val="bottom"/>
            <w:tcBorders>
              <w:top w:val="single" w:sz="8" w:color="5D89B4"/>
            </w:tcBorders>
            <w:shd w:val="clear" w:color="auto" w:fill="EAEAEA"/>
          </w:tcPr>
          <w:p>
            <w:pPr>
              <w:spacing w:after="0"/>
              <w:rPr>
                <w:sz w:val="16"/>
                <w:szCs w:val="16"/>
                <w:color w:val="auto"/>
              </w:rPr>
            </w:pPr>
          </w:p>
        </w:tc>
        <w:tc>
          <w:tcPr>
            <w:tcW w:w="500" w:type="dxa"/>
            <w:vAlign w:val="bottom"/>
            <w:tcBorders>
              <w:top w:val="single" w:sz="8" w:color="EAEAEA"/>
            </w:tcBorders>
            <w:shd w:val="clear" w:color="auto" w:fill="EAEAEA"/>
          </w:tcPr>
          <w:p>
            <w:pPr>
              <w:spacing w:after="0"/>
              <w:rPr>
                <w:sz w:val="16"/>
                <w:szCs w:val="16"/>
                <w:color w:val="auto"/>
              </w:rPr>
            </w:pPr>
          </w:p>
        </w:tc>
        <w:tc>
          <w:tcPr>
            <w:tcW w:w="1440" w:type="dxa"/>
            <w:vAlign w:val="bottom"/>
            <w:tcBorders>
              <w:top w:val="single" w:sz="8" w:color="5D89B4"/>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NUMBER OF</w:t>
            </w:r>
          </w:p>
        </w:tc>
        <w:tc>
          <w:tcPr>
            <w:tcW w:w="1360" w:type="dxa"/>
            <w:vAlign w:val="bottom"/>
            <w:tcBorders>
              <w:top w:val="single" w:sz="8" w:color="5D89B4"/>
            </w:tcBorders>
            <w:shd w:val="clear" w:color="auto" w:fill="EAEAEA"/>
          </w:tcPr>
          <w:p>
            <w:pPr>
              <w:spacing w:after="0"/>
              <w:rPr>
                <w:sz w:val="16"/>
                <w:szCs w:val="16"/>
                <w:color w:val="auto"/>
              </w:rPr>
            </w:pPr>
          </w:p>
        </w:tc>
        <w:tc>
          <w:tcPr>
            <w:tcW w:w="440" w:type="dxa"/>
            <w:vAlign w:val="bottom"/>
            <w:tcBorders>
              <w:top w:val="single" w:sz="8" w:color="5D89B4"/>
            </w:tcBorders>
            <w:shd w:val="clear" w:color="auto" w:fill="EAEAEA"/>
          </w:tcPr>
          <w:p>
            <w:pPr>
              <w:spacing w:after="0"/>
              <w:rPr>
                <w:sz w:val="16"/>
                <w:szCs w:val="16"/>
                <w:color w:val="auto"/>
              </w:rPr>
            </w:pPr>
          </w:p>
        </w:tc>
      </w:tr>
      <w:tr>
        <w:trPr>
          <w:trHeight w:val="160"/>
        </w:trPr>
        <w:tc>
          <w:tcPr>
            <w:tcW w:w="440" w:type="dxa"/>
            <w:vAlign w:val="bottom"/>
            <w:shd w:val="clear" w:color="auto" w:fill="EAEAEA"/>
          </w:tcPr>
          <w:p>
            <w:pPr>
              <w:spacing w:after="0"/>
              <w:rPr>
                <w:sz w:val="13"/>
                <w:szCs w:val="13"/>
                <w:color w:val="auto"/>
              </w:rPr>
            </w:pPr>
          </w:p>
        </w:tc>
        <w:tc>
          <w:tcPr>
            <w:tcW w:w="3240" w:type="dxa"/>
            <w:vAlign w:val="bottom"/>
            <w:shd w:val="clear" w:color="auto" w:fill="EAEAEA"/>
          </w:tcPr>
          <w:p>
            <w:pPr>
              <w:spacing w:after="0"/>
              <w:rPr>
                <w:sz w:val="13"/>
                <w:szCs w:val="13"/>
                <w:color w:val="auto"/>
              </w:rPr>
            </w:pPr>
          </w:p>
        </w:tc>
        <w:tc>
          <w:tcPr>
            <w:tcW w:w="154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SHARES ACQUIRED</w:t>
            </w:r>
          </w:p>
        </w:tc>
        <w:tc>
          <w:tcPr>
            <w:tcW w:w="1960" w:type="dxa"/>
            <w:vAlign w:val="bottom"/>
            <w:gridSpan w:val="2"/>
            <w:shd w:val="clear" w:color="auto" w:fill="EAEAEA"/>
          </w:tcPr>
          <w:p>
            <w:pPr>
              <w:jc w:val="right"/>
              <w:spacing w:after="0"/>
              <w:rPr>
                <w:sz w:val="20"/>
                <w:szCs w:val="20"/>
                <w:color w:val="auto"/>
              </w:rPr>
            </w:pPr>
            <w:r>
              <w:rPr>
                <w:rFonts w:ascii="Arial" w:cs="Arial" w:eastAsia="Arial" w:hAnsi="Arial"/>
                <w:sz w:val="14"/>
                <w:szCs w:val="14"/>
                <w:b w:val="1"/>
                <w:bCs w:val="1"/>
                <w:color w:val="5D89B4"/>
              </w:rPr>
              <w:t>VALUE REALIZED ON</w:t>
            </w:r>
          </w:p>
        </w:tc>
        <w:tc>
          <w:tcPr>
            <w:tcW w:w="500" w:type="dxa"/>
            <w:vAlign w:val="bottom"/>
            <w:shd w:val="clear" w:color="auto" w:fill="EAEAEA"/>
          </w:tcPr>
          <w:p>
            <w:pPr>
              <w:spacing w:after="0"/>
              <w:rPr>
                <w:sz w:val="13"/>
                <w:szCs w:val="13"/>
                <w:color w:val="auto"/>
              </w:rPr>
            </w:pPr>
          </w:p>
        </w:tc>
        <w:tc>
          <w:tcPr>
            <w:tcW w:w="14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SHARES ACQUIRED</w:t>
            </w:r>
          </w:p>
        </w:tc>
        <w:tc>
          <w:tcPr>
            <w:tcW w:w="1800" w:type="dxa"/>
            <w:vAlign w:val="bottom"/>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VALUE REALIZED</w:t>
            </w:r>
          </w:p>
        </w:tc>
      </w:tr>
      <w:tr>
        <w:trPr>
          <w:trHeight w:val="160"/>
        </w:trPr>
        <w:tc>
          <w:tcPr>
            <w:tcW w:w="440" w:type="dxa"/>
            <w:vAlign w:val="bottom"/>
            <w:shd w:val="clear" w:color="auto" w:fill="EAEAEA"/>
          </w:tcPr>
          <w:p>
            <w:pPr>
              <w:spacing w:after="0"/>
              <w:rPr>
                <w:sz w:val="13"/>
                <w:szCs w:val="13"/>
                <w:color w:val="auto"/>
              </w:rPr>
            </w:pPr>
          </w:p>
        </w:tc>
        <w:tc>
          <w:tcPr>
            <w:tcW w:w="3240" w:type="dxa"/>
            <w:vAlign w:val="bottom"/>
            <w:shd w:val="clear" w:color="auto" w:fill="EAEAEA"/>
          </w:tcPr>
          <w:p>
            <w:pPr>
              <w:spacing w:after="0"/>
              <w:rPr>
                <w:sz w:val="13"/>
                <w:szCs w:val="13"/>
                <w:color w:val="auto"/>
              </w:rPr>
            </w:pPr>
          </w:p>
        </w:tc>
        <w:tc>
          <w:tcPr>
            <w:tcW w:w="154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ON EXERCISE</w:t>
            </w:r>
          </w:p>
        </w:tc>
        <w:tc>
          <w:tcPr>
            <w:tcW w:w="800" w:type="dxa"/>
            <w:vAlign w:val="bottom"/>
            <w:shd w:val="clear" w:color="auto" w:fill="EAEAEA"/>
          </w:tcPr>
          <w:p>
            <w:pPr>
              <w:spacing w:after="0"/>
              <w:rPr>
                <w:sz w:val="13"/>
                <w:szCs w:val="13"/>
                <w:color w:val="auto"/>
              </w:rPr>
            </w:pPr>
          </w:p>
        </w:tc>
        <w:tc>
          <w:tcPr>
            <w:tcW w:w="11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EXERCISE</w:t>
            </w:r>
          </w:p>
        </w:tc>
        <w:tc>
          <w:tcPr>
            <w:tcW w:w="500" w:type="dxa"/>
            <w:vAlign w:val="bottom"/>
            <w:shd w:val="clear" w:color="auto" w:fill="EAEAEA"/>
          </w:tcPr>
          <w:p>
            <w:pPr>
              <w:spacing w:after="0"/>
              <w:rPr>
                <w:sz w:val="13"/>
                <w:szCs w:val="13"/>
                <w:color w:val="auto"/>
              </w:rPr>
            </w:pPr>
          </w:p>
        </w:tc>
        <w:tc>
          <w:tcPr>
            <w:tcW w:w="14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ON VESTING</w:t>
            </w:r>
          </w:p>
        </w:tc>
        <w:tc>
          <w:tcPr>
            <w:tcW w:w="1800" w:type="dxa"/>
            <w:vAlign w:val="bottom"/>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ON VESTING</w:t>
            </w:r>
          </w:p>
        </w:tc>
      </w:tr>
      <w:tr>
        <w:trPr>
          <w:trHeight w:val="234"/>
        </w:trPr>
        <w:tc>
          <w:tcPr>
            <w:tcW w:w="3680" w:type="dxa"/>
            <w:vAlign w:val="bottom"/>
            <w:tcBorders>
              <w:bottom w:val="single" w:sz="8" w:color="EAEAEA"/>
            </w:tcBorders>
            <w:gridSpan w:val="2"/>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 POSITION</w:t>
            </w:r>
          </w:p>
        </w:tc>
        <w:tc>
          <w:tcPr>
            <w:tcW w:w="154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w:t>
            </w:r>
          </w:p>
        </w:tc>
        <w:tc>
          <w:tcPr>
            <w:tcW w:w="800" w:type="dxa"/>
            <w:vAlign w:val="bottom"/>
            <w:tcBorders>
              <w:bottom w:val="single" w:sz="8" w:color="EAEAEA"/>
            </w:tcBorders>
            <w:shd w:val="clear" w:color="auto" w:fill="EAEAEA"/>
          </w:tcPr>
          <w:p>
            <w:pPr>
              <w:spacing w:after="0"/>
              <w:rPr>
                <w:sz w:val="20"/>
                <w:szCs w:val="20"/>
                <w:color w:val="auto"/>
              </w:rPr>
            </w:pPr>
          </w:p>
        </w:tc>
        <w:tc>
          <w:tcPr>
            <w:tcW w:w="11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w:t>
            </w:r>
          </w:p>
        </w:tc>
        <w:tc>
          <w:tcPr>
            <w:tcW w:w="19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b w:val="1"/>
                <w:bCs w:val="1"/>
                <w:color w:val="5D89B4"/>
              </w:rPr>
              <w:t>(#)(1)</w:t>
            </w:r>
          </w:p>
        </w:tc>
        <w:tc>
          <w:tcPr>
            <w:tcW w:w="180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w:t>
            </w:r>
          </w:p>
        </w:tc>
      </w:tr>
      <w:tr>
        <w:trPr>
          <w:trHeight w:val="232"/>
        </w:trPr>
        <w:tc>
          <w:tcPr>
            <w:tcW w:w="3680" w:type="dxa"/>
            <w:vAlign w:val="bottom"/>
            <w:gridSpan w:val="2"/>
          </w:tcPr>
          <w:p>
            <w:pPr>
              <w:ind w:left="80"/>
              <w:spacing w:after="0"/>
              <w:rPr>
                <w:sz w:val="20"/>
                <w:szCs w:val="20"/>
                <w:color w:val="auto"/>
              </w:rPr>
            </w:pPr>
            <w:r>
              <w:rPr>
                <w:rFonts w:ascii="Arial" w:cs="Arial" w:eastAsia="Arial" w:hAnsi="Arial"/>
                <w:sz w:val="14"/>
                <w:szCs w:val="14"/>
                <w:b w:val="1"/>
                <w:bCs w:val="1"/>
                <w:color w:val="auto"/>
              </w:rPr>
              <w:t>Jonas Prising</w:t>
            </w: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86"/>
        </w:trPr>
        <w:tc>
          <w:tcPr>
            <w:tcW w:w="3680" w:type="dxa"/>
            <w:vAlign w:val="bottom"/>
            <w:gridSpan w:val="2"/>
          </w:tcPr>
          <w:p>
            <w:pPr>
              <w:ind w:left="80"/>
              <w:spacing w:after="0"/>
              <w:rPr>
                <w:sz w:val="20"/>
                <w:szCs w:val="20"/>
                <w:color w:val="auto"/>
              </w:rPr>
            </w:pPr>
            <w:r>
              <w:rPr>
                <w:rFonts w:ascii="Arial" w:cs="Arial" w:eastAsia="Arial" w:hAnsi="Arial"/>
                <w:sz w:val="14"/>
                <w:szCs w:val="14"/>
                <w:color w:val="333333"/>
              </w:rPr>
              <w:t>CEO</w:t>
            </w:r>
          </w:p>
        </w:tc>
        <w:tc>
          <w:tcPr>
            <w:tcW w:w="1540" w:type="dxa"/>
            <w:vAlign w:val="bottom"/>
          </w:tcPr>
          <w:p>
            <w:pPr>
              <w:jc w:val="right"/>
              <w:ind w:right="66"/>
              <w:spacing w:after="0"/>
              <w:rPr>
                <w:sz w:val="20"/>
                <w:szCs w:val="20"/>
                <w:color w:val="auto"/>
              </w:rPr>
            </w:pPr>
            <w:r>
              <w:rPr>
                <w:rFonts w:ascii="Arial" w:cs="Arial" w:eastAsia="Arial" w:hAnsi="Arial"/>
                <w:sz w:val="15"/>
                <w:szCs w:val="15"/>
                <w:color w:val="auto"/>
              </w:rPr>
              <w:t>51,629</w:t>
            </w: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2,144,609</w:t>
            </w: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63,454</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5,822,354</w:t>
            </w:r>
          </w:p>
        </w:tc>
      </w:tr>
      <w:tr>
        <w:trPr>
          <w:trHeight w:val="50"/>
        </w:trPr>
        <w:tc>
          <w:tcPr>
            <w:tcW w:w="440" w:type="dxa"/>
            <w:vAlign w:val="bottom"/>
            <w:tcBorders>
              <w:bottom w:val="single" w:sz="8" w:color="5D89B4"/>
            </w:tcBorders>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3680" w:type="dxa"/>
            <w:vAlign w:val="bottom"/>
            <w:gridSpan w:val="2"/>
          </w:tcPr>
          <w:p>
            <w:pPr>
              <w:ind w:left="80"/>
              <w:spacing w:after="0"/>
              <w:rPr>
                <w:sz w:val="20"/>
                <w:szCs w:val="20"/>
                <w:color w:val="auto"/>
              </w:rPr>
            </w:pPr>
            <w:r>
              <w:rPr>
                <w:rFonts w:ascii="Arial" w:cs="Arial" w:eastAsia="Arial" w:hAnsi="Arial"/>
                <w:sz w:val="14"/>
                <w:szCs w:val="14"/>
                <w:b w:val="1"/>
                <w:bCs w:val="1"/>
                <w:color w:val="auto"/>
              </w:rPr>
              <w:t>John T. McGinnis</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3680" w:type="dxa"/>
            <w:vAlign w:val="bottom"/>
            <w:gridSpan w:val="2"/>
          </w:tcPr>
          <w:p>
            <w:pPr>
              <w:ind w:left="80"/>
              <w:spacing w:after="0"/>
              <w:rPr>
                <w:sz w:val="20"/>
                <w:szCs w:val="20"/>
                <w:color w:val="auto"/>
              </w:rPr>
            </w:pPr>
            <w:r>
              <w:rPr>
                <w:rFonts w:ascii="Arial" w:cs="Arial" w:eastAsia="Arial" w:hAnsi="Arial"/>
                <w:sz w:val="14"/>
                <w:szCs w:val="14"/>
                <w:color w:val="333333"/>
              </w:rPr>
              <w:t>CFO</w:t>
            </w:r>
          </w:p>
        </w:tc>
        <w:tc>
          <w:tcPr>
            <w:tcW w:w="15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17,296</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1,587,021</w:t>
            </w:r>
          </w:p>
        </w:tc>
      </w:tr>
      <w:tr>
        <w:trPr>
          <w:trHeight w:val="50"/>
        </w:trPr>
        <w:tc>
          <w:tcPr>
            <w:tcW w:w="440" w:type="dxa"/>
            <w:vAlign w:val="bottom"/>
            <w:tcBorders>
              <w:bottom w:val="single" w:sz="8" w:color="5D89B4"/>
            </w:tcBorders>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3680" w:type="dxa"/>
            <w:vAlign w:val="bottom"/>
            <w:gridSpan w:val="2"/>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3680" w:type="dxa"/>
            <w:vAlign w:val="bottom"/>
            <w:gridSpan w:val="2"/>
          </w:tcPr>
          <w:p>
            <w:pPr>
              <w:ind w:left="80"/>
              <w:spacing w:after="0"/>
              <w:rPr>
                <w:sz w:val="20"/>
                <w:szCs w:val="20"/>
                <w:color w:val="auto"/>
              </w:rPr>
            </w:pPr>
            <w:r>
              <w:rPr>
                <w:rFonts w:ascii="Arial" w:cs="Arial" w:eastAsia="Arial" w:hAnsi="Arial"/>
                <w:sz w:val="14"/>
                <w:szCs w:val="14"/>
                <w:color w:val="333333"/>
              </w:rPr>
              <w:t>Chief People and Culture Officer</w:t>
            </w:r>
          </w:p>
        </w:tc>
        <w:tc>
          <w:tcPr>
            <w:tcW w:w="15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3,104</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239,598</w:t>
            </w:r>
          </w:p>
        </w:tc>
      </w:tr>
      <w:tr>
        <w:trPr>
          <w:trHeight w:val="50"/>
        </w:trPr>
        <w:tc>
          <w:tcPr>
            <w:tcW w:w="440" w:type="dxa"/>
            <w:vAlign w:val="bottom"/>
            <w:tcBorders>
              <w:bottom w:val="single" w:sz="8" w:color="5D89B4"/>
            </w:tcBorders>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3680" w:type="dxa"/>
            <w:vAlign w:val="bottom"/>
            <w:gridSpan w:val="2"/>
          </w:tcPr>
          <w:p>
            <w:pPr>
              <w:ind w:left="80"/>
              <w:spacing w:after="0"/>
              <w:rPr>
                <w:sz w:val="20"/>
                <w:szCs w:val="20"/>
                <w:color w:val="auto"/>
              </w:rPr>
            </w:pPr>
            <w:r>
              <w:rPr>
                <w:rFonts w:ascii="Arial" w:cs="Arial" w:eastAsia="Arial" w:hAnsi="Arial"/>
                <w:sz w:val="14"/>
                <w:szCs w:val="14"/>
                <w:b w:val="1"/>
                <w:bCs w:val="1"/>
                <w:color w:val="auto"/>
              </w:rPr>
              <w:t>Richard Buchband</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3680" w:type="dxa"/>
            <w:vAlign w:val="bottom"/>
            <w:gridSpan w:val="2"/>
          </w:tcPr>
          <w:p>
            <w:pPr>
              <w:ind w:left="80"/>
              <w:spacing w:after="0"/>
              <w:rPr>
                <w:sz w:val="20"/>
                <w:szCs w:val="20"/>
                <w:color w:val="auto"/>
              </w:rPr>
            </w:pPr>
            <w:r>
              <w:rPr>
                <w:rFonts w:ascii="Arial" w:cs="Arial" w:eastAsia="Arial" w:hAnsi="Arial"/>
                <w:sz w:val="14"/>
                <w:szCs w:val="14"/>
                <w:color w:val="333333"/>
              </w:rPr>
              <w:t>SVP, General Counsel and Secretary</w:t>
            </w:r>
          </w:p>
        </w:tc>
        <w:tc>
          <w:tcPr>
            <w:tcW w:w="1540" w:type="dxa"/>
            <w:vAlign w:val="bottom"/>
          </w:tcPr>
          <w:p>
            <w:pPr>
              <w:jc w:val="right"/>
              <w:ind w:right="66"/>
              <w:spacing w:after="0"/>
              <w:rPr>
                <w:sz w:val="20"/>
                <w:szCs w:val="20"/>
                <w:color w:val="auto"/>
              </w:rPr>
            </w:pPr>
            <w:r>
              <w:rPr>
                <w:rFonts w:ascii="Arial" w:cs="Arial" w:eastAsia="Arial" w:hAnsi="Arial"/>
                <w:sz w:val="15"/>
                <w:szCs w:val="15"/>
                <w:color w:val="auto"/>
              </w:rPr>
              <w:t>5,089</w:t>
            </w: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122,327</w:t>
            </w: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6,016</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557,841</w:t>
            </w:r>
          </w:p>
        </w:tc>
      </w:tr>
      <w:tr>
        <w:trPr>
          <w:trHeight w:val="50"/>
        </w:trPr>
        <w:tc>
          <w:tcPr>
            <w:tcW w:w="440" w:type="dxa"/>
            <w:vAlign w:val="bottom"/>
            <w:tcBorders>
              <w:bottom w:val="single" w:sz="8" w:color="5D89B4"/>
            </w:tcBorders>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36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Mara E. Swan</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3680" w:type="dxa"/>
            <w:vAlign w:val="bottom"/>
            <w:gridSpan w:val="2"/>
          </w:tcPr>
          <w:p>
            <w:pPr>
              <w:ind w:left="80"/>
              <w:spacing w:after="0"/>
              <w:rPr>
                <w:sz w:val="20"/>
                <w:szCs w:val="20"/>
                <w:color w:val="auto"/>
              </w:rPr>
            </w:pPr>
            <w:r>
              <w:rPr>
                <w:rFonts w:ascii="Arial" w:cs="Arial" w:eastAsia="Arial" w:hAnsi="Arial"/>
                <w:sz w:val="14"/>
                <w:szCs w:val="14"/>
                <w:color w:val="333333"/>
              </w:rPr>
              <w:t>Former EVP, Global Strategy and Talent</w:t>
            </w:r>
          </w:p>
        </w:tc>
        <w:tc>
          <w:tcPr>
            <w:tcW w:w="15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29,138</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2,333,031</w:t>
            </w:r>
          </w:p>
        </w:tc>
      </w:tr>
      <w:tr>
        <w:trPr>
          <w:trHeight w:val="50"/>
        </w:trPr>
        <w:tc>
          <w:tcPr>
            <w:tcW w:w="440" w:type="dxa"/>
            <w:vAlign w:val="bottom"/>
            <w:tcBorders>
              <w:bottom w:val="single" w:sz="8" w:color="5D89B4"/>
            </w:tcBorders>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89"/>
        </w:trPr>
        <w:tc>
          <w:tcPr>
            <w:tcW w:w="3680" w:type="dxa"/>
            <w:vAlign w:val="bottom"/>
            <w:gridSpan w:val="2"/>
          </w:tcPr>
          <w:p>
            <w:pPr>
              <w:spacing w:after="0"/>
              <w:rPr>
                <w:sz w:val="20"/>
                <w:szCs w:val="20"/>
                <w:color w:val="auto"/>
              </w:rPr>
            </w:pPr>
            <w:r>
              <w:rPr>
                <w:rFonts w:ascii="Arial" w:cs="Arial" w:eastAsia="Arial" w:hAnsi="Arial"/>
                <w:sz w:val="14"/>
                <w:szCs w:val="14"/>
                <w:color w:val="auto"/>
              </w:rPr>
              <w:t>(1)    Includes vesting of RSUs and PSUs as follows:</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100" w:type="dxa"/>
            <w:vAlign w:val="bottom"/>
            <w:gridSpan w:val="3"/>
          </w:tcPr>
          <w:p>
            <w:pPr>
              <w:spacing w:after="0"/>
              <w:rPr>
                <w:sz w:val="16"/>
                <w:szCs w:val="16"/>
                <w:color w:val="auto"/>
              </w:rPr>
            </w:pPr>
          </w:p>
        </w:tc>
        <w:tc>
          <w:tcPr>
            <w:tcW w:w="1800" w:type="dxa"/>
            <w:vAlign w:val="bottom"/>
            <w:gridSpan w:val="2"/>
          </w:tcPr>
          <w:p>
            <w:pPr>
              <w:spacing w:after="0"/>
              <w:rPr>
                <w:sz w:val="16"/>
                <w:szCs w:val="16"/>
                <w:color w:val="auto"/>
              </w:rPr>
            </w:pPr>
          </w:p>
        </w:tc>
      </w:tr>
      <w:tr>
        <w:trPr>
          <w:trHeight w:val="274"/>
        </w:trPr>
        <w:tc>
          <w:tcPr>
            <w:tcW w:w="440" w:type="dxa"/>
            <w:vAlign w:val="bottom"/>
          </w:tcPr>
          <w:p>
            <w:pPr>
              <w:spacing w:after="0"/>
              <w:rPr>
                <w:sz w:val="23"/>
                <w:szCs w:val="23"/>
                <w:color w:val="auto"/>
              </w:rPr>
            </w:pPr>
          </w:p>
        </w:tc>
        <w:tc>
          <w:tcPr>
            <w:tcW w:w="32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1540" w:type="dxa"/>
            <w:vAlign w:val="bottom"/>
            <w:tcBorders>
              <w:bottom w:val="single" w:sz="8" w:color="EAEAEA"/>
            </w:tcBorders>
            <w:shd w:val="clear" w:color="auto" w:fill="EAEAEA"/>
          </w:tcPr>
          <w:p>
            <w:pPr>
              <w:spacing w:after="0"/>
              <w:rPr>
                <w:sz w:val="23"/>
                <w:szCs w:val="23"/>
                <w:color w:val="auto"/>
              </w:rPr>
            </w:pPr>
          </w:p>
        </w:tc>
        <w:tc>
          <w:tcPr>
            <w:tcW w:w="800" w:type="dxa"/>
            <w:vAlign w:val="bottom"/>
            <w:tcBorders>
              <w:bottom w:val="single" w:sz="8" w:color="EAEAEA"/>
            </w:tcBorders>
            <w:shd w:val="clear" w:color="auto" w:fill="EAEAEA"/>
          </w:tcPr>
          <w:p>
            <w:pPr>
              <w:spacing w:after="0"/>
              <w:rPr>
                <w:sz w:val="23"/>
                <w:szCs w:val="23"/>
                <w:color w:val="auto"/>
              </w:rPr>
            </w:pPr>
          </w:p>
        </w:tc>
        <w:tc>
          <w:tcPr>
            <w:tcW w:w="3100" w:type="dxa"/>
            <w:vAlign w:val="bottom"/>
            <w:tcBorders>
              <w:bottom w:val="single" w:sz="8" w:color="EAEAEA"/>
            </w:tcBorders>
            <w:gridSpan w:val="3"/>
            <w:shd w:val="clear" w:color="auto" w:fill="EAEAEA"/>
          </w:tcPr>
          <w:p>
            <w:pPr>
              <w:jc w:val="right"/>
              <w:ind w:right="1349"/>
              <w:spacing w:after="0"/>
              <w:rPr>
                <w:sz w:val="20"/>
                <w:szCs w:val="20"/>
                <w:color w:val="auto"/>
              </w:rPr>
            </w:pPr>
            <w:r>
              <w:rPr>
                <w:rFonts w:ascii="Arial" w:cs="Arial" w:eastAsia="Arial" w:hAnsi="Arial"/>
                <w:sz w:val="14"/>
                <w:szCs w:val="14"/>
                <w:b w:val="1"/>
                <w:bCs w:val="1"/>
                <w:color w:val="5D89B4"/>
              </w:rPr>
              <w:t>NUMBER OF RSU</w:t>
            </w:r>
            <w:r>
              <w:rPr>
                <w:rFonts w:ascii="Arial" w:cs="Arial" w:eastAsia="Arial" w:hAnsi="Arial"/>
                <w:sz w:val="10"/>
                <w:szCs w:val="10"/>
                <w:b w:val="1"/>
                <w:bCs w:val="1"/>
                <w:color w:val="5D89B4"/>
              </w:rPr>
              <w:t>S</w:t>
            </w:r>
          </w:p>
        </w:tc>
        <w:tc>
          <w:tcPr>
            <w:tcW w:w="13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NUMBER OF PSU</w:t>
            </w:r>
            <w:r>
              <w:rPr>
                <w:rFonts w:ascii="Arial" w:cs="Arial" w:eastAsia="Arial" w:hAnsi="Arial"/>
                <w:sz w:val="10"/>
                <w:szCs w:val="10"/>
                <w:b w:val="1"/>
                <w:bCs w:val="1"/>
                <w:color w:val="5D89B4"/>
              </w:rPr>
              <w:t>S</w:t>
            </w:r>
          </w:p>
        </w:tc>
        <w:tc>
          <w:tcPr>
            <w:tcW w:w="440" w:type="dxa"/>
            <w:vAlign w:val="bottom"/>
          </w:tcPr>
          <w:p>
            <w:pPr>
              <w:spacing w:after="0"/>
              <w:rPr>
                <w:sz w:val="23"/>
                <w:szCs w:val="23"/>
                <w:color w:val="auto"/>
              </w:rPr>
            </w:pPr>
          </w:p>
        </w:tc>
      </w:tr>
      <w:tr>
        <w:trPr>
          <w:trHeight w:val="245"/>
        </w:trPr>
        <w:tc>
          <w:tcPr>
            <w:tcW w:w="440" w:type="dxa"/>
            <w:vAlign w:val="bottom"/>
          </w:tcPr>
          <w:p>
            <w:pPr>
              <w:spacing w:after="0"/>
              <w:rPr>
                <w:sz w:val="21"/>
                <w:szCs w:val="21"/>
                <w:color w:val="auto"/>
              </w:rPr>
            </w:pP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940" w:type="dxa"/>
            <w:vAlign w:val="bottom"/>
            <w:gridSpan w:val="2"/>
          </w:tcPr>
          <w:p>
            <w:pPr>
              <w:jc w:val="right"/>
              <w:ind w:right="1349"/>
              <w:spacing w:after="0"/>
              <w:rPr>
                <w:sz w:val="20"/>
                <w:szCs w:val="20"/>
                <w:color w:val="auto"/>
              </w:rPr>
            </w:pPr>
            <w:r>
              <w:rPr>
                <w:rFonts w:ascii="Arial" w:cs="Arial" w:eastAsia="Arial" w:hAnsi="Arial"/>
                <w:sz w:val="15"/>
                <w:szCs w:val="15"/>
                <w:color w:val="auto"/>
              </w:rPr>
              <w:t>18,562</w:t>
            </w:r>
          </w:p>
        </w:tc>
        <w:tc>
          <w:tcPr>
            <w:tcW w:w="1360" w:type="dxa"/>
            <w:vAlign w:val="bottom"/>
          </w:tcPr>
          <w:p>
            <w:pPr>
              <w:jc w:val="right"/>
              <w:spacing w:after="0"/>
              <w:rPr>
                <w:sz w:val="20"/>
                <w:szCs w:val="20"/>
                <w:color w:val="auto"/>
              </w:rPr>
            </w:pPr>
            <w:r>
              <w:rPr>
                <w:rFonts w:ascii="Arial" w:cs="Arial" w:eastAsia="Arial" w:hAnsi="Arial"/>
                <w:sz w:val="15"/>
                <w:szCs w:val="15"/>
                <w:color w:val="auto"/>
              </w:rPr>
              <w:t>44,892</w:t>
            </w:r>
          </w:p>
        </w:tc>
        <w:tc>
          <w:tcPr>
            <w:tcW w:w="440" w:type="dxa"/>
            <w:vAlign w:val="bottom"/>
          </w:tcPr>
          <w:p>
            <w:pPr>
              <w:spacing w:after="0"/>
              <w:rPr>
                <w:sz w:val="21"/>
                <w:szCs w:val="21"/>
                <w:color w:val="auto"/>
              </w:rPr>
            </w:pPr>
          </w:p>
        </w:tc>
      </w:tr>
      <w:tr>
        <w:trPr>
          <w:trHeight w:val="50"/>
        </w:trPr>
        <w:tc>
          <w:tcPr>
            <w:tcW w:w="440" w:type="dxa"/>
            <w:vAlign w:val="bottom"/>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gridSpan w:val="2"/>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40" w:type="dxa"/>
            <w:vAlign w:val="bottom"/>
            <w:gridSpan w:val="2"/>
          </w:tcPr>
          <w:p>
            <w:pPr>
              <w:jc w:val="right"/>
              <w:ind w:right="1349"/>
              <w:spacing w:after="0"/>
              <w:rPr>
                <w:sz w:val="20"/>
                <w:szCs w:val="20"/>
                <w:color w:val="auto"/>
              </w:rPr>
            </w:pPr>
            <w:r>
              <w:rPr>
                <w:rFonts w:ascii="Arial" w:cs="Arial" w:eastAsia="Arial" w:hAnsi="Arial"/>
                <w:sz w:val="15"/>
                <w:szCs w:val="15"/>
                <w:color w:val="auto"/>
              </w:rPr>
              <w:t>5,053</w:t>
            </w:r>
          </w:p>
        </w:tc>
        <w:tc>
          <w:tcPr>
            <w:tcW w:w="1360" w:type="dxa"/>
            <w:vAlign w:val="bottom"/>
          </w:tcPr>
          <w:p>
            <w:pPr>
              <w:jc w:val="right"/>
              <w:spacing w:after="0"/>
              <w:rPr>
                <w:sz w:val="20"/>
                <w:szCs w:val="20"/>
                <w:color w:val="auto"/>
              </w:rPr>
            </w:pPr>
            <w:r>
              <w:rPr>
                <w:rFonts w:ascii="Arial" w:cs="Arial" w:eastAsia="Arial" w:hAnsi="Arial"/>
                <w:sz w:val="15"/>
                <w:szCs w:val="15"/>
                <w:color w:val="auto"/>
              </w:rPr>
              <w:t>12,243</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gridSpan w:val="2"/>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40" w:type="dxa"/>
            <w:vAlign w:val="bottom"/>
            <w:gridSpan w:val="2"/>
          </w:tcPr>
          <w:p>
            <w:pPr>
              <w:jc w:val="right"/>
              <w:ind w:right="1349"/>
              <w:spacing w:after="0"/>
              <w:rPr>
                <w:sz w:val="20"/>
                <w:szCs w:val="20"/>
                <w:color w:val="auto"/>
              </w:rPr>
            </w:pPr>
            <w:r>
              <w:rPr>
                <w:rFonts w:ascii="Arial" w:cs="Arial" w:eastAsia="Arial" w:hAnsi="Arial"/>
                <w:sz w:val="15"/>
                <w:szCs w:val="15"/>
                <w:color w:val="auto"/>
              </w:rPr>
              <w:t>3,104</w:t>
            </w:r>
          </w:p>
        </w:tc>
        <w:tc>
          <w:tcPr>
            <w:tcW w:w="18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r>
      <w:tr>
        <w:trPr>
          <w:trHeight w:val="50"/>
        </w:trPr>
        <w:tc>
          <w:tcPr>
            <w:tcW w:w="440" w:type="dxa"/>
            <w:vAlign w:val="bottom"/>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gridSpan w:val="2"/>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40" w:type="dxa"/>
            <w:vAlign w:val="bottom"/>
            <w:gridSpan w:val="2"/>
          </w:tcPr>
          <w:p>
            <w:pPr>
              <w:jc w:val="right"/>
              <w:ind w:right="1349"/>
              <w:spacing w:after="0"/>
              <w:rPr>
                <w:sz w:val="20"/>
                <w:szCs w:val="20"/>
                <w:color w:val="auto"/>
              </w:rPr>
            </w:pPr>
            <w:r>
              <w:rPr>
                <w:rFonts w:ascii="Arial" w:cs="Arial" w:eastAsia="Arial" w:hAnsi="Arial"/>
                <w:sz w:val="15"/>
                <w:szCs w:val="15"/>
                <w:color w:val="auto"/>
              </w:rPr>
              <w:t>1,757</w:t>
            </w:r>
          </w:p>
        </w:tc>
        <w:tc>
          <w:tcPr>
            <w:tcW w:w="1360" w:type="dxa"/>
            <w:vAlign w:val="bottom"/>
          </w:tcPr>
          <w:p>
            <w:pPr>
              <w:jc w:val="right"/>
              <w:spacing w:after="0"/>
              <w:rPr>
                <w:sz w:val="20"/>
                <w:szCs w:val="20"/>
                <w:color w:val="auto"/>
              </w:rPr>
            </w:pPr>
            <w:r>
              <w:rPr>
                <w:rFonts w:ascii="Arial" w:cs="Arial" w:eastAsia="Arial" w:hAnsi="Arial"/>
                <w:sz w:val="15"/>
                <w:szCs w:val="15"/>
                <w:color w:val="auto"/>
              </w:rPr>
              <w:t>4,259</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gridSpan w:val="2"/>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3240" w:type="dxa"/>
            <w:vAlign w:val="bottom"/>
          </w:tcPr>
          <w:p>
            <w:pPr>
              <w:ind w:left="80"/>
              <w:spacing w:after="0"/>
              <w:rPr>
                <w:sz w:val="20"/>
                <w:szCs w:val="20"/>
                <w:color w:val="auto"/>
              </w:rPr>
            </w:pPr>
            <w:r>
              <w:rPr>
                <w:rFonts w:ascii="Arial" w:cs="Arial" w:eastAsia="Arial" w:hAnsi="Arial"/>
                <w:sz w:val="14"/>
                <w:szCs w:val="14"/>
                <w:b w:val="1"/>
                <w:bCs w:val="1"/>
                <w:color w:val="auto"/>
              </w:rPr>
              <w:t>Mara E. Swan</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40" w:type="dxa"/>
            <w:vAlign w:val="bottom"/>
            <w:gridSpan w:val="2"/>
          </w:tcPr>
          <w:p>
            <w:pPr>
              <w:jc w:val="right"/>
              <w:ind w:right="1349"/>
              <w:spacing w:after="0"/>
              <w:rPr>
                <w:sz w:val="20"/>
                <w:szCs w:val="20"/>
                <w:color w:val="auto"/>
              </w:rPr>
            </w:pPr>
            <w:r>
              <w:rPr>
                <w:rFonts w:ascii="Arial" w:cs="Arial" w:eastAsia="Arial" w:hAnsi="Arial"/>
                <w:sz w:val="15"/>
                <w:szCs w:val="15"/>
                <w:color w:val="auto"/>
              </w:rPr>
              <w:t>21,952</w:t>
            </w:r>
          </w:p>
        </w:tc>
        <w:tc>
          <w:tcPr>
            <w:tcW w:w="1360" w:type="dxa"/>
            <w:vAlign w:val="bottom"/>
          </w:tcPr>
          <w:p>
            <w:pPr>
              <w:jc w:val="right"/>
              <w:spacing w:after="0"/>
              <w:rPr>
                <w:sz w:val="20"/>
                <w:szCs w:val="20"/>
                <w:color w:val="auto"/>
              </w:rPr>
            </w:pPr>
            <w:r>
              <w:rPr>
                <w:rFonts w:ascii="Arial" w:cs="Arial" w:eastAsia="Arial" w:hAnsi="Arial"/>
                <w:sz w:val="15"/>
                <w:szCs w:val="15"/>
                <w:color w:val="auto"/>
              </w:rPr>
              <w:t>7,186</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324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3100" w:type="dxa"/>
            <w:vAlign w:val="bottom"/>
            <w:tcBorders>
              <w:bottom w:val="single" w:sz="8" w:color="5D89B4"/>
            </w:tcBorders>
            <w:gridSpan w:val="3"/>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167"/>
        </w:trPr>
        <w:tc>
          <w:tcPr>
            <w:tcW w:w="440" w:type="dxa"/>
            <w:vAlign w:val="bottom"/>
            <w:tcBorders>
              <w:bottom w:val="single" w:sz="8" w:color="5D89B4"/>
            </w:tcBorders>
          </w:tcPr>
          <w:p>
            <w:pPr>
              <w:spacing w:after="0"/>
              <w:rPr>
                <w:sz w:val="14"/>
                <w:szCs w:val="14"/>
                <w:color w:val="auto"/>
              </w:rPr>
            </w:pPr>
          </w:p>
        </w:tc>
        <w:tc>
          <w:tcPr>
            <w:tcW w:w="3240" w:type="dxa"/>
            <w:vAlign w:val="bottom"/>
            <w:tcBorders>
              <w:bottom w:val="single" w:sz="8" w:color="5D89B4"/>
            </w:tcBorders>
          </w:tcPr>
          <w:p>
            <w:pPr>
              <w:spacing w:after="0"/>
              <w:rPr>
                <w:sz w:val="14"/>
                <w:szCs w:val="14"/>
                <w:color w:val="auto"/>
              </w:rPr>
            </w:pPr>
          </w:p>
        </w:tc>
        <w:tc>
          <w:tcPr>
            <w:tcW w:w="1540" w:type="dxa"/>
            <w:vAlign w:val="bottom"/>
            <w:tcBorders>
              <w:bottom w:val="single" w:sz="8" w:color="5D89B4"/>
            </w:tcBorders>
          </w:tcPr>
          <w:p>
            <w:pPr>
              <w:spacing w:after="0"/>
              <w:rPr>
                <w:sz w:val="14"/>
                <w:szCs w:val="14"/>
                <w:color w:val="auto"/>
              </w:rPr>
            </w:pPr>
          </w:p>
        </w:tc>
        <w:tc>
          <w:tcPr>
            <w:tcW w:w="800" w:type="dxa"/>
            <w:vAlign w:val="bottom"/>
            <w:tcBorders>
              <w:bottom w:val="single" w:sz="8" w:color="5D89B4"/>
            </w:tcBorders>
          </w:tcPr>
          <w:p>
            <w:pPr>
              <w:spacing w:after="0"/>
              <w:rPr>
                <w:sz w:val="14"/>
                <w:szCs w:val="14"/>
                <w:color w:val="auto"/>
              </w:rPr>
            </w:pPr>
          </w:p>
        </w:tc>
        <w:tc>
          <w:tcPr>
            <w:tcW w:w="3100" w:type="dxa"/>
            <w:vAlign w:val="bottom"/>
            <w:tcBorders>
              <w:bottom w:val="single" w:sz="8" w:color="5D89B4"/>
            </w:tcBorders>
            <w:gridSpan w:val="3"/>
          </w:tcPr>
          <w:p>
            <w:pPr>
              <w:spacing w:after="0"/>
              <w:rPr>
                <w:sz w:val="14"/>
                <w:szCs w:val="14"/>
                <w:color w:val="auto"/>
              </w:rPr>
            </w:pPr>
          </w:p>
        </w:tc>
        <w:tc>
          <w:tcPr>
            <w:tcW w:w="1360" w:type="dxa"/>
            <w:vAlign w:val="bottom"/>
            <w:tcBorders>
              <w:bottom w:val="single" w:sz="8" w:color="5D89B4"/>
            </w:tcBorders>
          </w:tcPr>
          <w:p>
            <w:pPr>
              <w:spacing w:after="0"/>
              <w:rPr>
                <w:sz w:val="14"/>
                <w:szCs w:val="14"/>
                <w:color w:val="auto"/>
              </w:rPr>
            </w:pPr>
          </w:p>
        </w:tc>
        <w:tc>
          <w:tcPr>
            <w:tcW w:w="440" w:type="dxa"/>
            <w:vAlign w:val="bottom"/>
            <w:tcBorders>
              <w:bottom w:val="single" w:sz="8" w:color="5D89B4"/>
            </w:tcBorders>
          </w:tcPr>
          <w:p>
            <w:pPr>
              <w:spacing w:after="0"/>
              <w:rPr>
                <w:sz w:val="14"/>
                <w:szCs w:val="14"/>
                <w:color w:val="auto"/>
              </w:rPr>
            </w:pPr>
          </w:p>
        </w:tc>
      </w:tr>
      <w:tr>
        <w:trPr>
          <w:trHeight w:val="372"/>
        </w:trPr>
        <w:tc>
          <w:tcPr>
            <w:tcW w:w="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20"/>
                <w:szCs w:val="20"/>
                <w:b w:val="1"/>
                <w:bCs w:val="1"/>
                <w:color w:val="5D89B4"/>
              </w:rPr>
              <w:t>54</w:t>
            </w:r>
          </w:p>
        </w:tc>
        <w:tc>
          <w:tcPr>
            <w:tcW w:w="3100" w:type="dxa"/>
            <w:vAlign w:val="bottom"/>
            <w:gridSpan w:val="3"/>
          </w:tcPr>
          <w:p>
            <w:pPr>
              <w:jc w:val="right"/>
              <w:ind w:right="1369"/>
              <w:spacing w:after="0"/>
              <w:rPr>
                <w:sz w:val="20"/>
                <w:szCs w:val="20"/>
                <w:color w:val="auto"/>
              </w:rPr>
            </w:pPr>
            <w:r>
              <w:rPr>
                <w:rFonts w:ascii="Arial" w:cs="Arial" w:eastAsia="Arial" w:hAnsi="Arial"/>
                <w:sz w:val="16"/>
                <w:szCs w:val="16"/>
                <w:b w:val="1"/>
                <w:bCs w:val="1"/>
                <w:color w:val="BFBFBF"/>
                <w:w w:val="98"/>
              </w:rPr>
              <w:t>2021 Proxy Statement</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Nonqualified Deferred Compensation in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6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60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EXECUTIVE</w:t>
            </w: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REGISTRANT</w:t>
            </w:r>
          </w:p>
        </w:tc>
        <w:tc>
          <w:tcPr>
            <w:tcW w:w="13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AGGREGATE</w:t>
            </w:r>
          </w:p>
        </w:tc>
        <w:tc>
          <w:tcPr>
            <w:tcW w:w="156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AGGREGATE</w:t>
            </w:r>
          </w:p>
        </w:tc>
        <w:tc>
          <w:tcPr>
            <w:tcW w:w="16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AGGREGATE</w:t>
            </w:r>
          </w:p>
        </w:tc>
      </w:tr>
      <w:tr>
        <w:trPr>
          <w:trHeight w:val="160"/>
        </w:trPr>
        <w:tc>
          <w:tcPr>
            <w:tcW w:w="2160" w:type="dxa"/>
            <w:vAlign w:val="bottom"/>
            <w:shd w:val="clear" w:color="auto" w:fill="EAEAEA"/>
          </w:tcPr>
          <w:p>
            <w:pPr>
              <w:spacing w:after="0"/>
              <w:rPr>
                <w:sz w:val="13"/>
                <w:szCs w:val="13"/>
                <w:color w:val="auto"/>
              </w:rPr>
            </w:pPr>
          </w:p>
        </w:tc>
        <w:tc>
          <w:tcPr>
            <w:tcW w:w="1040" w:type="dxa"/>
            <w:vAlign w:val="bottom"/>
            <w:shd w:val="clear" w:color="auto" w:fill="EAEAEA"/>
          </w:tcPr>
          <w:p>
            <w:pPr>
              <w:spacing w:after="0"/>
              <w:rPr>
                <w:sz w:val="13"/>
                <w:szCs w:val="13"/>
                <w:color w:val="auto"/>
              </w:rPr>
            </w:pPr>
          </w:p>
        </w:tc>
        <w:tc>
          <w:tcPr>
            <w:tcW w:w="160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CONTRIBUTIONS</w:t>
            </w: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CONTRIBUTIONS</w:t>
            </w:r>
          </w:p>
        </w:tc>
        <w:tc>
          <w:tcPr>
            <w:tcW w:w="13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EARNINGS</w:t>
            </w:r>
          </w:p>
        </w:tc>
        <w:tc>
          <w:tcPr>
            <w:tcW w:w="156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WITHDRAWALS/</w:t>
            </w:r>
          </w:p>
        </w:tc>
        <w:tc>
          <w:tcPr>
            <w:tcW w:w="16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BALANCE AT</w:t>
            </w:r>
          </w:p>
        </w:tc>
      </w:tr>
      <w:tr>
        <w:trPr>
          <w:trHeight w:val="160"/>
        </w:trPr>
        <w:tc>
          <w:tcPr>
            <w:tcW w:w="216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w:t>
            </w:r>
          </w:p>
        </w:tc>
        <w:tc>
          <w:tcPr>
            <w:tcW w:w="1040" w:type="dxa"/>
            <w:vAlign w:val="bottom"/>
            <w:shd w:val="clear" w:color="auto" w:fill="EAEAEA"/>
          </w:tcPr>
          <w:p>
            <w:pPr>
              <w:spacing w:after="0"/>
              <w:rPr>
                <w:sz w:val="13"/>
                <w:szCs w:val="13"/>
                <w:color w:val="auto"/>
              </w:rPr>
            </w:pPr>
          </w:p>
        </w:tc>
        <w:tc>
          <w:tcPr>
            <w:tcW w:w="160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 2020</w:t>
            </w: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 2020</w:t>
            </w:r>
          </w:p>
        </w:tc>
        <w:tc>
          <w:tcPr>
            <w:tcW w:w="13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 2020</w:t>
            </w:r>
          </w:p>
        </w:tc>
        <w:tc>
          <w:tcPr>
            <w:tcW w:w="156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DISTRIBUTIONS</w:t>
            </w:r>
          </w:p>
        </w:tc>
        <w:tc>
          <w:tcPr>
            <w:tcW w:w="16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DECEMBER 31, 2020</w:t>
            </w:r>
          </w:p>
        </w:tc>
      </w:tr>
      <w:tr>
        <w:trPr>
          <w:trHeight w:val="234"/>
        </w:trPr>
        <w:tc>
          <w:tcPr>
            <w:tcW w:w="21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POSITION</w:t>
            </w:r>
          </w:p>
        </w:tc>
        <w:tc>
          <w:tcPr>
            <w:tcW w:w="104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PLAN</w:t>
            </w:r>
          </w:p>
        </w:tc>
        <w:tc>
          <w:tcPr>
            <w:tcW w:w="160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($)(1)</w:t>
            </w:r>
          </w:p>
        </w:tc>
        <w:tc>
          <w:tcPr>
            <w:tcW w:w="158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w:t>
            </w:r>
          </w:p>
        </w:tc>
        <w:tc>
          <w:tcPr>
            <w:tcW w:w="13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w:t>
            </w:r>
          </w:p>
        </w:tc>
        <w:tc>
          <w:tcPr>
            <w:tcW w:w="156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w:t>
            </w:r>
          </w:p>
        </w:tc>
        <w:tc>
          <w:tcPr>
            <w:tcW w:w="16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w:t>
            </w:r>
          </w:p>
        </w:tc>
      </w:tr>
      <w:tr>
        <w:trPr>
          <w:trHeight w:val="232"/>
        </w:trPr>
        <w:tc>
          <w:tcPr>
            <w:tcW w:w="216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86"/>
        </w:trPr>
        <w:tc>
          <w:tcPr>
            <w:tcW w:w="2160" w:type="dxa"/>
            <w:vAlign w:val="bottom"/>
          </w:tcPr>
          <w:p>
            <w:pPr>
              <w:ind w:left="80"/>
              <w:spacing w:after="0"/>
              <w:rPr>
                <w:sz w:val="20"/>
                <w:szCs w:val="20"/>
                <w:color w:val="auto"/>
              </w:rPr>
            </w:pPr>
            <w:r>
              <w:rPr>
                <w:rFonts w:ascii="Arial" w:cs="Arial" w:eastAsia="Arial" w:hAnsi="Arial"/>
                <w:sz w:val="14"/>
                <w:szCs w:val="14"/>
                <w:color w:val="333333"/>
              </w:rPr>
              <w:t>CEO</w:t>
            </w:r>
          </w:p>
        </w:tc>
        <w:tc>
          <w:tcPr>
            <w:tcW w:w="1040" w:type="dxa"/>
            <w:vAlign w:val="bottom"/>
          </w:tcPr>
          <w:p>
            <w:pPr>
              <w:jc w:val="right"/>
              <w:ind w:right="125"/>
              <w:spacing w:after="0"/>
              <w:rPr>
                <w:sz w:val="20"/>
                <w:szCs w:val="20"/>
                <w:color w:val="auto"/>
              </w:rPr>
            </w:pPr>
            <w:r>
              <w:rPr>
                <w:rFonts w:ascii="Arial" w:cs="Arial" w:eastAsia="Arial" w:hAnsi="Arial"/>
                <w:sz w:val="15"/>
                <w:szCs w:val="15"/>
                <w:color w:val="auto"/>
              </w:rPr>
              <w:t>NQSP</w:t>
            </w:r>
          </w:p>
        </w:tc>
        <w:tc>
          <w:tcPr>
            <w:tcW w:w="1600" w:type="dxa"/>
            <w:vAlign w:val="bottom"/>
          </w:tcPr>
          <w:p>
            <w:pPr>
              <w:jc w:val="right"/>
              <w:ind w:right="126"/>
              <w:spacing w:after="0"/>
              <w:rPr>
                <w:sz w:val="20"/>
                <w:szCs w:val="20"/>
                <w:color w:val="auto"/>
              </w:rPr>
            </w:pPr>
            <w:r>
              <w:rPr>
                <w:rFonts w:ascii="Arial" w:cs="Arial" w:eastAsia="Arial" w:hAnsi="Arial"/>
                <w:sz w:val="15"/>
                <w:szCs w:val="15"/>
                <w:color w:val="auto"/>
              </w:rPr>
              <w:t>50,000</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25,000</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339,272</w:t>
            </w:r>
          </w:p>
        </w:tc>
        <w:tc>
          <w:tcPr>
            <w:tcW w:w="15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3,410,804</w:t>
            </w:r>
          </w:p>
        </w:tc>
      </w:tr>
      <w:tr>
        <w:trPr>
          <w:trHeight w:val="50"/>
        </w:trPr>
        <w:tc>
          <w:tcPr>
            <w:tcW w:w="21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56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r>
        <w:trPr>
          <w:trHeight w:val="212"/>
        </w:trPr>
        <w:tc>
          <w:tcPr>
            <w:tcW w:w="216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86"/>
        </w:trPr>
        <w:tc>
          <w:tcPr>
            <w:tcW w:w="2160" w:type="dxa"/>
            <w:vAlign w:val="bottom"/>
          </w:tcPr>
          <w:p>
            <w:pPr>
              <w:ind w:left="80"/>
              <w:spacing w:after="0"/>
              <w:rPr>
                <w:sz w:val="20"/>
                <w:szCs w:val="20"/>
                <w:color w:val="auto"/>
              </w:rPr>
            </w:pPr>
            <w:r>
              <w:rPr>
                <w:rFonts w:ascii="Arial" w:cs="Arial" w:eastAsia="Arial" w:hAnsi="Arial"/>
                <w:sz w:val="14"/>
                <w:szCs w:val="14"/>
                <w:color w:val="333333"/>
              </w:rPr>
              <w:t>CFO</w:t>
            </w:r>
          </w:p>
        </w:tc>
        <w:tc>
          <w:tcPr>
            <w:tcW w:w="1040" w:type="dxa"/>
            <w:vAlign w:val="bottom"/>
          </w:tcPr>
          <w:p>
            <w:pPr>
              <w:jc w:val="right"/>
              <w:ind w:right="125"/>
              <w:spacing w:after="0"/>
              <w:rPr>
                <w:sz w:val="20"/>
                <w:szCs w:val="20"/>
                <w:color w:val="auto"/>
              </w:rPr>
            </w:pPr>
            <w:r>
              <w:rPr>
                <w:rFonts w:ascii="Arial" w:cs="Arial" w:eastAsia="Arial" w:hAnsi="Arial"/>
                <w:sz w:val="15"/>
                <w:szCs w:val="15"/>
                <w:color w:val="auto"/>
              </w:rPr>
              <w:t>NQSP</w:t>
            </w:r>
          </w:p>
        </w:tc>
        <w:tc>
          <w:tcPr>
            <w:tcW w:w="1600" w:type="dxa"/>
            <w:vAlign w:val="bottom"/>
          </w:tcPr>
          <w:p>
            <w:pPr>
              <w:jc w:val="right"/>
              <w:ind w:right="126"/>
              <w:spacing w:after="0"/>
              <w:rPr>
                <w:sz w:val="20"/>
                <w:szCs w:val="20"/>
                <w:color w:val="auto"/>
              </w:rPr>
            </w:pPr>
            <w:r>
              <w:rPr>
                <w:rFonts w:ascii="Arial" w:cs="Arial" w:eastAsia="Arial" w:hAnsi="Arial"/>
                <w:sz w:val="15"/>
                <w:szCs w:val="15"/>
                <w:color w:val="auto"/>
              </w:rPr>
              <w:t>50,000</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25,000</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62,645</w:t>
            </w:r>
          </w:p>
        </w:tc>
        <w:tc>
          <w:tcPr>
            <w:tcW w:w="15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382,609</w:t>
            </w:r>
          </w:p>
        </w:tc>
      </w:tr>
      <w:tr>
        <w:trPr>
          <w:trHeight w:val="50"/>
        </w:trPr>
        <w:tc>
          <w:tcPr>
            <w:tcW w:w="21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56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r>
        <w:trPr>
          <w:trHeight w:val="212"/>
        </w:trPr>
        <w:tc>
          <w:tcPr>
            <w:tcW w:w="2160" w:type="dxa"/>
            <w:vAlign w:val="bottom"/>
          </w:tcPr>
          <w:p>
            <w:pPr>
              <w:ind w:left="80"/>
              <w:spacing w:after="0"/>
              <w:rPr>
                <w:sz w:val="20"/>
                <w:szCs w:val="20"/>
                <w:color w:val="auto"/>
              </w:rPr>
            </w:pPr>
            <w:r>
              <w:rPr>
                <w:rFonts w:ascii="Arial" w:cs="Arial" w:eastAsia="Arial" w:hAnsi="Arial"/>
                <w:sz w:val="14"/>
                <w:szCs w:val="14"/>
                <w:b w:val="1"/>
                <w:bCs w:val="1"/>
                <w:color w:val="auto"/>
              </w:rPr>
              <w:t>Michelle S. Nettles(3)</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86"/>
        </w:trPr>
        <w:tc>
          <w:tcPr>
            <w:tcW w:w="2160" w:type="dxa"/>
            <w:vAlign w:val="bottom"/>
          </w:tcPr>
          <w:p>
            <w:pPr>
              <w:ind w:left="80"/>
              <w:spacing w:after="0"/>
              <w:rPr>
                <w:sz w:val="20"/>
                <w:szCs w:val="20"/>
                <w:color w:val="auto"/>
              </w:rPr>
            </w:pPr>
            <w:r>
              <w:rPr>
                <w:rFonts w:ascii="Arial" w:cs="Arial" w:eastAsia="Arial" w:hAnsi="Arial"/>
                <w:sz w:val="14"/>
                <w:szCs w:val="14"/>
                <w:color w:val="333333"/>
              </w:rPr>
              <w:t>Chief People and Culture Officer</w:t>
            </w:r>
          </w:p>
        </w:tc>
        <w:tc>
          <w:tcPr>
            <w:tcW w:w="1040" w:type="dxa"/>
            <w:vAlign w:val="bottom"/>
          </w:tcPr>
          <w:p>
            <w:pPr>
              <w:jc w:val="right"/>
              <w:ind w:right="125"/>
              <w:spacing w:after="0"/>
              <w:rPr>
                <w:sz w:val="20"/>
                <w:szCs w:val="20"/>
                <w:color w:val="auto"/>
              </w:rPr>
            </w:pPr>
            <w:r>
              <w:rPr>
                <w:rFonts w:ascii="Arial" w:cs="Arial" w:eastAsia="Arial" w:hAnsi="Arial"/>
                <w:sz w:val="15"/>
                <w:szCs w:val="15"/>
                <w:color w:val="auto"/>
              </w:rPr>
              <w:t>NQSP</w:t>
            </w:r>
          </w:p>
        </w:tc>
        <w:tc>
          <w:tcPr>
            <w:tcW w:w="16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1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56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r>
        <w:trPr>
          <w:trHeight w:val="212"/>
        </w:trPr>
        <w:tc>
          <w:tcPr>
            <w:tcW w:w="216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60"/>
        </w:trPr>
        <w:tc>
          <w:tcPr>
            <w:tcW w:w="2160" w:type="dxa"/>
            <w:vAlign w:val="bottom"/>
          </w:tcPr>
          <w:p>
            <w:pPr>
              <w:ind w:left="80"/>
              <w:spacing w:after="0"/>
              <w:rPr>
                <w:sz w:val="20"/>
                <w:szCs w:val="20"/>
                <w:color w:val="auto"/>
              </w:rPr>
            </w:pPr>
            <w:r>
              <w:rPr>
                <w:rFonts w:ascii="Arial" w:cs="Arial" w:eastAsia="Arial" w:hAnsi="Arial"/>
                <w:sz w:val="14"/>
                <w:szCs w:val="14"/>
                <w:color w:val="333333"/>
              </w:rPr>
              <w:t>SVP, General Counseland</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6"/>
        </w:trPr>
        <w:tc>
          <w:tcPr>
            <w:tcW w:w="2160" w:type="dxa"/>
            <w:vAlign w:val="bottom"/>
          </w:tcPr>
          <w:p>
            <w:pPr>
              <w:ind w:left="80"/>
              <w:spacing w:after="0"/>
              <w:rPr>
                <w:sz w:val="20"/>
                <w:szCs w:val="20"/>
                <w:color w:val="auto"/>
              </w:rPr>
            </w:pPr>
            <w:r>
              <w:rPr>
                <w:rFonts w:ascii="Arial" w:cs="Arial" w:eastAsia="Arial" w:hAnsi="Arial"/>
                <w:sz w:val="14"/>
                <w:szCs w:val="14"/>
                <w:color w:val="333333"/>
              </w:rPr>
              <w:t>Secretary</w:t>
            </w:r>
          </w:p>
        </w:tc>
        <w:tc>
          <w:tcPr>
            <w:tcW w:w="1040" w:type="dxa"/>
            <w:vAlign w:val="bottom"/>
          </w:tcPr>
          <w:p>
            <w:pPr>
              <w:jc w:val="right"/>
              <w:ind w:right="125"/>
              <w:spacing w:after="0"/>
              <w:rPr>
                <w:sz w:val="20"/>
                <w:szCs w:val="20"/>
                <w:color w:val="auto"/>
              </w:rPr>
            </w:pPr>
            <w:r>
              <w:rPr>
                <w:rFonts w:ascii="Arial" w:cs="Arial" w:eastAsia="Arial" w:hAnsi="Arial"/>
                <w:sz w:val="15"/>
                <w:szCs w:val="15"/>
                <w:color w:val="auto"/>
              </w:rPr>
              <w:t>NQSP</w:t>
            </w:r>
          </w:p>
        </w:tc>
        <w:tc>
          <w:tcPr>
            <w:tcW w:w="1600" w:type="dxa"/>
            <w:vAlign w:val="bottom"/>
          </w:tcPr>
          <w:p>
            <w:pPr>
              <w:jc w:val="right"/>
              <w:ind w:right="126"/>
              <w:spacing w:after="0"/>
              <w:rPr>
                <w:sz w:val="20"/>
                <w:szCs w:val="20"/>
                <w:color w:val="auto"/>
              </w:rPr>
            </w:pPr>
            <w:r>
              <w:rPr>
                <w:rFonts w:ascii="Arial" w:cs="Arial" w:eastAsia="Arial" w:hAnsi="Arial"/>
                <w:sz w:val="15"/>
                <w:szCs w:val="15"/>
                <w:color w:val="auto"/>
              </w:rPr>
              <w:t>49,698</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24,848</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110,386</w:t>
            </w:r>
          </w:p>
        </w:tc>
        <w:tc>
          <w:tcPr>
            <w:tcW w:w="15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798,885</w:t>
            </w:r>
          </w:p>
        </w:tc>
      </w:tr>
      <w:tr>
        <w:trPr>
          <w:trHeight w:val="50"/>
        </w:trPr>
        <w:tc>
          <w:tcPr>
            <w:tcW w:w="21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56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r>
        <w:trPr>
          <w:trHeight w:val="212"/>
        </w:trPr>
        <w:tc>
          <w:tcPr>
            <w:tcW w:w="2160" w:type="dxa"/>
            <w:vAlign w:val="bottom"/>
          </w:tcPr>
          <w:p>
            <w:pPr>
              <w:ind w:left="80"/>
              <w:spacing w:after="0"/>
              <w:rPr>
                <w:sz w:val="20"/>
                <w:szCs w:val="20"/>
                <w:color w:val="auto"/>
              </w:rPr>
            </w:pPr>
            <w:r>
              <w:rPr>
                <w:rFonts w:ascii="Arial" w:cs="Arial" w:eastAsia="Arial" w:hAnsi="Arial"/>
                <w:sz w:val="14"/>
                <w:szCs w:val="14"/>
                <w:b w:val="1"/>
                <w:bCs w:val="1"/>
                <w:color w:val="auto"/>
              </w:rPr>
              <w:t>Mara E. Swan(4)</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60"/>
        </w:trPr>
        <w:tc>
          <w:tcPr>
            <w:tcW w:w="2160" w:type="dxa"/>
            <w:vAlign w:val="bottom"/>
          </w:tcPr>
          <w:p>
            <w:pPr>
              <w:ind w:left="80"/>
              <w:spacing w:after="0"/>
              <w:rPr>
                <w:sz w:val="20"/>
                <w:szCs w:val="20"/>
                <w:color w:val="auto"/>
              </w:rPr>
            </w:pPr>
            <w:r>
              <w:rPr>
                <w:rFonts w:ascii="Arial" w:cs="Arial" w:eastAsia="Arial" w:hAnsi="Arial"/>
                <w:sz w:val="14"/>
                <w:szCs w:val="14"/>
                <w:color w:val="333333"/>
              </w:rPr>
              <w:t>Former EVP, Global Strategy</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6"/>
        </w:trPr>
        <w:tc>
          <w:tcPr>
            <w:tcW w:w="2160" w:type="dxa"/>
            <w:vAlign w:val="bottom"/>
          </w:tcPr>
          <w:p>
            <w:pPr>
              <w:ind w:left="80"/>
              <w:spacing w:after="0"/>
              <w:rPr>
                <w:sz w:val="20"/>
                <w:szCs w:val="20"/>
                <w:color w:val="auto"/>
              </w:rPr>
            </w:pPr>
            <w:r>
              <w:rPr>
                <w:rFonts w:ascii="Arial" w:cs="Arial" w:eastAsia="Arial" w:hAnsi="Arial"/>
                <w:sz w:val="14"/>
                <w:szCs w:val="14"/>
                <w:color w:val="333333"/>
              </w:rPr>
              <w:t>and Talent</w:t>
            </w:r>
          </w:p>
        </w:tc>
        <w:tc>
          <w:tcPr>
            <w:tcW w:w="1040" w:type="dxa"/>
            <w:vAlign w:val="bottom"/>
          </w:tcPr>
          <w:p>
            <w:pPr>
              <w:jc w:val="right"/>
              <w:ind w:right="125"/>
              <w:spacing w:after="0"/>
              <w:rPr>
                <w:sz w:val="20"/>
                <w:szCs w:val="20"/>
                <w:color w:val="auto"/>
              </w:rPr>
            </w:pPr>
            <w:r>
              <w:rPr>
                <w:rFonts w:ascii="Arial" w:cs="Arial" w:eastAsia="Arial" w:hAnsi="Arial"/>
                <w:sz w:val="15"/>
                <w:szCs w:val="15"/>
                <w:color w:val="auto"/>
              </w:rPr>
              <w:t>NQSP</w:t>
            </w:r>
          </w:p>
        </w:tc>
        <w:tc>
          <w:tcPr>
            <w:tcW w:w="1600" w:type="dxa"/>
            <w:vAlign w:val="bottom"/>
          </w:tcPr>
          <w:p>
            <w:pPr>
              <w:jc w:val="right"/>
              <w:ind w:right="126"/>
              <w:spacing w:after="0"/>
              <w:rPr>
                <w:sz w:val="20"/>
                <w:szCs w:val="20"/>
                <w:color w:val="auto"/>
              </w:rPr>
            </w:pPr>
            <w:r>
              <w:rPr>
                <w:rFonts w:ascii="Arial" w:cs="Arial" w:eastAsia="Arial" w:hAnsi="Arial"/>
                <w:sz w:val="15"/>
                <w:szCs w:val="15"/>
                <w:color w:val="auto"/>
              </w:rPr>
              <w:t>8,313</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4,157</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335,999</w:t>
            </w:r>
          </w:p>
        </w:tc>
        <w:tc>
          <w:tcPr>
            <w:tcW w:w="1560" w:type="dxa"/>
            <w:vAlign w:val="bottom"/>
          </w:tcPr>
          <w:p>
            <w:pPr>
              <w:jc w:val="right"/>
              <w:ind w:right="106"/>
              <w:spacing w:after="0"/>
              <w:rPr>
                <w:sz w:val="20"/>
                <w:szCs w:val="20"/>
                <w:color w:val="auto"/>
              </w:rPr>
            </w:pPr>
            <w:r>
              <w:rPr>
                <w:rFonts w:ascii="Arial" w:cs="Arial" w:eastAsia="Arial" w:hAnsi="Arial"/>
                <w:sz w:val="15"/>
                <w:szCs w:val="15"/>
                <w:color w:val="auto"/>
              </w:rPr>
              <w:t>(338,724)</w:t>
            </w:r>
          </w:p>
        </w:tc>
        <w:tc>
          <w:tcPr>
            <w:tcW w:w="1660" w:type="dxa"/>
            <w:vAlign w:val="bottom"/>
          </w:tcPr>
          <w:p>
            <w:pPr>
              <w:jc w:val="right"/>
              <w:spacing w:after="0"/>
              <w:rPr>
                <w:sz w:val="20"/>
                <w:szCs w:val="20"/>
                <w:color w:val="auto"/>
              </w:rPr>
            </w:pPr>
            <w:r>
              <w:rPr>
                <w:rFonts w:ascii="Arial" w:cs="Arial" w:eastAsia="Arial" w:hAnsi="Arial"/>
                <w:sz w:val="15"/>
                <w:szCs w:val="15"/>
                <w:color w:val="auto"/>
              </w:rPr>
              <w:t>1,927,315</w:t>
            </w:r>
          </w:p>
        </w:tc>
      </w:tr>
      <w:tr>
        <w:trPr>
          <w:trHeight w:val="50"/>
        </w:trPr>
        <w:tc>
          <w:tcPr>
            <w:tcW w:w="21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56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right="20" w:hanging="433"/>
        <w:spacing w:after="0" w:line="244" w:lineRule="auto"/>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2020 salary, which amounts were also included in the salary column for each executive officer in the Summary Compensation Table. Of the amounts disclosed in this column for the Nonqualified Savings Plan, the following contributions are attributable to a portion of the 2019 annual incentive, which was disclosed in the 2019 Summary Compensation Table for all NEOs: Mr. Prising — $35,577; Mr. McGinnis — $41,635; Mr. Buchband — $20,015; and Ms. Swan — $0.</w:t>
      </w:r>
    </w:p>
    <w:p>
      <w:pPr>
        <w:spacing w:after="0" w:line="54" w:lineRule="exact"/>
        <w:rPr>
          <w:rFonts w:ascii="Arial" w:cs="Arial" w:eastAsia="Arial" w:hAnsi="Arial"/>
          <w:sz w:val="14"/>
          <w:szCs w:val="14"/>
          <w:color w:val="auto"/>
        </w:rPr>
      </w:pPr>
    </w:p>
    <w:p>
      <w:pPr>
        <w:ind w:left="440" w:right="20" w:hanging="433"/>
        <w:spacing w:after="0" w:line="244" w:lineRule="auto"/>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2020 or prior to 2020: Mr. Prising — $1,527,449; Mr. McGinnis — $288,870; Mr. Buchband — $233,926 and Ms. Swan — $586,184.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54" w:lineRule="exact"/>
        <w:rPr>
          <w:rFonts w:ascii="Arial" w:cs="Arial" w:eastAsia="Arial" w:hAnsi="Arial"/>
          <w:sz w:val="14"/>
          <w:szCs w:val="14"/>
          <w:color w:val="auto"/>
        </w:rPr>
      </w:pPr>
    </w:p>
    <w:p>
      <w:pPr>
        <w:ind w:left="440" w:hanging="433"/>
        <w:spacing w:after="0"/>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Ms. Nettles did not participate in the NQSP in 2020.</w:t>
      </w:r>
    </w:p>
    <w:p>
      <w:pPr>
        <w:spacing w:after="0" w:line="66" w:lineRule="exact"/>
        <w:rPr>
          <w:rFonts w:ascii="Arial" w:cs="Arial" w:eastAsia="Arial" w:hAnsi="Arial"/>
          <w:sz w:val="14"/>
          <w:szCs w:val="14"/>
          <w:color w:val="auto"/>
        </w:rPr>
      </w:pPr>
    </w:p>
    <w:p>
      <w:pPr>
        <w:ind w:left="440" w:right="460" w:hanging="433"/>
        <w:spacing w:after="0" w:line="254" w:lineRule="auto"/>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Ms. Swan retired in March 2020 and elected to receive her NQSP balance over a ten-year installment period. The amount in the distribution column in the table represents the distribution of her first installment.</w:t>
      </w:r>
    </w:p>
    <w:p>
      <w:pPr>
        <w:spacing w:after="0" w:line="101" w:lineRule="exact"/>
        <w:rPr>
          <w:sz w:val="20"/>
          <w:szCs w:val="20"/>
          <w:color w:val="auto"/>
        </w:rPr>
      </w:pPr>
    </w:p>
    <w:p>
      <w:pPr>
        <w:ind w:right="100"/>
        <w:spacing w:after="0" w:line="228"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Pursuant to the Nonqualified Savings Plan (the “NQSP Plan”), certain executives, including the NEOs, may defer a portion of their</w:t>
      </w:r>
      <w:r>
        <w:rPr>
          <w:rFonts w:ascii="Arial" w:cs="Arial" w:eastAsia="Arial" w:hAnsi="Arial"/>
          <w:sz w:val="15"/>
          <w:szCs w:val="15"/>
          <w:b w:val="1"/>
          <w:bCs w:val="1"/>
          <w:color w:val="5D89B4"/>
        </w:rPr>
        <w:t xml:space="preserve"> </w:t>
      </w:r>
      <w:r>
        <w:rPr>
          <w:rFonts w:ascii="Arial" w:cs="Arial" w:eastAsia="Arial" w:hAnsi="Arial"/>
          <w:sz w:val="15"/>
          <w:szCs w:val="15"/>
          <w:color w:val="000000"/>
        </w:rPr>
        <w:t>salary and incentive awards. Elections must be made by the executive officers before December 31 of the year prior to the year in which it will be earned. The executive officers are permitted to defer up to 50% of their salary and 50% of their annual incentive under the plan, but the total annual contributions cannot exceed $ 50,000 per participant. Pursuant to the plan, the executive officers, as well as all other plan participants, may receive a matching amount of 50% of the deferrals they have made during the year, up to a maximum of 6% of their annual compensation. Effective December 31, 2015, the plan was amended to allow ManpowerGroup to make a discretionary Enhanced Matching Contribution (“EMC”) to participants in the plan. The EMC is calculated as an additional matching contribution (over and above the regular 50% match of the deferrals made during the year on the first 6% of employee contributions). ManpowerGroup did not make an EMC match in 2020 for any of the NEOs who participated in the plan in 2019. ManpowerGroup’s contributions to a participant’s account under the plan (both matching contributions and EMC’s) are not fully vested until a participant has at least three years of credited service with ManpowerGroup, with vesting occurring on a pro-rata basis during those three years. All of the executive officers who participate in the plan were fully vested in their matching contributions and enhanced matching contributions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55</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65" w:lineRule="exact"/>
        <w:rPr>
          <w:sz w:val="20"/>
          <w:szCs w:val="20"/>
          <w:color w:val="auto"/>
        </w:rPr>
      </w:pPr>
    </w:p>
    <w:p>
      <w:pPr>
        <w:ind w:right="260"/>
        <w:spacing w:after="0" w:line="232" w:lineRule="auto"/>
        <w:rPr>
          <w:sz w:val="20"/>
          <w:szCs w:val="20"/>
          <w:color w:val="auto"/>
        </w:rPr>
      </w:pPr>
      <w:r>
        <w:rPr>
          <w:rFonts w:ascii="Arial" w:cs="Arial" w:eastAsia="Arial" w:hAnsi="Arial"/>
          <w:sz w:val="15"/>
          <w:szCs w:val="15"/>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5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FUND</w:t>
            </w:r>
          </w:p>
        </w:tc>
        <w:tc>
          <w:tcPr>
            <w:tcW w:w="2360" w:type="dxa"/>
            <w:vAlign w:val="bottom"/>
            <w:tcBorders>
              <w:bottom w:val="single" w:sz="8" w:color="EAEAEA"/>
            </w:tcBorders>
            <w:shd w:val="clear" w:color="auto" w:fill="EAEAEA"/>
          </w:tcPr>
          <w:p>
            <w:pPr>
              <w:jc w:val="right"/>
              <w:ind w:right="424"/>
              <w:spacing w:after="0"/>
              <w:rPr>
                <w:sz w:val="20"/>
                <w:szCs w:val="20"/>
                <w:color w:val="auto"/>
              </w:rPr>
            </w:pPr>
            <w:r>
              <w:rPr>
                <w:rFonts w:ascii="Arial" w:cs="Arial" w:eastAsia="Arial" w:hAnsi="Arial"/>
                <w:sz w:val="14"/>
                <w:szCs w:val="14"/>
                <w:b w:val="1"/>
                <w:bCs w:val="1"/>
                <w:color w:val="5D89B4"/>
              </w:rPr>
              <w:t>ANNUAL RETURN</w:t>
            </w:r>
          </w:p>
        </w:tc>
      </w:tr>
      <w:tr>
        <w:trPr>
          <w:trHeight w:val="24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Mainstay Epoch US All Cap Fund Class I</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10.29%</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Vanguard Total Stock Market Index Fund Institutional Shares</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21.00%</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Dodge &amp; Cox International Stock Fund</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2.10%</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Vanguard Total International Stock Index Fund Institutional Shares</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11.28%</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T. Rowe Price Global Growth Stock Fund</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44.45%</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2020</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10.14%</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2025</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11.31%</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2030</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12.17%</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2035</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12.62%</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2040</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13.01%</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2045</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13.14%</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2050</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13.39%</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2055</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13.22%</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2060</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13.04%</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Income Fund</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9.60%</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Fidelity Short Term Bond</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3.70%</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PGIM Total Return Bond Fund - Class R6</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8.10%</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Vanguard Total Bond Market Index Fund Institutional Shares</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7.74%</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r>
        <w:trPr>
          <w:trHeight w:val="225"/>
        </w:trPr>
        <w:tc>
          <w:tcPr>
            <w:tcW w:w="8560" w:type="dxa"/>
            <w:vAlign w:val="bottom"/>
          </w:tcPr>
          <w:p>
            <w:pPr>
              <w:ind w:left="80"/>
              <w:spacing w:after="0"/>
              <w:rPr>
                <w:sz w:val="20"/>
                <w:szCs w:val="20"/>
                <w:color w:val="auto"/>
              </w:rPr>
            </w:pPr>
            <w:r>
              <w:rPr>
                <w:rFonts w:ascii="Arial" w:cs="Arial" w:eastAsia="Arial" w:hAnsi="Arial"/>
                <w:sz w:val="14"/>
                <w:szCs w:val="14"/>
                <w:b w:val="1"/>
                <w:bCs w:val="1"/>
                <w:color w:val="auto"/>
              </w:rPr>
              <w:t>Vanguard Federal Money Market Fund Investor Shares</w:t>
            </w:r>
          </w:p>
        </w:tc>
        <w:tc>
          <w:tcPr>
            <w:tcW w:w="2360" w:type="dxa"/>
            <w:vAlign w:val="bottom"/>
          </w:tcPr>
          <w:p>
            <w:pPr>
              <w:jc w:val="right"/>
              <w:ind w:right="304"/>
              <w:spacing w:after="0"/>
              <w:rPr>
                <w:sz w:val="20"/>
                <w:szCs w:val="20"/>
                <w:color w:val="auto"/>
              </w:rPr>
            </w:pPr>
            <w:r>
              <w:rPr>
                <w:rFonts w:ascii="Arial" w:cs="Arial" w:eastAsia="Arial" w:hAnsi="Arial"/>
                <w:sz w:val="15"/>
                <w:szCs w:val="15"/>
                <w:color w:val="auto"/>
              </w:rPr>
              <w:t>0.45%</w:t>
            </w:r>
          </w:p>
        </w:tc>
      </w:tr>
      <w:tr>
        <w:trPr>
          <w:trHeight w:val="50"/>
        </w:trPr>
        <w:tc>
          <w:tcPr>
            <w:tcW w:w="8560" w:type="dxa"/>
            <w:vAlign w:val="bottom"/>
            <w:tcBorders>
              <w:bottom w:val="single" w:sz="8" w:color="5D89B4"/>
            </w:tcBorders>
          </w:tcPr>
          <w:p>
            <w:pPr>
              <w:spacing w:after="0"/>
              <w:rPr>
                <w:sz w:val="4"/>
                <w:szCs w:val="4"/>
                <w:color w:val="auto"/>
              </w:rPr>
            </w:pPr>
          </w:p>
        </w:tc>
        <w:tc>
          <w:tcPr>
            <w:tcW w:w="2360" w:type="dxa"/>
            <w:vAlign w:val="bottom"/>
            <w:tcBorders>
              <w:bottom w:val="single" w:sz="8" w:color="5D89B4"/>
            </w:tcBorders>
          </w:tcPr>
          <w:p>
            <w:pPr>
              <w:spacing w:after="0"/>
              <w:rPr>
                <w:sz w:val="4"/>
                <w:szCs w:val="4"/>
                <w:color w:val="auto"/>
              </w:rPr>
            </w:pPr>
          </w:p>
        </w:tc>
      </w:tr>
    </w:tbl>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56</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39" w:lineRule="exact"/>
        <w:rPr>
          <w:sz w:val="20"/>
          <w:szCs w:val="20"/>
          <w:color w:val="auto"/>
        </w:rPr>
      </w:pPr>
    </w:p>
    <w:p>
      <w:pPr>
        <w:ind w:right="40"/>
        <w:spacing w:after="0" w:line="225"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Other than for Ms. Swan, the tables following the descriptions of these arrangements illustrate the amount of enhanced benefits the NEOs would receive under all such arrangements if ManpowerGroup terminated their employment on December 31, 2020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 NEO who was not eligible for retirement treatment as of December 31, 2020 with respect to any of their unvested benefits. The tables below assume that in a “change of control,” the acquiring or surviving company would have assumed all unvested equity awards.</w:t>
      </w:r>
    </w:p>
    <w:p>
      <w:pPr>
        <w:spacing w:after="0" w:line="115"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b w:val="1"/>
          <w:bCs w:val="1"/>
          <w:color w:val="5D89B4"/>
        </w:rPr>
        <w:t xml:space="preserve">Mara Swan Retirement. </w:t>
      </w:r>
      <w:r>
        <w:rPr>
          <w:rFonts w:ascii="Arial" w:cs="Arial" w:eastAsia="Arial" w:hAnsi="Arial"/>
          <w:sz w:val="15"/>
          <w:szCs w:val="15"/>
          <w:color w:val="000000"/>
        </w:rPr>
        <w:t>As previously disclosed, Ms. Swan retired from ManpowerGroup on March 7, 2020. The table for Ms. Swan which follows the</w:t>
      </w:r>
      <w:r>
        <w:rPr>
          <w:rFonts w:ascii="Arial" w:cs="Arial" w:eastAsia="Arial" w:hAnsi="Arial"/>
          <w:sz w:val="15"/>
          <w:szCs w:val="15"/>
          <w:b w:val="1"/>
          <w:bCs w:val="1"/>
          <w:color w:val="5D89B4"/>
        </w:rPr>
        <w:t xml:space="preserve"> </w:t>
      </w:r>
      <w:r>
        <w:rPr>
          <w:rFonts w:ascii="Arial" w:cs="Arial" w:eastAsia="Arial" w:hAnsi="Arial"/>
          <w:sz w:val="15"/>
          <w:szCs w:val="15"/>
          <w:color w:val="000000"/>
        </w:rPr>
        <w:t>descriptions of the below arrangements illustrates the benefits she became entitled to receive upon her retirement. The table does not illustrate the value of any benefits that may have been payable to her upon retirement but were otherwise vested prior to her retirement (i.e., vested equity awards or vested balances accrued under the Nonqualified Savings Plan). Due to Ms. Swan’s retirement, the description of the treatment of the arrangements below upon a change of control or termination of employment other than retirement does not apply to her.</w:t>
      </w:r>
    </w:p>
    <w:p>
      <w:pPr>
        <w:spacing w:after="0" w:line="109"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b w:val="1"/>
          <w:bCs w:val="1"/>
          <w:color w:val="5D89B4"/>
        </w:rPr>
        <w:t xml:space="preserve">Severance agreements. </w:t>
      </w:r>
      <w:r>
        <w:rPr>
          <w:rFonts w:ascii="Arial" w:cs="Arial" w:eastAsia="Arial" w:hAnsi="Arial"/>
          <w:sz w:val="15"/>
          <w:szCs w:val="15"/>
          <w:color w:val="000000"/>
        </w:rPr>
        <w:t>Under the severance agreements, upon the involuntary termination of the NEO’s employment (other than for cause, as described below)</w:t>
      </w:r>
      <w:r>
        <w:rPr>
          <w:rFonts w:ascii="Arial" w:cs="Arial" w:eastAsia="Arial" w:hAnsi="Arial"/>
          <w:sz w:val="15"/>
          <w:szCs w:val="15"/>
          <w:b w:val="1"/>
          <w:bCs w:val="1"/>
          <w:color w:val="5D89B4"/>
        </w:rPr>
        <w:t xml:space="preserve"> </w:t>
      </w:r>
      <w:r>
        <w:rPr>
          <w:rFonts w:ascii="Arial" w:cs="Arial" w:eastAsia="Arial" w:hAnsi="Arial"/>
          <w:sz w:val="15"/>
          <w:szCs w:val="15"/>
          <w:color w:val="000000"/>
        </w:rPr>
        <w:t>or upon the voluntary termination of employment by the NEO for good reason (as described below), the NEO is entitled to receive a severance payment equal to the sum of the executive’s base salary and annual incentive. The severance payment to the CEO is capped at 2.5 times his base salary in effect at the time of the termination, while the CFO’s severance payment is capped at 2 times his base salary in effect at the time of the termination. There is no cap applicable to the other NEOs.</w:t>
      </w:r>
    </w:p>
    <w:p>
      <w:pPr>
        <w:spacing w:after="0" w:line="113" w:lineRule="exact"/>
        <w:rPr>
          <w:sz w:val="20"/>
          <w:szCs w:val="20"/>
          <w:color w:val="auto"/>
        </w:rPr>
      </w:pPr>
    </w:p>
    <w:p>
      <w:pPr>
        <w:ind w:right="80"/>
        <w:spacing w:after="0" w:line="227" w:lineRule="auto"/>
        <w:rPr>
          <w:sz w:val="20"/>
          <w:szCs w:val="20"/>
          <w:color w:val="auto"/>
        </w:rPr>
      </w:pPr>
      <w:r>
        <w:rPr>
          <w:rFonts w:ascii="Arial" w:cs="Arial" w:eastAsia="Arial" w:hAnsi="Arial"/>
          <w:sz w:val="15"/>
          <w:szCs w:val="15"/>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29"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(v) a material reduction in the executive’s target bonus opportunity that is not coupled with a material diminution in the executive’s authority, duties or responsibilities, but that occurs within two years after a change of control, or (vi) a relocation to a new principal office that is in excess of 50 miles from the NEO’s prior principal office.</w:t>
      </w:r>
    </w:p>
    <w:p>
      <w:pPr>
        <w:spacing w:after="0" w:line="128"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 Ms. Swan is bound by the terms of the noncompetition provisions in her severance agreement for a period of one-year following Ms. Swan’s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65" w:lineRule="exact"/>
        <w:rPr>
          <w:sz w:val="20"/>
          <w:szCs w:val="20"/>
          <w:color w:val="auto"/>
        </w:rPr>
      </w:pPr>
    </w:p>
    <w:p>
      <w:pPr>
        <w:ind w:right="20"/>
        <w:spacing w:after="0" w:line="226" w:lineRule="auto"/>
        <w:rPr>
          <w:sz w:val="20"/>
          <w:szCs w:val="20"/>
          <w:color w:val="auto"/>
        </w:rPr>
      </w:pPr>
      <w:r>
        <w:rPr>
          <w:rFonts w:ascii="Arial" w:cs="Arial" w:eastAsia="Arial" w:hAnsi="Arial"/>
          <w:sz w:val="15"/>
          <w:szCs w:val="15"/>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5D89B4"/>
        </w:rPr>
        <w:t xml:space="preserve">Stock options. </w:t>
      </w:r>
      <w:r>
        <w:rPr>
          <w:rFonts w:ascii="Arial" w:cs="Arial" w:eastAsia="Arial" w:hAnsi="Arial"/>
          <w:sz w:val="15"/>
          <w:szCs w:val="15"/>
          <w:color w:val="000000"/>
        </w:rPr>
        <w:t>As of December 31, 2020, each of the NEOs (other than Ms. Swan) held unvested stock options granted under the 2011 Equity Incentive Plan.</w:t>
      </w:r>
      <w:r>
        <w:rPr>
          <w:rFonts w:ascii="Arial" w:cs="Arial" w:eastAsia="Arial" w:hAnsi="Arial"/>
          <w:sz w:val="15"/>
          <w:szCs w:val="15"/>
          <w:b w:val="1"/>
          <w:bCs w:val="1"/>
          <w:color w:val="5D89B4"/>
        </w:rPr>
        <w:t xml:space="preserve"> </w:t>
      </w:r>
      <w:r>
        <w:rPr>
          <w:rFonts w:ascii="Arial" w:cs="Arial" w:eastAsia="Arial" w:hAnsi="Arial"/>
          <w:sz w:val="15"/>
          <w:szCs w:val="15"/>
          <w:color w:val="000000"/>
        </w:rPr>
        <w:t>Under the terms of the stock option agreements that ManpowerGroup entered into with each of the NEOs, unvested options immediately vest upon the NEO’s death or disability. Furthermore, upon a change of control where the options are converted on a tax-free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of the acquirer’s shares on a tax-free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 Ms. Swan’s unvested stock options vested on her retirement on March 7, 2020. Unvested options are forfeited upon the NEO’s termination of employment for reasons other than death, disability, retirement, or in connection with a change in control.</w:t>
      </w:r>
    </w:p>
    <w:p>
      <w:pPr>
        <w:spacing w:after="0" w:line="176"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b w:val="1"/>
          <w:bCs w:val="1"/>
          <w:color w:val="5D89B4"/>
        </w:rPr>
        <w:t xml:space="preserve">RSUs and career shares. </w:t>
      </w:r>
      <w:r>
        <w:rPr>
          <w:rFonts w:ascii="Arial" w:cs="Arial" w:eastAsia="Arial" w:hAnsi="Arial"/>
          <w:sz w:val="15"/>
          <w:szCs w:val="15"/>
          <w:color w:val="000000"/>
        </w:rPr>
        <w:t>As of December 31, 2020, the NEOs (other than Ms. Swan) held unvested RSUs and career shares (RSUs that vest completely on a</w:t>
      </w:r>
      <w:r>
        <w:rPr>
          <w:rFonts w:ascii="Arial" w:cs="Arial" w:eastAsia="Arial" w:hAnsi="Arial"/>
          <w:sz w:val="15"/>
          <w:szCs w:val="15"/>
          <w:b w:val="1"/>
          <w:bCs w:val="1"/>
          <w:color w:val="5D89B4"/>
        </w:rPr>
        <w:t xml:space="preserve"> </w:t>
      </w:r>
      <w:r>
        <w:rPr>
          <w:rFonts w:ascii="Arial" w:cs="Arial" w:eastAsia="Arial" w:hAnsi="Arial"/>
          <w:sz w:val="15"/>
          <w:szCs w:val="15"/>
          <w:color w:val="000000"/>
        </w:rPr>
        <w:t>single date several years into the future, for example, four or five years) granted under the 2011 Equity Incentive Plan. A NEO will become fully vested in his or her RSUs or career shares upon a termination of employment due to death or disability. All RSUs held by the NEOs will become fully vested upon a termination of employment due to the NEO’s retirement. For these awards, “retirement” generally means the termination of the NEO’s employment on or after age 55 if the NEO has completed 10 years of service with ManpowerGroup. Ms. Swan’s unvested RSUs vested on her retirement on March 7, 2020. Career shares do not vest upon retirement. Upon a change of control, the RSUs or career shares shall vest according to the same terms as described above for stock options.</w:t>
      </w:r>
    </w:p>
    <w:p>
      <w:pPr>
        <w:spacing w:after="0" w:line="128" w:lineRule="exact"/>
        <w:rPr>
          <w:sz w:val="20"/>
          <w:szCs w:val="20"/>
          <w:color w:val="auto"/>
        </w:rPr>
      </w:pPr>
    </w:p>
    <w:p>
      <w:pPr>
        <w:ind w:right="500"/>
        <w:spacing w:after="0" w:line="237" w:lineRule="auto"/>
        <w:rPr>
          <w:sz w:val="20"/>
          <w:szCs w:val="20"/>
          <w:color w:val="auto"/>
        </w:rPr>
      </w:pPr>
      <w:r>
        <w:rPr>
          <w:rFonts w:ascii="Arial" w:cs="Arial" w:eastAsia="Arial" w:hAnsi="Arial"/>
          <w:sz w:val="15"/>
          <w:szCs w:val="15"/>
          <w:color w:val="auto"/>
        </w:rPr>
        <w:t>RSUs and career shares are forfeited upon the NEO’s termination of employment for reasons other than death, disability, retirement, or in connection with a change in control.</w:t>
      </w:r>
    </w:p>
    <w:p>
      <w:pPr>
        <w:spacing w:after="0" w:line="96" w:lineRule="exact"/>
        <w:rPr>
          <w:sz w:val="20"/>
          <w:szCs w:val="20"/>
          <w:color w:val="auto"/>
        </w:rPr>
      </w:pPr>
    </w:p>
    <w:p>
      <w:pPr>
        <w:ind w:right="20"/>
        <w:spacing w:after="0" w:line="228" w:lineRule="auto"/>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As of December 31, 2020, all NEOs held outstanding PSUs granted under the 2011 Equity Incentive Plan. Generally, under these awards, upon a NEO’s</w:t>
      </w:r>
      <w:r>
        <w:rPr>
          <w:rFonts w:ascii="Arial" w:cs="Arial" w:eastAsia="Arial" w:hAnsi="Arial"/>
          <w:sz w:val="15"/>
          <w:szCs w:val="15"/>
          <w:b w:val="1"/>
          <w:bCs w:val="1"/>
          <w:color w:val="5D89B4"/>
        </w:rPr>
        <w:t xml:space="preserve"> </w:t>
      </w:r>
      <w:r>
        <w:rPr>
          <w:rFonts w:ascii="Arial" w:cs="Arial" w:eastAsia="Arial" w:hAnsi="Arial"/>
          <w:sz w:val="15"/>
          <w:szCs w:val="15"/>
          <w:color w:val="000000"/>
        </w:rPr>
        <w:t>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under the 2018, 2019 or 2020 award of performance units upon a NEO’s termination of employment due to retirement (here, employment termination after age 55 with 10 years of completed service), if the Committee has approved a succession plan, as recommended by the CEO, for the NEO or with respect to his or her position. For any outstanding award of performance units share units held by Ms. Swan upon her retirement on March 7, 2020, the Committee approved the succession plan for her position, so she is entitled to receive the full number of shares payable under each award at the end of each applicable performance period, based on actual results at the end of the applicable performance period. PSUs are forfeited upon a termination of employment prior to the end of the performance period for reasons other than death, disability, retirement, or in connection with a change in control.</w:t>
      </w:r>
    </w:p>
    <w:p>
      <w:pPr>
        <w:spacing w:after="0" w:line="131"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Generally, upon the death or disability of a NEO during the performance period, the NEO is entitled to receive the target amount of shares.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PSUs, where the total number of shares payable under the award will be based on an amount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58</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70" w:name="page71"/>
    <w:bookmarkEnd w:id="70"/>
    <w:p>
      <w:pPr>
        <w:ind w:left="89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15"/>
          <w:szCs w:val="15"/>
          <w:b w:val="1"/>
          <w:bCs w:val="1"/>
          <w:color w:val="5D89B4"/>
        </w:rPr>
        <w:t xml:space="preserve">Annual Incentive Plan. </w:t>
      </w:r>
      <w:r>
        <w:rPr>
          <w:rFonts w:ascii="Arial" w:cs="Arial" w:eastAsia="Arial" w:hAnsi="Arial"/>
          <w:sz w:val="15"/>
          <w:szCs w:val="15"/>
          <w:color w:val="000000"/>
        </w:rPr>
        <w:t>The ManpowerGroup Annual Incentive Plan (the “Annual Incentive Plan”) provides that a bonus will become vested upon retirement. For</w:t>
      </w:r>
      <w:r>
        <w:rPr>
          <w:rFonts w:ascii="Arial" w:cs="Arial" w:eastAsia="Arial" w:hAnsi="Arial"/>
          <w:sz w:val="15"/>
          <w:szCs w:val="15"/>
          <w:b w:val="1"/>
          <w:bCs w:val="1"/>
          <w:color w:val="5D89B4"/>
        </w:rPr>
        <w:t xml:space="preserve"> </w:t>
      </w:r>
      <w:r>
        <w:rPr>
          <w:rFonts w:ascii="Arial" w:cs="Arial" w:eastAsia="Arial" w:hAnsi="Arial"/>
          <w:sz w:val="15"/>
          <w:szCs w:val="15"/>
          <w:color w:val="000000"/>
        </w:rPr>
        <w:t>purposes of this plan, “retirement” means the NEO terminates employment after he or she has (i) reached age 55 and (ii) completed 10 years of service.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The amount of any unvested benefits under the Nonqualified Savings Plan will become vested upon a participant’s death, disability or</w:t>
      </w:r>
      <w:r>
        <w:rPr>
          <w:rFonts w:ascii="Arial" w:cs="Arial" w:eastAsia="Arial" w:hAnsi="Arial"/>
          <w:sz w:val="15"/>
          <w:szCs w:val="15"/>
          <w:b w:val="1"/>
          <w:bCs w:val="1"/>
          <w:color w:val="5D89B4"/>
        </w:rPr>
        <w:t xml:space="preserve"> </w:t>
      </w:r>
      <w:r>
        <w:rPr>
          <w:rFonts w:ascii="Arial" w:cs="Arial" w:eastAsia="Arial" w:hAnsi="Arial"/>
          <w:sz w:val="15"/>
          <w:szCs w:val="15"/>
          <w:color w:val="000000"/>
        </w:rPr>
        <w:t>retirement. For purposes of this plan, “retirement” means a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other than Ms. Nettles are already fully vested in their benefits under this plan and therefore, only Ms. Nettles would receive any enhanced benefit upon her death, disability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Jonas Prising, CEO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8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INVOLUNTARY</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DOUBLE</w:t>
            </w:r>
          </w:p>
        </w:tc>
        <w:tc>
          <w:tcPr>
            <w:tcW w:w="96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r>
      <w:tr>
        <w:trPr>
          <w:trHeight w:val="160"/>
        </w:trPr>
        <w:tc>
          <w:tcPr>
            <w:tcW w:w="2280" w:type="dxa"/>
            <w:vAlign w:val="bottom"/>
            <w:shd w:val="clear" w:color="auto" w:fill="EAEAEA"/>
          </w:tcPr>
          <w:p>
            <w:pPr>
              <w:spacing w:after="0"/>
              <w:rPr>
                <w:sz w:val="13"/>
                <w:szCs w:val="13"/>
                <w:color w:val="auto"/>
              </w:rPr>
            </w:pPr>
          </w:p>
        </w:tc>
        <w:tc>
          <w:tcPr>
            <w:tcW w:w="11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TERMINATION</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TRIGGER</w:t>
            </w:r>
          </w:p>
        </w:tc>
        <w:tc>
          <w:tcPr>
            <w:tcW w:w="96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r>
      <w:tr>
        <w:trPr>
          <w:trHeight w:val="160"/>
        </w:trPr>
        <w:tc>
          <w:tcPr>
            <w:tcW w:w="2280" w:type="dxa"/>
            <w:vAlign w:val="bottom"/>
            <w:shd w:val="clear" w:color="auto" w:fill="EAEAEA"/>
          </w:tcPr>
          <w:p>
            <w:pPr>
              <w:spacing w:after="0"/>
              <w:rPr>
                <w:sz w:val="13"/>
                <w:szCs w:val="13"/>
                <w:color w:val="auto"/>
              </w:rPr>
            </w:pPr>
          </w:p>
        </w:tc>
        <w:tc>
          <w:tcPr>
            <w:tcW w:w="11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OR GOOD</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(COC+</w:t>
            </w:r>
          </w:p>
        </w:tc>
        <w:tc>
          <w:tcPr>
            <w:tcW w:w="96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r>
      <w:tr>
        <w:trPr>
          <w:trHeight w:val="160"/>
        </w:trPr>
        <w:tc>
          <w:tcPr>
            <w:tcW w:w="2280" w:type="dxa"/>
            <w:vAlign w:val="bottom"/>
            <w:shd w:val="clear" w:color="auto" w:fill="EAEAEA"/>
          </w:tcPr>
          <w:p>
            <w:pPr>
              <w:spacing w:after="0"/>
              <w:rPr>
                <w:sz w:val="13"/>
                <w:szCs w:val="13"/>
                <w:color w:val="auto"/>
              </w:rPr>
            </w:pPr>
          </w:p>
        </w:tc>
        <w:tc>
          <w:tcPr>
            <w:tcW w:w="11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REASON – NO</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TERMINATION)</w:t>
            </w:r>
          </w:p>
        </w:tc>
        <w:tc>
          <w:tcPr>
            <w:tcW w:w="960" w:type="dxa"/>
            <w:vAlign w:val="bottom"/>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r>
      <w:tr>
        <w:trPr>
          <w:trHeight w:val="234"/>
        </w:trPr>
        <w:tc>
          <w:tcPr>
            <w:tcW w:w="2280" w:type="dxa"/>
            <w:vAlign w:val="bottom"/>
            <w:tcBorders>
              <w:bottom w:val="single" w:sz="8" w:color="EAEAEA"/>
            </w:tcBorders>
            <w:shd w:val="clear" w:color="auto" w:fill="EAEAEA"/>
          </w:tcPr>
          <w:p>
            <w:pPr>
              <w:spacing w:after="0"/>
              <w:rPr>
                <w:sz w:val="20"/>
                <w:szCs w:val="20"/>
                <w:color w:val="auto"/>
              </w:rPr>
            </w:pPr>
          </w:p>
        </w:tc>
        <w:tc>
          <w:tcPr>
            <w:tcW w:w="118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DEATH($)</w:t>
            </w:r>
          </w:p>
        </w:tc>
        <w:tc>
          <w:tcPr>
            <w:tcW w:w="126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4"/>
                <w:szCs w:val="14"/>
                <w:b w:val="1"/>
                <w:bCs w:val="1"/>
                <w:color w:val="5D89B4"/>
              </w:rPr>
              <w:t>DISABILITY($)</w:t>
            </w:r>
          </w:p>
        </w:tc>
        <w:tc>
          <w:tcPr>
            <w:tcW w:w="128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COC($)</w:t>
            </w:r>
          </w:p>
        </w:tc>
        <w:tc>
          <w:tcPr>
            <w:tcW w:w="132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($)(2)</w:t>
            </w:r>
          </w:p>
        </w:tc>
        <w:tc>
          <w:tcPr>
            <w:tcW w:w="96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VOLUNTARY($)</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RETIREMENT($)</w:t>
            </w:r>
          </w:p>
        </w:tc>
      </w:tr>
      <w:tr>
        <w:trPr>
          <w:trHeight w:val="245"/>
        </w:trPr>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3,125,000</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9,750,000</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28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2,000,000</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2,000,000</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400,000</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2,000,000</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760,000</w:t>
            </w:r>
          </w:p>
        </w:tc>
      </w:tr>
      <w:tr>
        <w:trPr>
          <w:trHeight w:val="50"/>
        </w:trPr>
        <w:tc>
          <w:tcPr>
            <w:tcW w:w="228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448,719</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448,719</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448,719</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448,719</w:t>
            </w:r>
          </w:p>
        </w:tc>
      </w:tr>
      <w:tr>
        <w:trPr>
          <w:trHeight w:val="50"/>
        </w:trPr>
        <w:tc>
          <w:tcPr>
            <w:tcW w:w="228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15,728,204</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15,728,204</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13,746,588</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4,930,561</w:t>
            </w:r>
          </w:p>
        </w:tc>
      </w:tr>
      <w:tr>
        <w:trPr>
          <w:trHeight w:val="50"/>
        </w:trPr>
        <w:tc>
          <w:tcPr>
            <w:tcW w:w="228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RSUs/Career Shares(7)</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5,523,164</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5,523,164</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5,523,164</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5,523,164</w:t>
            </w:r>
          </w:p>
        </w:tc>
      </w:tr>
      <w:tr>
        <w:trPr>
          <w:trHeight w:val="50"/>
        </w:trPr>
        <w:tc>
          <w:tcPr>
            <w:tcW w:w="228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24,438</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37,252</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28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23,700,087</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23,700,087</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3,549,438</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31,505,723</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11,662,444</w:t>
            </w:r>
          </w:p>
        </w:tc>
      </w:tr>
      <w:tr>
        <w:trPr>
          <w:trHeight w:val="50"/>
        </w:trPr>
        <w:tc>
          <w:tcPr>
            <w:tcW w:w="228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line="254"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term of Mr. Prising’s severance agreement expires on February 14, 2023. As of December 31, 2020, Mr. Prising was eligible for retirement treatment under certain of his outstanding awards.</w:t>
      </w:r>
    </w:p>
    <w:p>
      <w:pPr>
        <w:spacing w:after="0" w:line="47"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7" w:lineRule="exact"/>
        <w:rPr>
          <w:rFonts w:ascii="Arial" w:cs="Arial" w:eastAsia="Arial" w:hAnsi="Arial"/>
          <w:sz w:val="14"/>
          <w:szCs w:val="14"/>
          <w:color w:val="auto"/>
        </w:rPr>
      </w:pPr>
    </w:p>
    <w:p>
      <w:pPr>
        <w:ind w:left="440" w:right="160" w:hanging="433"/>
        <w:spacing w:after="0" w:line="244"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the sum of his annual base salary at the highest rate in effect during the terms of the agreement (here, $1,250,000) and his target bonus for the year of the termination (here, $2,000,000). In the case of his involuntary termination (other than for cause) or voluntary termination for good reason, the severance payment is limited to a maximum of 2.5 times Mr. Prising’s annual base salary. In a double-trigger scenario, the amount of his severance payment is multiplied by three.</w:t>
      </w:r>
    </w:p>
    <w:p>
      <w:pPr>
        <w:spacing w:after="0" w:line="54" w:lineRule="exact"/>
        <w:rPr>
          <w:rFonts w:ascii="Arial" w:cs="Arial" w:eastAsia="Arial" w:hAnsi="Arial"/>
          <w:sz w:val="14"/>
          <w:szCs w:val="14"/>
          <w:color w:val="auto"/>
        </w:rPr>
      </w:pPr>
    </w:p>
    <w:p>
      <w:pPr>
        <w:ind w:left="440" w:right="60" w:hanging="433"/>
        <w:spacing w:after="0" w:line="241"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2020 for the financial objectives and the target amount for the operating objectives. In the event of death, disability, or certain terminations following a change of control, the prorated incentive is based on the target incentive for the year of termination. In the event of retirement, the prorated incentive is based on the actual incentive earned for 2020. No proration has been applied here as this table illustrates the effect of such a termination on December 31, 2020, immediately before the incentive was earned, so as not to understate the potential value of the benefit upon the applicable termination of employment. Note that an incentive amount has also been reported as 2020 compensation for Mr. Prising in the Summary Compensation Table, as well as in the Grants of Plan-Based Awards Table.</w:t>
      </w:r>
    </w:p>
    <w:p>
      <w:pPr>
        <w:spacing w:after="0" w:line="58"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2020 ($90.18) and the exercise price of each unvested stock option held by Mr. Prising on such date.</w:t>
      </w:r>
    </w:p>
    <w:p>
      <w:pPr>
        <w:spacing w:after="0" w:line="47" w:lineRule="exact"/>
        <w:rPr>
          <w:rFonts w:ascii="Arial" w:cs="Arial" w:eastAsia="Arial" w:hAnsi="Arial"/>
          <w:sz w:val="14"/>
          <w:szCs w:val="14"/>
          <w:color w:val="auto"/>
        </w:rPr>
      </w:pPr>
    </w:p>
    <w:p>
      <w:pPr>
        <w:ind w:left="440" w:right="40" w:hanging="433"/>
        <w:spacing w:after="0" w:line="241"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(2018, 2019 and 2020 grants) using the closing stock price on December 31, 2020 ($90.18). In the case of a change of control, the payout is shown based on the number of shares earned based on actual performance for the 2018 award and assuming the Committee would determine the amount of shares earned relating to the 2019 and 2020 awards will equal the target award. In the case of a death or disability, the payout is shown based on the target awards for 2018, 2019 and 2020. In the case of retirement, the prorated award payout is shown based on the number of shares earned based on actual performance for the 2018 award and assuming actual performance for the 2019 and 2020 awards at the threshold performance level, where the 2019 and 2020 awards are prorated based on the number of months of the performance period completed as of December 31, 2020. A full payout would only be applicable in the case of a retirement where the Committee had approved a succession plan and no such succession plan was approved for Mr. Prising as of the date hereof.</w:t>
      </w:r>
    </w:p>
    <w:p>
      <w:pPr>
        <w:spacing w:after="0" w:line="57" w:lineRule="exact"/>
        <w:rPr>
          <w:rFonts w:ascii="Arial" w:cs="Arial" w:eastAsia="Arial" w:hAnsi="Arial"/>
          <w:sz w:val="14"/>
          <w:szCs w:val="14"/>
          <w:color w:val="auto"/>
        </w:rPr>
      </w:pPr>
    </w:p>
    <w:p>
      <w:pPr>
        <w:ind w:left="440" w:right="140" w:hanging="433"/>
        <w:spacing w:after="0" w:line="254"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value of any unvested RSUs is illustrated here by measuring the value of the number of shares payable under unvested awards using the closing stock price on December 31, 2020 ($90.18).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60</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2" w:name="page73"/>
    <w:bookmarkEnd w:id="72"/>
    <w:p>
      <w:pPr>
        <w:ind w:left="89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John T. McGinnis, CFO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6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440" w:type="dxa"/>
            <w:vAlign w:val="bottom"/>
            <w:shd w:val="clear" w:color="auto" w:fill="EAEAEA"/>
          </w:tcPr>
          <w:p>
            <w:pPr>
              <w:spacing w:after="0"/>
              <w:rPr>
                <w:sz w:val="18"/>
                <w:szCs w:val="18"/>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DOUBLE</w:t>
            </w:r>
          </w:p>
        </w:tc>
        <w:tc>
          <w:tcPr>
            <w:tcW w:w="114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160"/>
        </w:trPr>
        <w:tc>
          <w:tcPr>
            <w:tcW w:w="266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TRIGGER</w:t>
            </w:r>
          </w:p>
        </w:tc>
        <w:tc>
          <w:tcPr>
            <w:tcW w:w="114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(COC+</w:t>
            </w:r>
          </w:p>
        </w:tc>
        <w:tc>
          <w:tcPr>
            <w:tcW w:w="114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REASON –</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140" w:type="dxa"/>
            <w:vAlign w:val="bottom"/>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r>
      <w:tr>
        <w:trPr>
          <w:trHeight w:val="234"/>
        </w:trPr>
        <w:tc>
          <w:tcPr>
            <w:tcW w:w="2660" w:type="dxa"/>
            <w:vAlign w:val="bottom"/>
            <w:tcBorders>
              <w:bottom w:val="single" w:sz="8" w:color="EAEAEA"/>
            </w:tcBorders>
            <w:shd w:val="clear" w:color="auto" w:fill="EAEAEA"/>
          </w:tcPr>
          <w:p>
            <w:pPr>
              <w:spacing w:after="0"/>
              <w:rPr>
                <w:sz w:val="20"/>
                <w:szCs w:val="20"/>
                <w:color w:val="auto"/>
              </w:rPr>
            </w:pPr>
          </w:p>
        </w:tc>
        <w:tc>
          <w:tcPr>
            <w:tcW w:w="136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4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DISABILITY($)</w:t>
            </w:r>
          </w:p>
        </w:tc>
        <w:tc>
          <w:tcPr>
            <w:tcW w:w="148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NO COC($)</w:t>
            </w:r>
          </w:p>
        </w:tc>
        <w:tc>
          <w:tcPr>
            <w:tcW w:w="150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($)(2)</w:t>
            </w:r>
          </w:p>
        </w:tc>
        <w:tc>
          <w:tcPr>
            <w:tcW w:w="11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r>
      <w:tr>
        <w:trPr>
          <w:trHeight w:val="24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1,450,000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4,567,500</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797,500</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797,500</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145,000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797,500</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123,700</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123,700</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123,700</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4,442,267</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4,442,267</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3,913,812</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RSUs/Career Shares(7)</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2,907,854</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2,907,854</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2,907,854</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23,020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35,209</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8,271,321</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8,271,321</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1,643,020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12,370,575</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term of Mr. McGinnis’s severance agreement expires on December 12, 2021. As of December 31, 2020, Mr. McGinnis was not eligible for retirement treatment.</w:t>
      </w:r>
    </w:p>
    <w:p>
      <w:pPr>
        <w:spacing w:after="0" w:line="66"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7" w:lineRule="exact"/>
        <w:rPr>
          <w:rFonts w:ascii="Arial" w:cs="Arial" w:eastAsia="Arial" w:hAnsi="Arial"/>
          <w:sz w:val="14"/>
          <w:szCs w:val="14"/>
          <w:color w:val="auto"/>
        </w:rPr>
      </w:pPr>
    </w:p>
    <w:p>
      <w:pPr>
        <w:ind w:left="440" w:right="240" w:hanging="433"/>
        <w:spacing w:after="0" w:line="244"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$725,000) and his target annual incentive for the fiscal year in which the termination occurs (here, $797,500). In the case of his involuntary termination (other than for cause) or voluntary termination for good reason, the severance payment is limited to a maximum of 2 times Mr. McGinnis’ annual base salary. In a double-trigger scenario, the amount of his severance payment is multiplied by three.</w:t>
      </w:r>
    </w:p>
    <w:p>
      <w:pPr>
        <w:spacing w:after="0" w:line="54" w:lineRule="exact"/>
        <w:rPr>
          <w:rFonts w:ascii="Arial" w:cs="Arial" w:eastAsia="Arial" w:hAnsi="Arial"/>
          <w:sz w:val="14"/>
          <w:szCs w:val="14"/>
          <w:color w:val="auto"/>
        </w:rPr>
      </w:pPr>
    </w:p>
    <w:p>
      <w:pPr>
        <w:ind w:left="440" w:right="20" w:hanging="433"/>
        <w:spacing w:after="0" w:line="242"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2020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2020, immediately before the incentive was earned, so as not to understate the potential value of the benefit upon the applicable termination of employment. Note that an incentive amount has also been reported as 2020 compensation for him in the Summary Compensation Table, as well as in the Grants of Plan-Based Awards Table.</w:t>
      </w:r>
    </w:p>
    <w:p>
      <w:pPr>
        <w:spacing w:after="0" w:line="55"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2020 ($90.18) and the exercise price of each unvested stock option held by Mr. McGinnis on such date.</w:t>
      </w:r>
    </w:p>
    <w:p>
      <w:pPr>
        <w:spacing w:after="0" w:line="47" w:lineRule="exact"/>
        <w:rPr>
          <w:rFonts w:ascii="Arial" w:cs="Arial" w:eastAsia="Arial" w:hAnsi="Arial"/>
          <w:sz w:val="14"/>
          <w:szCs w:val="14"/>
          <w:color w:val="auto"/>
        </w:rPr>
      </w:pPr>
    </w:p>
    <w:p>
      <w:pPr>
        <w:ind w:left="440" w:right="200" w:hanging="433"/>
        <w:spacing w:after="0" w:line="244"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(2018, 2019 and 2020 grants) using the closing stock price on December 31, 2020 ($90.18). In the case of a change of control, the payout is shown based on the number of shares earned based on actual performance for the 2018 award and assuming the Committee would determine the amount of shares earned relating to the 2019 and 2020 awards will equal the target award. In the case of a death or disability, the payout is shown based on the target awards for 2018, 2019 and 2020.</w:t>
      </w:r>
    </w:p>
    <w:p>
      <w:pPr>
        <w:spacing w:after="0" w:line="54" w:lineRule="exact"/>
        <w:rPr>
          <w:rFonts w:ascii="Arial" w:cs="Arial" w:eastAsia="Arial" w:hAnsi="Arial"/>
          <w:sz w:val="14"/>
          <w:szCs w:val="14"/>
          <w:color w:val="auto"/>
        </w:rPr>
      </w:pPr>
    </w:p>
    <w:p>
      <w:pPr>
        <w:ind w:left="440" w:right="60" w:hanging="433"/>
        <w:spacing w:after="0" w:line="254"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2020 ($90.18).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Michelle S. Nettles, Chief People &amp; Culture Officer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44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DOUBLE</w:t>
            </w:r>
          </w:p>
        </w:tc>
        <w:tc>
          <w:tcPr>
            <w:tcW w:w="112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TRIGGER</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(COC+</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REASON –</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120" w:type="dxa"/>
            <w:vAlign w:val="bottom"/>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r>
      <w:tr>
        <w:trPr>
          <w:trHeight w:val="234"/>
        </w:trPr>
        <w:tc>
          <w:tcPr>
            <w:tcW w:w="2700" w:type="dxa"/>
            <w:vAlign w:val="bottom"/>
            <w:tcBorders>
              <w:bottom w:val="single" w:sz="8" w:color="EAEAEA"/>
            </w:tcBorders>
            <w:shd w:val="clear" w:color="auto" w:fill="EAEAEA"/>
          </w:tcPr>
          <w:p>
            <w:pPr>
              <w:spacing w:after="0"/>
              <w:rPr>
                <w:sz w:val="20"/>
                <w:szCs w:val="20"/>
                <w:color w:val="auto"/>
              </w:rPr>
            </w:pPr>
          </w:p>
        </w:tc>
        <w:tc>
          <w:tcPr>
            <w:tcW w:w="136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4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DISABILITY($)</w:t>
            </w:r>
          </w:p>
        </w:tc>
        <w:tc>
          <w:tcPr>
            <w:tcW w:w="146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NO COC($)</w:t>
            </w:r>
          </w:p>
        </w:tc>
        <w:tc>
          <w:tcPr>
            <w:tcW w:w="150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($)(2)</w:t>
            </w:r>
          </w:p>
        </w:tc>
        <w:tc>
          <w:tcPr>
            <w:tcW w:w="112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r>
      <w:tr>
        <w:trPr>
          <w:trHeight w:val="24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962,500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1,925,000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412,500</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412,500</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110,000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412,500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53,516</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53,516</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53,516</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1,229,153</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1,229,153</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1,229,153</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RSUs/Career Shares(7)</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1,280,376</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1,280,376</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1,280,376</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17,286</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26,436</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2,975,545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2,975,545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1,114,786</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4,951,981</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term of Ms. Nettles’ severance agreement expires on August 14, 2022. As of December 31, 2020, Ms. Nettles was not eligible for retirement treatment.</w:t>
      </w:r>
    </w:p>
    <w:p>
      <w:pPr>
        <w:spacing w:after="0" w:line="66"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7" w:lineRule="exact"/>
        <w:rPr>
          <w:rFonts w:ascii="Arial" w:cs="Arial" w:eastAsia="Arial" w:hAnsi="Arial"/>
          <w:sz w:val="14"/>
          <w:szCs w:val="14"/>
          <w:color w:val="auto"/>
        </w:rPr>
      </w:pPr>
    </w:p>
    <w:p>
      <w:pPr>
        <w:ind w:left="440" w:right="160" w:hanging="433"/>
        <w:spacing w:after="0" w:line="246"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 of the severance payment under Ms. Nettles’ severance agreement is equal to her annual base salary at the highest rate in effect during the term of the agreement (here, $550,000) and her target annual incentive for the fiscal year in which the termination occurs (here, $412,500). In a double-trigger scenario, the amount of her severance payment is multiplied by two.</w:t>
      </w:r>
    </w:p>
    <w:p>
      <w:pPr>
        <w:spacing w:after="0" w:line="53" w:lineRule="exact"/>
        <w:rPr>
          <w:rFonts w:ascii="Arial" w:cs="Arial" w:eastAsia="Arial" w:hAnsi="Arial"/>
          <w:sz w:val="14"/>
          <w:szCs w:val="14"/>
          <w:color w:val="auto"/>
        </w:rPr>
      </w:pPr>
    </w:p>
    <w:p>
      <w:pPr>
        <w:ind w:left="440" w:right="100" w:hanging="433"/>
        <w:spacing w:after="0" w:line="242"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 the case of her involuntary termination (other than for cause) or voluntary termination for good reason, the amount of the prorated incentive payable to her under her severance agreement is based on the actual incentive earned for 2020 for the financial objectives and the target amount for the operating objectives. In the event of death, disability, or certain terminations following a change of control, the prorated incentive payable to her under her severance agreement is based on the target incentive for the year of termination. No proration has been applied here as this table illustrates the effect of such a termination on December 31, 2020, immediately before the incentive was earned, so as not to understate the potential value of the benefit upon the applicable termination of employment. Note that an incentive amount has also been reported as 2020 compensation for her in the Summary Compensation Table, as well as in the Grants of Plan-Based Awards Table.</w:t>
      </w:r>
    </w:p>
    <w:p>
      <w:pPr>
        <w:spacing w:after="0" w:line="55"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2020 ($90.18) and the exercise price of each unvested stock option held by Ms. Nettles on December 31, 2020.</w:t>
      </w:r>
    </w:p>
    <w:p>
      <w:pPr>
        <w:spacing w:after="0" w:line="47" w:lineRule="exact"/>
        <w:rPr>
          <w:rFonts w:ascii="Arial" w:cs="Arial" w:eastAsia="Arial" w:hAnsi="Arial"/>
          <w:sz w:val="14"/>
          <w:szCs w:val="14"/>
          <w:color w:val="auto"/>
        </w:rPr>
      </w:pPr>
    </w:p>
    <w:p>
      <w:pPr>
        <w:ind w:left="440" w:right="100" w:hanging="433"/>
        <w:spacing w:after="0" w:line="244"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(2019 and 2020 grants) using the closing stock price on December 31, 2020 ($90.18). In the case of a change of control, the payout is shown based on the number of shares earned assuming the Committee would determine the amount of shares earned relating to the 2019 and 2020 awards will equal the target award. In the case of a death or disability, the payout is shown based on the target awards for 2019 and 2020.</w:t>
      </w:r>
    </w:p>
    <w:p>
      <w:pPr>
        <w:spacing w:after="0" w:line="54" w:lineRule="exact"/>
        <w:rPr>
          <w:rFonts w:ascii="Arial" w:cs="Arial" w:eastAsia="Arial" w:hAnsi="Arial"/>
          <w:sz w:val="14"/>
          <w:szCs w:val="14"/>
          <w:color w:val="auto"/>
        </w:rPr>
      </w:pPr>
    </w:p>
    <w:p>
      <w:pPr>
        <w:ind w:left="440" w:right="140" w:hanging="433"/>
        <w:spacing w:after="0" w:line="254"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2020 ($90.18).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62</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74" w:name="page75"/>
    <w:bookmarkEnd w:id="74"/>
    <w:p>
      <w:pPr>
        <w:ind w:left="89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Richard Buchband, SVP, General Counsel and Secretary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44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DOUBLE</w:t>
            </w:r>
          </w:p>
        </w:tc>
        <w:tc>
          <w:tcPr>
            <w:tcW w:w="112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TRIGGER</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(COC+</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REASON –</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120" w:type="dxa"/>
            <w:vAlign w:val="bottom"/>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r>
      <w:tr>
        <w:trPr>
          <w:trHeight w:val="234"/>
        </w:trPr>
        <w:tc>
          <w:tcPr>
            <w:tcW w:w="2700" w:type="dxa"/>
            <w:vAlign w:val="bottom"/>
            <w:tcBorders>
              <w:bottom w:val="single" w:sz="8" w:color="EAEAEA"/>
            </w:tcBorders>
            <w:shd w:val="clear" w:color="auto" w:fill="EAEAEA"/>
          </w:tcPr>
          <w:p>
            <w:pPr>
              <w:spacing w:after="0"/>
              <w:rPr>
                <w:sz w:val="20"/>
                <w:szCs w:val="20"/>
                <w:color w:val="auto"/>
              </w:rPr>
            </w:pPr>
          </w:p>
        </w:tc>
        <w:tc>
          <w:tcPr>
            <w:tcW w:w="136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4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DISABILITY($)</w:t>
            </w:r>
          </w:p>
        </w:tc>
        <w:tc>
          <w:tcPr>
            <w:tcW w:w="146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NO COC($)</w:t>
            </w:r>
          </w:p>
        </w:tc>
        <w:tc>
          <w:tcPr>
            <w:tcW w:w="150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($)(2)</w:t>
            </w:r>
          </w:p>
        </w:tc>
        <w:tc>
          <w:tcPr>
            <w:tcW w:w="112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r>
      <w:tr>
        <w:trPr>
          <w:trHeight w:val="24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918,750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1,837,500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393,750</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393,750</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105,000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393,750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38,813</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38,813</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38,813</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1,332,049</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1,332,049</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1,155,927</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RSUs/Career Shares(7)</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468,305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468,305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468,305</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26,313</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40,252</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2,232,917</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2,232,917</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1,075,063</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3,959,547</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term of Mr. Buchband’s severance agreement expires on November 8, 2021. As of December 31, 2020, Mr. Buchband was not eligible for retirement treatment.</w:t>
      </w:r>
    </w:p>
    <w:p>
      <w:pPr>
        <w:spacing w:after="0" w:line="66"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7" w:lineRule="exact"/>
        <w:rPr>
          <w:rFonts w:ascii="Arial" w:cs="Arial" w:eastAsia="Arial" w:hAnsi="Arial"/>
          <w:sz w:val="14"/>
          <w:szCs w:val="14"/>
          <w:color w:val="auto"/>
        </w:rPr>
      </w:pPr>
    </w:p>
    <w:p>
      <w:pPr>
        <w:jc w:val="both"/>
        <w:ind w:left="440" w:right="180" w:hanging="433"/>
        <w:spacing w:after="0" w:line="246"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 of the severance payment under Mr. Buchband’s severance agreement is equal to his annual base salary at the highest rate in effect during the term of the agreement (here, $525,000) and his target annual incentive for the fiscal year in which the termination occurs (here, $393,750). In a double-trigger scenario, the amount of his severance payment is multiplied by two.</w:t>
      </w:r>
    </w:p>
    <w:p>
      <w:pPr>
        <w:spacing w:after="0" w:line="53" w:lineRule="exact"/>
        <w:rPr>
          <w:rFonts w:ascii="Arial" w:cs="Arial" w:eastAsia="Arial" w:hAnsi="Arial"/>
          <w:sz w:val="14"/>
          <w:szCs w:val="14"/>
          <w:color w:val="auto"/>
        </w:rPr>
      </w:pPr>
    </w:p>
    <w:p>
      <w:pPr>
        <w:ind w:left="440" w:right="20" w:hanging="433"/>
        <w:spacing w:after="0" w:line="242"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2020 for the financial objectives and the target amount for the operating objectives. In the event of death, disability, or certain terminations following a change of control, the prorated incentive payable to him under his severance agreement is based on the target incentive for the year of termination. No proration has been applied here as this table illustrates the effect of such a termination on December 31, 2020, immediately before the incentive was earned, so as not to understate the potential value of the benefit upon the applicable termination of employment. Note that an incentive amount has also been reported as 2020 compensation for him in the Summary Compensation Table, as well as in the Grants of Plan-Based Awards Table.</w:t>
      </w:r>
    </w:p>
    <w:p>
      <w:pPr>
        <w:spacing w:after="0" w:line="55"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2020 ($90.18) and the exercise price of each unvested stock option held by Mr. Buchband on December 31, 2020.</w:t>
      </w:r>
    </w:p>
    <w:p>
      <w:pPr>
        <w:spacing w:after="0" w:line="47" w:lineRule="exact"/>
        <w:rPr>
          <w:rFonts w:ascii="Arial" w:cs="Arial" w:eastAsia="Arial" w:hAnsi="Arial"/>
          <w:sz w:val="14"/>
          <w:szCs w:val="14"/>
          <w:color w:val="auto"/>
        </w:rPr>
      </w:pPr>
    </w:p>
    <w:p>
      <w:pPr>
        <w:ind w:left="440" w:right="200" w:hanging="433"/>
        <w:spacing w:after="0" w:line="244"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(2018, 2019 and 2020 grants) using the closing stock price on December 31, 2020 ($90.18). In the case of a change of control, the payout is shown based on the number of shares earned based on actual performance for the 2018 award and assuming the Committee would determine the amount of shares earned relating to the 2019 and 2020 awards will equal the target award. In the case of a death or disability, the payout is shown based on the target awards for 2018, 2019 and 2020.</w:t>
      </w:r>
    </w:p>
    <w:p>
      <w:pPr>
        <w:spacing w:after="0" w:line="54" w:lineRule="exact"/>
        <w:rPr>
          <w:rFonts w:ascii="Arial" w:cs="Arial" w:eastAsia="Arial" w:hAnsi="Arial"/>
          <w:sz w:val="14"/>
          <w:szCs w:val="14"/>
          <w:color w:val="auto"/>
        </w:rPr>
      </w:pPr>
    </w:p>
    <w:p>
      <w:pPr>
        <w:ind w:left="440" w:right="140" w:hanging="433"/>
        <w:spacing w:after="0" w:line="254"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2020 ($90.18).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63</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Mara E. Swan, EVP, Global Strategy and Talent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120" w:type="dxa"/>
            <w:vAlign w:val="bottom"/>
            <w:tcBorders>
              <w:bottom w:val="single" w:sz="8" w:color="EAEAEA"/>
            </w:tcBorders>
            <w:shd w:val="clear" w:color="auto" w:fill="EAEAEA"/>
          </w:tcPr>
          <w:p>
            <w:pPr>
              <w:spacing w:after="0"/>
              <w:rPr>
                <w:sz w:val="23"/>
                <w:szCs w:val="23"/>
                <w:color w:val="auto"/>
              </w:rPr>
            </w:pPr>
          </w:p>
        </w:tc>
        <w:tc>
          <w:tcPr>
            <w:tcW w:w="18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RETIREMENT($)</w:t>
            </w:r>
          </w:p>
        </w:tc>
      </w:tr>
      <w:tr>
        <w:trPr>
          <w:trHeight w:val="245"/>
        </w:trPr>
        <w:tc>
          <w:tcPr>
            <w:tcW w:w="9120" w:type="dxa"/>
            <w:vAlign w:val="bottom"/>
          </w:tcPr>
          <w:p>
            <w:pPr>
              <w:ind w:left="80"/>
              <w:spacing w:after="0"/>
              <w:rPr>
                <w:sz w:val="20"/>
                <w:szCs w:val="20"/>
                <w:color w:val="auto"/>
              </w:rPr>
            </w:pPr>
            <w:r>
              <w:rPr>
                <w:rFonts w:ascii="Arial" w:cs="Arial" w:eastAsia="Arial" w:hAnsi="Arial"/>
                <w:sz w:val="14"/>
                <w:szCs w:val="14"/>
                <w:b w:val="1"/>
                <w:bCs w:val="1"/>
                <w:color w:val="auto"/>
              </w:rPr>
              <w:t>Options(2)</w:t>
            </w: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9120" w:type="dxa"/>
            <w:vAlign w:val="bottom"/>
            <w:tcBorders>
              <w:bottom w:val="single" w:sz="8" w:color="5D89B4"/>
            </w:tcBorders>
          </w:tcPr>
          <w:p>
            <w:pPr>
              <w:spacing w:after="0"/>
              <w:rPr>
                <w:sz w:val="4"/>
                <w:szCs w:val="4"/>
                <w:color w:val="auto"/>
              </w:rPr>
            </w:pPr>
          </w:p>
        </w:tc>
        <w:tc>
          <w:tcPr>
            <w:tcW w:w="1800" w:type="dxa"/>
            <w:vAlign w:val="bottom"/>
            <w:tcBorders>
              <w:bottom w:val="single" w:sz="8" w:color="5D89B4"/>
            </w:tcBorders>
          </w:tcPr>
          <w:p>
            <w:pPr>
              <w:spacing w:after="0"/>
              <w:rPr>
                <w:sz w:val="4"/>
                <w:szCs w:val="4"/>
                <w:color w:val="auto"/>
              </w:rPr>
            </w:pPr>
          </w:p>
        </w:tc>
      </w:tr>
      <w:tr>
        <w:trPr>
          <w:trHeight w:val="225"/>
        </w:trPr>
        <w:tc>
          <w:tcPr>
            <w:tcW w:w="9120" w:type="dxa"/>
            <w:vAlign w:val="bottom"/>
          </w:tcPr>
          <w:p>
            <w:pPr>
              <w:ind w:left="80"/>
              <w:spacing w:after="0"/>
              <w:rPr>
                <w:sz w:val="20"/>
                <w:szCs w:val="20"/>
                <w:color w:val="auto"/>
              </w:rPr>
            </w:pPr>
            <w:r>
              <w:rPr>
                <w:rFonts w:ascii="Arial" w:cs="Arial" w:eastAsia="Arial" w:hAnsi="Arial"/>
                <w:sz w:val="14"/>
                <w:szCs w:val="14"/>
                <w:b w:val="1"/>
                <w:bCs w:val="1"/>
                <w:color w:val="auto"/>
              </w:rPr>
              <w:t>PSUs(3)</w:t>
            </w:r>
          </w:p>
        </w:tc>
        <w:tc>
          <w:tcPr>
            <w:tcW w:w="1800" w:type="dxa"/>
            <w:vAlign w:val="bottom"/>
          </w:tcPr>
          <w:p>
            <w:pPr>
              <w:jc w:val="right"/>
              <w:spacing w:after="0"/>
              <w:rPr>
                <w:sz w:val="20"/>
                <w:szCs w:val="20"/>
                <w:color w:val="auto"/>
              </w:rPr>
            </w:pPr>
            <w:r>
              <w:rPr>
                <w:rFonts w:ascii="Arial" w:cs="Arial" w:eastAsia="Arial" w:hAnsi="Arial"/>
                <w:sz w:val="15"/>
                <w:szCs w:val="15"/>
                <w:color w:val="auto"/>
              </w:rPr>
              <w:t>308,599</w:t>
            </w:r>
          </w:p>
        </w:tc>
      </w:tr>
      <w:tr>
        <w:trPr>
          <w:trHeight w:val="50"/>
        </w:trPr>
        <w:tc>
          <w:tcPr>
            <w:tcW w:w="9120" w:type="dxa"/>
            <w:vAlign w:val="bottom"/>
            <w:tcBorders>
              <w:bottom w:val="single" w:sz="8" w:color="5D89B4"/>
            </w:tcBorders>
          </w:tcPr>
          <w:p>
            <w:pPr>
              <w:spacing w:after="0"/>
              <w:rPr>
                <w:sz w:val="4"/>
                <w:szCs w:val="4"/>
                <w:color w:val="auto"/>
              </w:rPr>
            </w:pPr>
          </w:p>
        </w:tc>
        <w:tc>
          <w:tcPr>
            <w:tcW w:w="1800" w:type="dxa"/>
            <w:vAlign w:val="bottom"/>
            <w:tcBorders>
              <w:bottom w:val="single" w:sz="8" w:color="5D89B4"/>
            </w:tcBorders>
          </w:tcPr>
          <w:p>
            <w:pPr>
              <w:spacing w:after="0"/>
              <w:rPr>
                <w:sz w:val="4"/>
                <w:szCs w:val="4"/>
                <w:color w:val="auto"/>
              </w:rPr>
            </w:pPr>
          </w:p>
        </w:tc>
      </w:tr>
      <w:tr>
        <w:trPr>
          <w:trHeight w:val="225"/>
        </w:trPr>
        <w:tc>
          <w:tcPr>
            <w:tcW w:w="9120" w:type="dxa"/>
            <w:vAlign w:val="bottom"/>
          </w:tcPr>
          <w:p>
            <w:pPr>
              <w:ind w:left="80"/>
              <w:spacing w:after="0"/>
              <w:rPr>
                <w:sz w:val="20"/>
                <w:szCs w:val="20"/>
                <w:color w:val="auto"/>
              </w:rPr>
            </w:pPr>
            <w:r>
              <w:rPr>
                <w:rFonts w:ascii="Arial" w:cs="Arial" w:eastAsia="Arial" w:hAnsi="Arial"/>
                <w:sz w:val="14"/>
                <w:szCs w:val="14"/>
                <w:b w:val="1"/>
                <w:bCs w:val="1"/>
                <w:color w:val="auto"/>
              </w:rPr>
              <w:t>RSUs/Career Shares(4)</w:t>
            </w:r>
          </w:p>
        </w:tc>
        <w:tc>
          <w:tcPr>
            <w:tcW w:w="1800" w:type="dxa"/>
            <w:vAlign w:val="bottom"/>
          </w:tcPr>
          <w:p>
            <w:pPr>
              <w:jc w:val="right"/>
              <w:spacing w:after="0"/>
              <w:rPr>
                <w:sz w:val="20"/>
                <w:szCs w:val="20"/>
                <w:color w:val="auto"/>
              </w:rPr>
            </w:pPr>
            <w:r>
              <w:rPr>
                <w:rFonts w:ascii="Arial" w:cs="Arial" w:eastAsia="Arial" w:hAnsi="Arial"/>
                <w:sz w:val="15"/>
                <w:szCs w:val="15"/>
                <w:color w:val="auto"/>
              </w:rPr>
              <w:t>1,391,674</w:t>
            </w:r>
          </w:p>
        </w:tc>
      </w:tr>
      <w:tr>
        <w:trPr>
          <w:trHeight w:val="50"/>
        </w:trPr>
        <w:tc>
          <w:tcPr>
            <w:tcW w:w="9120" w:type="dxa"/>
            <w:vAlign w:val="bottom"/>
            <w:tcBorders>
              <w:bottom w:val="single" w:sz="8" w:color="5D89B4"/>
            </w:tcBorders>
          </w:tcPr>
          <w:p>
            <w:pPr>
              <w:spacing w:after="0"/>
              <w:rPr>
                <w:sz w:val="4"/>
                <w:szCs w:val="4"/>
                <w:color w:val="auto"/>
              </w:rPr>
            </w:pPr>
          </w:p>
        </w:tc>
        <w:tc>
          <w:tcPr>
            <w:tcW w:w="1800" w:type="dxa"/>
            <w:vAlign w:val="bottom"/>
            <w:tcBorders>
              <w:bottom w:val="single" w:sz="8" w:color="5D89B4"/>
            </w:tcBorders>
          </w:tcPr>
          <w:p>
            <w:pPr>
              <w:spacing w:after="0"/>
              <w:rPr>
                <w:sz w:val="4"/>
                <w:szCs w:val="4"/>
                <w:color w:val="auto"/>
              </w:rPr>
            </w:pPr>
          </w:p>
        </w:tc>
      </w:tr>
      <w:tr>
        <w:trPr>
          <w:trHeight w:val="225"/>
        </w:trPr>
        <w:tc>
          <w:tcPr>
            <w:tcW w:w="912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800" w:type="dxa"/>
            <w:vAlign w:val="bottom"/>
          </w:tcPr>
          <w:p>
            <w:pPr>
              <w:jc w:val="right"/>
              <w:spacing w:after="0"/>
              <w:rPr>
                <w:sz w:val="20"/>
                <w:szCs w:val="20"/>
                <w:color w:val="auto"/>
              </w:rPr>
            </w:pPr>
            <w:r>
              <w:rPr>
                <w:rFonts w:ascii="Arial" w:cs="Arial" w:eastAsia="Arial" w:hAnsi="Arial"/>
                <w:sz w:val="15"/>
                <w:szCs w:val="15"/>
                <w:color w:val="auto"/>
              </w:rPr>
              <w:t>1,700,273</w:t>
            </w:r>
          </w:p>
        </w:tc>
      </w:tr>
      <w:tr>
        <w:trPr>
          <w:trHeight w:val="50"/>
        </w:trPr>
        <w:tc>
          <w:tcPr>
            <w:tcW w:w="9120" w:type="dxa"/>
            <w:vAlign w:val="bottom"/>
            <w:tcBorders>
              <w:bottom w:val="single" w:sz="8" w:color="5D89B4"/>
            </w:tcBorders>
          </w:tcPr>
          <w:p>
            <w:pPr>
              <w:spacing w:after="0"/>
              <w:rPr>
                <w:sz w:val="4"/>
                <w:szCs w:val="4"/>
                <w:color w:val="auto"/>
              </w:rPr>
            </w:pPr>
          </w:p>
        </w:tc>
        <w:tc>
          <w:tcPr>
            <w:tcW w:w="180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Swan retired on March 7, 2020.</w:t>
      </w:r>
    </w:p>
    <w:p>
      <w:pPr>
        <w:spacing w:after="0" w:line="66" w:lineRule="exact"/>
        <w:rPr>
          <w:rFonts w:ascii="Arial" w:cs="Arial" w:eastAsia="Arial" w:hAnsi="Arial"/>
          <w:sz w:val="14"/>
          <w:szCs w:val="14"/>
          <w:color w:val="auto"/>
        </w:rPr>
      </w:pPr>
    </w:p>
    <w:p>
      <w:pPr>
        <w:ind w:left="440" w:hanging="433"/>
        <w:spacing w:after="0" w:line="246" w:lineRule="auto"/>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March 6, 2020 ($72.92), the last trading date prior to the date of Ms. Swan’s retirement on March 7, 2020, and the exercise price of each unvested stock option held by Ms. Swan on such date. As of the date of Ms. Swan’s retirement, the exercise price of all unvested options exceeded the closing stock price on March 6, 2020, resulting in no value being illustrated.</w:t>
      </w:r>
    </w:p>
    <w:p>
      <w:pPr>
        <w:spacing w:after="0" w:line="53" w:lineRule="exact"/>
        <w:rPr>
          <w:rFonts w:ascii="Arial" w:cs="Arial" w:eastAsia="Arial" w:hAnsi="Arial"/>
          <w:sz w:val="14"/>
          <w:szCs w:val="14"/>
          <w:color w:val="auto"/>
        </w:rPr>
      </w:pPr>
    </w:p>
    <w:p>
      <w:pPr>
        <w:ind w:left="440" w:right="120" w:hanging="433"/>
        <w:spacing w:after="0" w:line="239" w:lineRule="auto"/>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value of PSUs which Ms. Swan became vested in upon her retirement March 7, 2020 is illustrated here by measuring the value of the number of shares payable under her outstanding 2018 award based on actual performance using the closing stock price on February 11, 2021 ($93.60), the date the shares were paid to</w:t>
      </w:r>
    </w:p>
    <w:p>
      <w:pPr>
        <w:ind w:left="440"/>
        <w:spacing w:after="0"/>
        <w:rPr>
          <w:rFonts w:ascii="Arial" w:cs="Arial" w:eastAsia="Arial" w:hAnsi="Arial"/>
          <w:sz w:val="14"/>
          <w:szCs w:val="14"/>
          <w:color w:val="auto"/>
        </w:rPr>
      </w:pPr>
      <w:r>
        <w:rPr>
          <w:rFonts w:ascii="Arial" w:cs="Arial" w:eastAsia="Arial" w:hAnsi="Arial"/>
          <w:sz w:val="14"/>
          <w:szCs w:val="14"/>
          <w:color w:val="auto"/>
        </w:rPr>
        <w:t>Ms. Swan.</w:t>
      </w:r>
    </w:p>
    <w:p>
      <w:pPr>
        <w:spacing w:after="0" w:line="66" w:lineRule="exact"/>
        <w:rPr>
          <w:rFonts w:ascii="Arial" w:cs="Arial" w:eastAsia="Arial" w:hAnsi="Arial"/>
          <w:sz w:val="14"/>
          <w:szCs w:val="14"/>
          <w:color w:val="auto"/>
        </w:rPr>
      </w:pPr>
    </w:p>
    <w:p>
      <w:pPr>
        <w:ind w:left="440" w:right="40" w:hanging="433"/>
        <w:spacing w:after="0" w:line="246" w:lineRule="auto"/>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that became payable on September 8, 2020 using the closing stock price on September 4, 2020 ($73.30), the last trading date prior to the date the shares were paid to Ms. Swan. Although Ms. Swan became vested in unvested restricted stock units as of her retirement date, payment of the shares was delayed due to legal requirements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64</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6" w:name="page77"/>
    <w:bookmarkEnd w:id="76"/>
    <w:p>
      <w:pPr>
        <w:ind w:right="160"/>
        <w:spacing w:after="0" w:line="276" w:lineRule="auto"/>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Policies and Practices as They Relate to Risk Management</w:t>
      </w:r>
    </w:p>
    <w:p>
      <w:pPr>
        <w:spacing w:after="0" w:line="223"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14"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As ManpowerGroup operates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62" w:lineRule="exact"/>
        <w:rPr>
          <w:sz w:val="20"/>
          <w:szCs w:val="20"/>
          <w:color w:val="auto"/>
        </w:rPr>
      </w:pPr>
    </w:p>
    <w:p>
      <w:pPr>
        <w:ind w:left="220" w:right="120" w:hanging="213"/>
        <w:spacing w:after="0" w:line="237"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general, each of our incentive plans has a threshold, target and outstanding payout level, which is not material to the Company, that is earned based on the results of the financial metrics.</w:t>
      </w:r>
    </w:p>
    <w:p>
      <w:pPr>
        <w:spacing w:after="0" w:line="60" w:lineRule="exact"/>
        <w:rPr>
          <w:rFonts w:ascii="Arial" w:cs="Arial" w:eastAsia="Arial" w:hAnsi="Arial"/>
          <w:sz w:val="15"/>
          <w:szCs w:val="15"/>
          <w:color w:val="auto"/>
        </w:rPr>
      </w:pPr>
    </w:p>
    <w:p>
      <w:pPr>
        <w:ind w:left="220" w:right="440" w:hanging="213"/>
        <w:spacing w:after="0" w:line="237"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annual incentive and PSU awards are capped at a maximum level such that employees cannot receive a bonus that is significant enough to create a significant risk to the Company.</w:t>
      </w:r>
    </w:p>
    <w:p>
      <w:pPr>
        <w:spacing w:after="0" w:line="60" w:lineRule="exact"/>
        <w:rPr>
          <w:rFonts w:ascii="Arial" w:cs="Arial" w:eastAsia="Arial" w:hAnsi="Arial"/>
          <w:sz w:val="15"/>
          <w:szCs w:val="15"/>
          <w:color w:val="auto"/>
        </w:rPr>
      </w:pPr>
    </w:p>
    <w:p>
      <w:pPr>
        <w:ind w:left="220" w:right="160" w:hanging="213"/>
        <w:spacing w:after="0" w:line="237"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60" w:lineRule="exact"/>
        <w:rPr>
          <w:rFonts w:ascii="Arial" w:cs="Arial" w:eastAsia="Arial" w:hAnsi="Arial"/>
          <w:sz w:val="15"/>
          <w:szCs w:val="15"/>
          <w:color w:val="auto"/>
        </w:rPr>
      </w:pPr>
    </w:p>
    <w:p>
      <w:pPr>
        <w:ind w:left="220" w:right="680" w:hanging="213"/>
        <w:spacing w:after="0" w:line="237"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Each of the NEOs is subject to stock ownership guidelines.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have adopted a clawback policy.</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do not permit executives to engage in short-selling of ManpowerGroup securities or trading in puts and calls on ManpowerGroup securities.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do not permit our NEOs to pledge shares of our common stock.</w:t>
      </w:r>
    </w:p>
    <w:p>
      <w:pPr>
        <w:spacing w:after="0" w:line="135"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Based on the above factors, we do not believe our compensation policies and practices create risks that are reasonably likely to have a material adverse effect on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65</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49" w:right="519" w:bottom="1440" w:gutter="0" w:footer="0" w:header="0"/>
        </w:sectPr>
      </w:pPr>
    </w:p>
    <w:bookmarkStart w:id="77" w:name="page78"/>
    <w:bookmarkEnd w:id="77"/>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CEO Pay Ratio</w:t>
      </w:r>
    </w:p>
    <w:p>
      <w:pPr>
        <w:spacing w:after="0" w:line="371" w:lineRule="exact"/>
        <w:rPr>
          <w:sz w:val="20"/>
          <w:szCs w:val="20"/>
          <w:color w:val="auto"/>
        </w:rPr>
      </w:pPr>
    </w:p>
    <w:p>
      <w:pPr>
        <w:ind w:right="660"/>
        <w:spacing w:after="0" w:line="237" w:lineRule="auto"/>
        <w:rPr>
          <w:sz w:val="20"/>
          <w:szCs w:val="20"/>
          <w:color w:val="auto"/>
        </w:rPr>
      </w:pPr>
      <w:r>
        <w:rPr>
          <w:rFonts w:ascii="Arial" w:cs="Arial" w:eastAsia="Arial" w:hAnsi="Arial"/>
          <w:sz w:val="15"/>
          <w:szCs w:val="15"/>
          <w:color w:val="auto"/>
        </w:rPr>
        <w:t>In accordance with the requirements of Item 402(u) of Regulation S-K, we have calculated a CEO Pay Ratio for 2020. This ratio is a reasonable estimate, calculated as described below.</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Overview</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As required under Item 402(u) of Regulations S-K, the median employee must be recalculated every three years. We last calculated our median employee in 2017.</w:t>
      </w:r>
    </w:p>
    <w:p>
      <w:pPr>
        <w:spacing w:after="0"/>
        <w:rPr>
          <w:sz w:val="20"/>
          <w:szCs w:val="20"/>
          <w:color w:val="auto"/>
        </w:rPr>
      </w:pPr>
      <w:r>
        <w:rPr>
          <w:rFonts w:ascii="Arial" w:cs="Arial" w:eastAsia="Arial" w:hAnsi="Arial"/>
          <w:sz w:val="15"/>
          <w:szCs w:val="15"/>
          <w:color w:val="auto"/>
        </w:rPr>
        <w:t>As such, we have recalculated our median employee for 2020, utilizing a similar process to that performed in 2017, which is described below.</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Measurement Date</w:t>
      </w:r>
    </w:p>
    <w:p>
      <w:pPr>
        <w:spacing w:after="0" w:line="139" w:lineRule="exact"/>
        <w:rPr>
          <w:sz w:val="20"/>
          <w:szCs w:val="20"/>
          <w:color w:val="auto"/>
        </w:rPr>
      </w:pPr>
    </w:p>
    <w:p>
      <w:pPr>
        <w:ind w:right="280"/>
        <w:spacing w:after="0" w:line="229" w:lineRule="auto"/>
        <w:rPr>
          <w:sz w:val="20"/>
          <w:szCs w:val="20"/>
          <w:color w:val="auto"/>
        </w:rPr>
      </w:pPr>
      <w:r>
        <w:rPr>
          <w:rFonts w:ascii="Arial" w:cs="Arial" w:eastAsia="Arial" w:hAnsi="Arial"/>
          <w:sz w:val="15"/>
          <w:szCs w:val="15"/>
          <w:color w:val="auto"/>
        </w:rPr>
        <w:t>We utilized a measurement date of October 1, 2020, which reflects an employee population of approximately 600,000 individuals worldwide as of the measurement date. It is important to note that 95% of this population comprises our “associates” — these are the employees on assignment that day with our clients within the 75 countries and territories in which we operated in 2020.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Consistently Applied Compensation Measure</w:t>
      </w:r>
    </w:p>
    <w:p>
      <w:pPr>
        <w:spacing w:after="0" w:line="139" w:lineRule="exact"/>
        <w:rPr>
          <w:sz w:val="20"/>
          <w:szCs w:val="20"/>
          <w:color w:val="auto"/>
        </w:rPr>
      </w:pPr>
    </w:p>
    <w:p>
      <w:pPr>
        <w:ind w:right="80"/>
        <w:spacing w:after="0" w:line="228" w:lineRule="auto"/>
        <w:rPr>
          <w:sz w:val="20"/>
          <w:szCs w:val="20"/>
          <w:color w:val="auto"/>
        </w:rPr>
      </w:pPr>
      <w:r>
        <w:rPr>
          <w:rFonts w:ascii="Arial" w:cs="Arial" w:eastAsia="Arial" w:hAnsi="Arial"/>
          <w:sz w:val="15"/>
          <w:szCs w:val="15"/>
          <w:color w:val="auto"/>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in 2020, but not for our associates whose positions are seasonal or temporary in nature. From this, our median employee was identified, an associate in Poland who worked as a production worker for part of the year and whose total annual compensation was calculated in accordance with the requirements of the Summary Compensation Table as being $6,260. When calculated against Mr. Prising’s compensation for 2020 of $11,903,571 as reflected in the Summary Compensation Table, it yields a CEO Pay Ratio of 1,902:1.</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Calculation Excluding Associates</w:t>
      </w:r>
    </w:p>
    <w:p>
      <w:pPr>
        <w:spacing w:after="0" w:line="139"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Supplementally, we have again calculated a CEO pay ratio excluding our associates for 2020. As noted above, most of the individuals who are counted as “employees” under Item 402(u) are in fact associates who are performing work for our clients on a temporary basis. If we include only our “permanent” staff as of October 1, 2020, our median employee as of the measurement date was a billing manager in France. This individual’s annualized total compensation was $43,081 for 2020. Under this calculation, the CEO pay ratio is 276:1. We believe this is a more representative indication of how our CEO pay compares to that of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66</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78" w:name="page79"/>
    <w:bookmarkEnd w:id="78"/>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Audit Committee Report</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Charter and Responsibilities</w:t>
      </w:r>
    </w:p>
    <w:p>
      <w:pPr>
        <w:spacing w:after="0" w:line="117" w:lineRule="exact"/>
        <w:rPr>
          <w:sz w:val="20"/>
          <w:szCs w:val="20"/>
          <w:color w:val="auto"/>
        </w:rPr>
      </w:pPr>
    </w:p>
    <w:p>
      <w:pPr>
        <w:ind w:right="160"/>
        <w:spacing w:after="0" w:line="227" w:lineRule="auto"/>
        <w:rPr>
          <w:sz w:val="20"/>
          <w:szCs w:val="20"/>
          <w:color w:val="auto"/>
        </w:rPr>
      </w:pPr>
      <w:r>
        <w:rPr>
          <w:rFonts w:ascii="Arial" w:cs="Arial" w:eastAsia="Arial" w:hAnsi="Arial"/>
          <w:sz w:val="15"/>
          <w:szCs w:val="15"/>
          <w:color w:val="auto"/>
        </w:rPr>
        <w:t xml:space="preserve">We have an audit committee that consists entirely of independent directors, each of whom meet the independence requirements set forth by the New York Stock Exchange and the SEC. The board of directors has adopted a charter for the audit committee, which is available on our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2020 Activity</w:t>
      </w:r>
    </w:p>
    <w:p>
      <w:pPr>
        <w:spacing w:after="0" w:line="117"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In 2020, the audit committee met six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62" w:lineRule="exact"/>
        <w:rPr>
          <w:sz w:val="20"/>
          <w:szCs w:val="20"/>
          <w:color w:val="auto"/>
        </w:rPr>
      </w:pPr>
    </w:p>
    <w:p>
      <w:pPr>
        <w:ind w:left="220" w:right="500" w:hanging="213"/>
        <w:spacing w:after="0" w:line="237" w:lineRule="auto"/>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financial statements for each of the first three quarters of 2020, including the disclosures under “Management’s Discussion and Analysis of Financial Condition and Results of Operations;”</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compliance with and reporting under Section 404 of the Sarbanes-Oxley Act of 2002 and the related auditing standards;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independent auditors’ material written communications with management;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annual internal and external audit plans and the internal and external staffing resources available to carry out our audit plans;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internal audit results;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risk management framework, including financial and operational risks;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certain risk matters including the Company’s risk profile, data privacy risk, and technology and cybersecurity risk;</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impact of new accounting pronouncements;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current tax matters affecting us, including reporting compliance, audit activity and tax planning;</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litigation and regulatory matters;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compliance with our code of business conduct and ethics, our anti-corruption policy, and our policy on gifts, entertainment and sponsorships;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compliance with our Policy Regarding the Retention of Former Employees of Independent Auditors and Independent Auditor Services Policy;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 self-evaluation of the committee.</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127" w:lineRule="exact"/>
        <w:rPr>
          <w:sz w:val="20"/>
          <w:szCs w:val="20"/>
          <w:color w:val="auto"/>
        </w:rPr>
      </w:pPr>
    </w:p>
    <w:p>
      <w:pPr>
        <w:jc w:val="both"/>
        <w:ind w:right="220"/>
        <w:spacing w:after="0" w:line="232" w:lineRule="auto"/>
        <w:rPr>
          <w:sz w:val="20"/>
          <w:szCs w:val="20"/>
          <w:color w:val="auto"/>
        </w:rPr>
      </w:pPr>
      <w:r>
        <w:rPr>
          <w:rFonts w:ascii="Arial" w:cs="Arial" w:eastAsia="Arial" w:hAnsi="Arial"/>
          <w:sz w:val="15"/>
          <w:szCs w:val="15"/>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for each quarter of 2020 prior to the quarterly release of earnings.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Fiscal Year 2020 Financial Statements</w:t>
      </w:r>
    </w:p>
    <w:p>
      <w:pPr>
        <w:spacing w:after="0" w:line="117" w:lineRule="exact"/>
        <w:rPr>
          <w:sz w:val="20"/>
          <w:szCs w:val="20"/>
          <w:color w:val="auto"/>
        </w:rPr>
      </w:pPr>
    </w:p>
    <w:p>
      <w:pPr>
        <w:jc w:val="both"/>
        <w:ind w:right="420"/>
        <w:spacing w:after="0" w:line="232" w:lineRule="auto"/>
        <w:rPr>
          <w:sz w:val="20"/>
          <w:szCs w:val="20"/>
          <w:color w:val="auto"/>
        </w:rPr>
      </w:pPr>
      <w:r>
        <w:rPr>
          <w:rFonts w:ascii="Arial" w:cs="Arial" w:eastAsia="Arial" w:hAnsi="Arial"/>
          <w:sz w:val="15"/>
          <w:szCs w:val="15"/>
          <w:color w:val="auto"/>
        </w:rPr>
        <w:t>In February 2021, the independent auditors and members of senior management reviewed and discussed the audited financial statements for the fiscal year ended December 31, 2020 with the audit committee, together with our disclosures under “Management’s Discussion and Analysis of Financial Condition and Results of Operations.” This discussion included, among other things:</w:t>
      </w:r>
    </w:p>
    <w:p>
      <w:pPr>
        <w:spacing w:after="0" w:line="128" w:lineRule="exact"/>
        <w:rPr>
          <w:sz w:val="20"/>
          <w:szCs w:val="20"/>
          <w:color w:val="auto"/>
        </w:rPr>
      </w:pPr>
    </w:p>
    <w:p>
      <w:pPr>
        <w:ind w:left="220" w:hanging="213"/>
        <w:spacing w:after="0"/>
        <w:tabs>
          <w:tab w:leader="none" w:pos="2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critical accounting policies and practices used in the preparation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49" w:right="51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AUDIT COMMITTEE REPORT</w:t>
      </w:r>
    </w:p>
    <w:p>
      <w:pPr>
        <w:spacing w:after="0" w:line="165" w:lineRule="exact"/>
        <w:rPr>
          <w:sz w:val="20"/>
          <w:szCs w:val="20"/>
          <w:color w:val="auto"/>
        </w:rPr>
      </w:pPr>
    </w:p>
    <w:p>
      <w:pPr>
        <w:ind w:left="220" w:hanging="213"/>
        <w:spacing w:after="0"/>
        <w:tabs>
          <w:tab w:leader="none" w:pos="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our judgmental reserves;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effect of regulatory and accounting pronouncements on our financial statements, including the adoption of significant accounting standards;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confirmation that there were no unrecorded material audit adjustments proposed by the independent auditors;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confirmation that there were no matters of significant disagreement between management and the independent auditors arising during the audit;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other matters required to be discussed by the applicable requirements of the Public Company Accounting Oversight Board (“PCAOB”) and the SEC;</w:t>
      </w:r>
    </w:p>
    <w:p>
      <w:pPr>
        <w:spacing w:after="0" w:line="52" w:lineRule="exact"/>
        <w:rPr>
          <w:rFonts w:ascii="Arial" w:cs="Arial" w:eastAsia="Arial" w:hAnsi="Arial"/>
          <w:sz w:val="15"/>
          <w:szCs w:val="15"/>
          <w:color w:val="auto"/>
        </w:rPr>
      </w:pPr>
    </w:p>
    <w:p>
      <w:pPr>
        <w:ind w:left="220" w:hanging="213"/>
        <w:spacing w:after="0"/>
        <w:tabs>
          <w:tab w:leader="none" w:pos="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other matters required to be discussed by PCAOB Ethics and Independence Rule 3526, </w:t>
      </w:r>
      <w:r>
        <w:rPr>
          <w:rFonts w:ascii="Arial" w:cs="Arial" w:eastAsia="Arial" w:hAnsi="Arial"/>
          <w:sz w:val="15"/>
          <w:szCs w:val="15"/>
          <w:i w:val="1"/>
          <w:iCs w:val="1"/>
          <w:color w:val="auto"/>
        </w:rPr>
        <w:t>Communication with Audit Committees Concerning Independence;</w:t>
      </w:r>
      <w:r>
        <w:rPr>
          <w:rFonts w:ascii="Arial" w:cs="Arial" w:eastAsia="Arial" w:hAnsi="Arial"/>
          <w:sz w:val="15"/>
          <w:szCs w:val="15"/>
          <w:color w:val="auto"/>
        </w:rPr>
        <w:t xml:space="preserve"> and</w:t>
      </w:r>
    </w:p>
    <w:p>
      <w:pPr>
        <w:spacing w:after="0" w:line="84" w:lineRule="exact"/>
        <w:rPr>
          <w:rFonts w:ascii="Arial" w:cs="Arial" w:eastAsia="Arial" w:hAnsi="Arial"/>
          <w:sz w:val="15"/>
          <w:szCs w:val="15"/>
          <w:color w:val="auto"/>
        </w:rPr>
      </w:pPr>
    </w:p>
    <w:p>
      <w:pPr>
        <w:ind w:left="220" w:right="40" w:hanging="213"/>
        <w:spacing w:after="0" w:line="232" w:lineRule="auto"/>
        <w:tabs>
          <w:tab w:leader="none" w:pos="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matters relating to Section 404 of the Sarbanes-Oxley Act, including the management report on internal control over financial reporting for 2020 and the independent auditors’ report with respect to the effectiveness of our internal control over financial reporting and management’s assessment of the effectiveness of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At this meeting, the audit committee met in separate private sessions with the independent auditors, the head of internal audit and management.</w:t>
      </w:r>
    </w:p>
    <w:p>
      <w:pPr>
        <w:spacing w:after="0" w:line="135"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2020.</w:t>
      </w:r>
    </w:p>
    <w:p>
      <w:pPr>
        <w:spacing w:after="0" w:line="114" w:lineRule="exact"/>
        <w:rPr>
          <w:sz w:val="20"/>
          <w:szCs w:val="20"/>
          <w:color w:val="auto"/>
        </w:rPr>
      </w:pPr>
    </w:p>
    <w:p>
      <w:pPr>
        <w:ind w:right="80"/>
        <w:spacing w:after="0" w:line="228" w:lineRule="auto"/>
        <w:rPr>
          <w:sz w:val="20"/>
          <w:szCs w:val="20"/>
          <w:color w:val="auto"/>
        </w:rPr>
      </w:pPr>
      <w:r>
        <w:rPr>
          <w:rFonts w:ascii="Arial" w:cs="Arial" w:eastAsia="Arial" w:hAnsi="Arial"/>
          <w:sz w:val="15"/>
          <w:szCs w:val="15"/>
          <w:color w:val="auto"/>
        </w:rPr>
        <w:t>The audit committee has also received the written disclosures and confirmation from Deloitte required by PCAOB Ethics and Independence Rule 3526 and discussed with Deloitte their independence. In particular, at each regular meeting during 2020 and at the meeting in February 2021 the audit committee reviewed and discussed the non-audit services provided by Deloitte to us as described below. The audit committee has considered whether the provision of the non-audit services is compatible with the independence of Deloitte and satisfied itself as to the auditor’s independence. The audit committee believes that Deloitte has been objective and impartial in conducting the 2020 audit and believes that the provision of these services has not adversely affected the integrity of our audit and financial reporting processes.</w:t>
      </w:r>
    </w:p>
    <w:p>
      <w:pPr>
        <w:spacing w:after="0" w:line="127"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D89B4"/>
        </w:rPr>
        <w:t>The Audit Committee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Paul Read, Chair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Gina R. Boswell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Jean-Philippe Courtois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John F. Ferraro</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Patricia Hemingway Hall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69297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68</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164" w:right="519" w:bottom="1440" w:gutter="0" w:footer="0" w:header="0"/>
        </w:sectPr>
      </w:pPr>
    </w:p>
    <w:bookmarkStart w:id="80" w:name="page81"/>
    <w:bookmarkEnd w:id="80"/>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Fees Billed by Deloitte &amp; Touche</w:t>
      </w:r>
    </w:p>
    <w:p>
      <w:pPr>
        <w:spacing w:after="0" w:line="371"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This table presents fees for professional audit and other services billed by Deloitte &amp; Touche LLP and related entities (“Deloitte”) for 2020 and 2019, which consist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YEAR ENDED DECEMBER 31,</w:t>
            </w:r>
          </w:p>
        </w:tc>
        <w:tc>
          <w:tcPr>
            <w:tcW w:w="200" w:type="dxa"/>
            <w:vAlign w:val="bottom"/>
            <w:tcBorders>
              <w:bottom w:val="single" w:sz="8" w:color="EAEAEA"/>
            </w:tcBorders>
            <w:shd w:val="clear" w:color="auto" w:fill="EAEAEA"/>
          </w:tcPr>
          <w:p>
            <w:pPr>
              <w:spacing w:after="0"/>
              <w:rPr>
                <w:sz w:val="23"/>
                <w:szCs w:val="23"/>
                <w:color w:val="auto"/>
              </w:rPr>
            </w:pPr>
          </w:p>
        </w:tc>
        <w:tc>
          <w:tcPr>
            <w:tcW w:w="94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2020</w:t>
            </w:r>
          </w:p>
        </w:tc>
        <w:tc>
          <w:tcPr>
            <w:tcW w:w="3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2019</w:t>
            </w:r>
          </w:p>
        </w:tc>
      </w:tr>
      <w:tr>
        <w:trPr>
          <w:trHeight w:val="24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Audit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w w:val="98"/>
              </w:rPr>
              <w:t>6,539,000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6,670,000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Audit-Related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208,000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Tax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434,000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882,000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All Other Fees</w:t>
            </w:r>
          </w:p>
        </w:tc>
        <w:tc>
          <w:tcPr>
            <w:tcW w:w="200" w:type="dxa"/>
            <w:vAlign w:val="bottom"/>
          </w:tcPr>
          <w:p>
            <w:pPr>
              <w:spacing w:after="0"/>
              <w:rPr>
                <w:sz w:val="19"/>
                <w:szCs w:val="19"/>
                <w:color w:val="auto"/>
              </w:rPr>
            </w:pP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24,900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w w:val="98"/>
              </w:rPr>
              <w:t>7,093,000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7,784,900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Audit Fees</w:t>
      </w:r>
    </w:p>
    <w:p>
      <w:pPr>
        <w:spacing w:after="0" w:line="77"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These amounts represent the aggregate fees billed by Deloitte for the audit of our financial statements and attestation of our certification of our internal control over financial reporting for 2020 and 2019, respectively, and the review of the financial statements included in our Quarterly Reports on Form 10-Q for each year, all of which were approved by the audit committee.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Audit-Related Fees</w:t>
      </w:r>
    </w:p>
    <w:p>
      <w:pPr>
        <w:spacing w:after="0" w:line="77"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These amounts consist of assurance and related services that are reasonably related to the performance of the audit or review of our consolidated financial statements or internal control over financial reporting. For 2020, these services included attestation reports related to certain financial and non-financial information for specific client requirements and government subsidies for certain of our foreign subsidiaries and other miscellaneous services. For 2019, these services included review of financial statements for one of our foreign subsidiaries, attestation reports related to certain financial and non-financial information for specific client requirements and government subsidies for certain of our foreign subsidiaries and other miscellaneous services.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Tax Fees</w:t>
      </w:r>
    </w:p>
    <w:p>
      <w:pPr>
        <w:spacing w:after="0" w:line="90" w:lineRule="exact"/>
        <w:rPr>
          <w:sz w:val="20"/>
          <w:szCs w:val="20"/>
          <w:color w:val="auto"/>
        </w:rPr>
      </w:pPr>
    </w:p>
    <w:p>
      <w:pPr>
        <w:ind w:right="200"/>
        <w:spacing w:after="0" w:line="230" w:lineRule="auto"/>
        <w:rPr>
          <w:sz w:val="20"/>
          <w:szCs w:val="20"/>
          <w:color w:val="auto"/>
        </w:rPr>
      </w:pPr>
      <w:r>
        <w:rPr>
          <w:rFonts w:ascii="Arial" w:cs="Arial" w:eastAsia="Arial" w:hAnsi="Arial"/>
          <w:sz w:val="15"/>
          <w:szCs w:val="15"/>
          <w:color w:val="auto"/>
        </w:rPr>
        <w:t>Tax fees generally consist of tax compliance and return preparation and tax planning and advice. For 2020, these services included U.S. federal, state, local and international tax research and consultation services and services related to U.S. foreign tax credit and expense apportionment research and consultation. For 2019, these services included assistance in the preparation and review of certain international tax returns, assistance with tax audits and examinations, advice related to changes in tax laws and reporting requirements, advice regarding tax issues relating to our reorganizations and transfer pricing studies.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All Other Fees</w:t>
      </w:r>
    </w:p>
    <w:p>
      <w:pPr>
        <w:spacing w:after="0" w:line="77" w:lineRule="exact"/>
        <w:rPr>
          <w:sz w:val="20"/>
          <w:szCs w:val="20"/>
          <w:color w:val="auto"/>
        </w:rPr>
      </w:pPr>
    </w:p>
    <w:p>
      <w:pPr>
        <w:ind w:right="360"/>
        <w:spacing w:after="0" w:line="237" w:lineRule="auto"/>
        <w:rPr>
          <w:sz w:val="20"/>
          <w:szCs w:val="20"/>
          <w:color w:val="auto"/>
        </w:rPr>
      </w:pPr>
      <w:r>
        <w:rPr>
          <w:rFonts w:ascii="Arial" w:cs="Arial" w:eastAsia="Arial" w:hAnsi="Arial"/>
          <w:sz w:val="15"/>
          <w:szCs w:val="15"/>
          <w:color w:val="auto"/>
        </w:rPr>
        <w:t>All other fees consist of permitted services other than those that meet the criteria above. There were no other fees incurred for 2020. For 2019, these services included fees for technical accounting research subscriptions, market research benchmarking data and training costs.</w:t>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Independent Auditor Services Policy</w:t>
      </w:r>
    </w:p>
    <w:p>
      <w:pPr>
        <w:spacing w:after="0" w:line="371" w:lineRule="exact"/>
        <w:rPr>
          <w:sz w:val="20"/>
          <w:szCs w:val="20"/>
          <w:color w:val="auto"/>
        </w:rPr>
      </w:pPr>
    </w:p>
    <w:p>
      <w:pPr>
        <w:ind w:right="160"/>
        <w:spacing w:after="0" w:line="230" w:lineRule="auto"/>
        <w:rPr>
          <w:sz w:val="20"/>
          <w:szCs w:val="20"/>
          <w:color w:val="auto"/>
        </w:rPr>
      </w:pPr>
      <w:r>
        <w:rPr>
          <w:rFonts w:ascii="Arial" w:cs="Arial" w:eastAsia="Arial" w:hAnsi="Arial"/>
          <w:sz w:val="15"/>
          <w:szCs w:val="15"/>
          <w:color w:val="auto"/>
        </w:rPr>
        <w:t xml:space="preserve">We have an Independent Auditor Services Policy that we review on an annual basis. The policy sets forth the 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Each of the services described under the headings “Audit-Related Fees” and “Tax Fees” was approved during 2020 and 2019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49" w:right="499" w:bottom="1440" w:gutter="0" w:footer="0" w:header="0"/>
        </w:sectPr>
      </w:pPr>
    </w:p>
    <w:bookmarkStart w:id="81" w:name="page82"/>
    <w:bookmarkEnd w:id="81"/>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Security Ownership of Certain Beneficial Owners</w:t>
      </w:r>
    </w:p>
    <w:p>
      <w:pPr>
        <w:spacing w:after="0" w:line="371"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The following table lists as of the record date (except as noted below) information as to the persons believed by us to be beneficial owners of more than 5% of our outstanding common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6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NAME AND ADDRESS OF</w:t>
            </w:r>
          </w:p>
        </w:tc>
        <w:tc>
          <w:tcPr>
            <w:tcW w:w="3720" w:type="dxa"/>
            <w:vAlign w:val="bottom"/>
            <w:shd w:val="clear" w:color="auto" w:fill="EAEAEA"/>
          </w:tcPr>
          <w:p>
            <w:pPr>
              <w:jc w:val="right"/>
              <w:ind w:right="666"/>
              <w:spacing w:after="0"/>
              <w:rPr>
                <w:sz w:val="20"/>
                <w:szCs w:val="20"/>
                <w:color w:val="auto"/>
              </w:rPr>
            </w:pPr>
            <w:r>
              <w:rPr>
                <w:rFonts w:ascii="Arial" w:cs="Arial" w:eastAsia="Arial" w:hAnsi="Arial"/>
                <w:sz w:val="14"/>
                <w:szCs w:val="14"/>
                <w:b w:val="1"/>
                <w:bCs w:val="1"/>
                <w:color w:val="5D89B4"/>
              </w:rPr>
              <w:t>AMOUNT AND NATURE OF</w:t>
            </w:r>
          </w:p>
        </w:tc>
        <w:tc>
          <w:tcPr>
            <w:tcW w:w="1940" w:type="dxa"/>
            <w:vAlign w:val="bottom"/>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PERCENT OF</w:t>
            </w:r>
          </w:p>
        </w:tc>
      </w:tr>
      <w:tr>
        <w:trPr>
          <w:trHeight w:val="189"/>
        </w:trPr>
        <w:tc>
          <w:tcPr>
            <w:tcW w:w="526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BENEFICIAL OWNERS</w:t>
            </w:r>
          </w:p>
        </w:tc>
        <w:tc>
          <w:tcPr>
            <w:tcW w:w="3720" w:type="dxa"/>
            <w:vAlign w:val="bottom"/>
            <w:shd w:val="clear" w:color="auto" w:fill="EAEAEA"/>
          </w:tcPr>
          <w:p>
            <w:pPr>
              <w:jc w:val="right"/>
              <w:ind w:right="666"/>
              <w:spacing w:after="0"/>
              <w:rPr>
                <w:sz w:val="20"/>
                <w:szCs w:val="20"/>
                <w:color w:val="auto"/>
              </w:rPr>
            </w:pPr>
            <w:r>
              <w:rPr>
                <w:rFonts w:ascii="Arial" w:cs="Arial" w:eastAsia="Arial" w:hAnsi="Arial"/>
                <w:sz w:val="14"/>
                <w:szCs w:val="14"/>
                <w:b w:val="1"/>
                <w:bCs w:val="1"/>
                <w:color w:val="5D89B4"/>
              </w:rPr>
              <w:t>BENEFICIAL OWNERSHIP</w:t>
            </w:r>
          </w:p>
        </w:tc>
        <w:tc>
          <w:tcPr>
            <w:tcW w:w="1940" w:type="dxa"/>
            <w:vAlign w:val="bottom"/>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CLASS(1)</w:t>
            </w:r>
          </w:p>
        </w:tc>
      </w:tr>
      <w:tr>
        <w:trPr>
          <w:trHeight w:val="65"/>
        </w:trPr>
        <w:tc>
          <w:tcPr>
            <w:tcW w:w="5260" w:type="dxa"/>
            <w:vAlign w:val="bottom"/>
            <w:shd w:val="clear" w:color="auto" w:fill="EAEAEA"/>
          </w:tcPr>
          <w:p>
            <w:pPr>
              <w:spacing w:after="0"/>
              <w:rPr>
                <w:sz w:val="5"/>
                <w:szCs w:val="5"/>
                <w:color w:val="auto"/>
              </w:rPr>
            </w:pPr>
          </w:p>
        </w:tc>
        <w:tc>
          <w:tcPr>
            <w:tcW w:w="3720" w:type="dxa"/>
            <w:vAlign w:val="bottom"/>
            <w:shd w:val="clear" w:color="auto" w:fill="EAEAEA"/>
          </w:tcPr>
          <w:p>
            <w:pPr>
              <w:spacing w:after="0"/>
              <w:rPr>
                <w:sz w:val="5"/>
                <w:szCs w:val="5"/>
                <w:color w:val="auto"/>
              </w:rPr>
            </w:pPr>
          </w:p>
        </w:tc>
        <w:tc>
          <w:tcPr>
            <w:tcW w:w="1940" w:type="dxa"/>
            <w:vAlign w:val="bottom"/>
            <w:shd w:val="clear" w:color="auto" w:fill="EAEAEA"/>
          </w:tcPr>
          <w:p>
            <w:pPr>
              <w:spacing w:after="0"/>
              <w:rPr>
                <w:sz w:val="5"/>
                <w:szCs w:val="5"/>
                <w:color w:val="auto"/>
              </w:rPr>
            </w:pPr>
          </w:p>
        </w:tc>
      </w:tr>
      <w:tr>
        <w:trPr>
          <w:trHeight w:val="21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Vanguard Group, Inc.</w:t>
            </w:r>
          </w:p>
        </w:tc>
        <w:tc>
          <w:tcPr>
            <w:tcW w:w="3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100 Vanguard Boulevard</w:t>
            </w:r>
          </w:p>
        </w:tc>
        <w:tc>
          <w:tcPr>
            <w:tcW w:w="37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Malvern, PA 19355</w:t>
            </w:r>
          </w:p>
        </w:tc>
        <w:tc>
          <w:tcPr>
            <w:tcW w:w="3720" w:type="dxa"/>
            <w:vAlign w:val="bottom"/>
          </w:tcPr>
          <w:p>
            <w:pPr>
              <w:jc w:val="right"/>
              <w:ind w:right="466"/>
              <w:spacing w:after="0"/>
              <w:rPr>
                <w:sz w:val="20"/>
                <w:szCs w:val="20"/>
                <w:color w:val="auto"/>
              </w:rPr>
            </w:pPr>
            <w:r>
              <w:rPr>
                <w:rFonts w:ascii="Arial" w:cs="Arial" w:eastAsia="Arial" w:hAnsi="Arial"/>
                <w:sz w:val="15"/>
                <w:szCs w:val="15"/>
                <w:color w:val="auto"/>
              </w:rPr>
              <w:t>5,373,744(2)</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9.8%</w:t>
            </w:r>
          </w:p>
        </w:tc>
      </w:tr>
      <w:tr>
        <w:trPr>
          <w:trHeight w:val="50"/>
        </w:trPr>
        <w:tc>
          <w:tcPr>
            <w:tcW w:w="5260" w:type="dxa"/>
            <w:vAlign w:val="bottom"/>
            <w:tcBorders>
              <w:bottom w:val="single" w:sz="8" w:color="5D89B4"/>
            </w:tcBorders>
          </w:tcPr>
          <w:p>
            <w:pPr>
              <w:spacing w:after="0"/>
              <w:rPr>
                <w:sz w:val="4"/>
                <w:szCs w:val="4"/>
                <w:color w:val="auto"/>
              </w:rPr>
            </w:pPr>
          </w:p>
        </w:tc>
        <w:tc>
          <w:tcPr>
            <w:tcW w:w="372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Capital World Investors</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333 South Hope Street, 55th Fl</w:t>
            </w:r>
          </w:p>
        </w:tc>
        <w:tc>
          <w:tcPr>
            <w:tcW w:w="37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Los Angeles, CA 90071</w:t>
            </w:r>
          </w:p>
        </w:tc>
        <w:tc>
          <w:tcPr>
            <w:tcW w:w="3720" w:type="dxa"/>
            <w:vAlign w:val="bottom"/>
          </w:tcPr>
          <w:p>
            <w:pPr>
              <w:jc w:val="right"/>
              <w:ind w:right="466"/>
              <w:spacing w:after="0"/>
              <w:rPr>
                <w:sz w:val="20"/>
                <w:szCs w:val="20"/>
                <w:color w:val="auto"/>
              </w:rPr>
            </w:pPr>
            <w:r>
              <w:rPr>
                <w:rFonts w:ascii="Arial" w:cs="Arial" w:eastAsia="Arial" w:hAnsi="Arial"/>
                <w:sz w:val="15"/>
                <w:szCs w:val="15"/>
                <w:color w:val="auto"/>
              </w:rPr>
              <w:t>4,750,272(3)</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8.7%</w:t>
            </w:r>
          </w:p>
        </w:tc>
      </w:tr>
      <w:tr>
        <w:trPr>
          <w:trHeight w:val="50"/>
        </w:trPr>
        <w:tc>
          <w:tcPr>
            <w:tcW w:w="5260" w:type="dxa"/>
            <w:vAlign w:val="bottom"/>
            <w:tcBorders>
              <w:bottom w:val="single" w:sz="8" w:color="5D89B4"/>
            </w:tcBorders>
          </w:tcPr>
          <w:p>
            <w:pPr>
              <w:spacing w:after="0"/>
              <w:rPr>
                <w:sz w:val="4"/>
                <w:szCs w:val="4"/>
                <w:color w:val="auto"/>
              </w:rPr>
            </w:pPr>
          </w:p>
        </w:tc>
        <w:tc>
          <w:tcPr>
            <w:tcW w:w="372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BlackRock, Inc.</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55 East 52nd Street</w:t>
            </w:r>
          </w:p>
        </w:tc>
        <w:tc>
          <w:tcPr>
            <w:tcW w:w="37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New York, NY 10055</w:t>
            </w:r>
          </w:p>
        </w:tc>
        <w:tc>
          <w:tcPr>
            <w:tcW w:w="3720" w:type="dxa"/>
            <w:vAlign w:val="bottom"/>
          </w:tcPr>
          <w:p>
            <w:pPr>
              <w:jc w:val="right"/>
              <w:ind w:right="466"/>
              <w:spacing w:after="0"/>
              <w:rPr>
                <w:sz w:val="20"/>
                <w:szCs w:val="20"/>
                <w:color w:val="auto"/>
              </w:rPr>
            </w:pPr>
            <w:r>
              <w:rPr>
                <w:rFonts w:ascii="Arial" w:cs="Arial" w:eastAsia="Arial" w:hAnsi="Arial"/>
                <w:sz w:val="15"/>
                <w:szCs w:val="15"/>
                <w:color w:val="auto"/>
              </w:rPr>
              <w:t>4,748,672(4)</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8.6%</w:t>
            </w:r>
          </w:p>
        </w:tc>
      </w:tr>
      <w:tr>
        <w:trPr>
          <w:trHeight w:val="50"/>
        </w:trPr>
        <w:tc>
          <w:tcPr>
            <w:tcW w:w="5260" w:type="dxa"/>
            <w:vAlign w:val="bottom"/>
            <w:tcBorders>
              <w:bottom w:val="single" w:sz="8" w:color="5D89B4"/>
            </w:tcBorders>
          </w:tcPr>
          <w:p>
            <w:pPr>
              <w:spacing w:after="0"/>
              <w:rPr>
                <w:sz w:val="4"/>
                <w:szCs w:val="4"/>
                <w:color w:val="auto"/>
              </w:rPr>
            </w:pPr>
          </w:p>
        </w:tc>
        <w:tc>
          <w:tcPr>
            <w:tcW w:w="372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Victory Capital Management Inc.</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4900 Tiedeman Rd. 4th Floor</w:t>
            </w:r>
          </w:p>
        </w:tc>
        <w:tc>
          <w:tcPr>
            <w:tcW w:w="37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Brooklyn, OH 44144</w:t>
            </w:r>
          </w:p>
        </w:tc>
        <w:tc>
          <w:tcPr>
            <w:tcW w:w="3720" w:type="dxa"/>
            <w:vAlign w:val="bottom"/>
          </w:tcPr>
          <w:p>
            <w:pPr>
              <w:jc w:val="right"/>
              <w:ind w:right="466"/>
              <w:spacing w:after="0"/>
              <w:rPr>
                <w:sz w:val="20"/>
                <w:szCs w:val="20"/>
                <w:color w:val="auto"/>
              </w:rPr>
            </w:pPr>
            <w:r>
              <w:rPr>
                <w:rFonts w:ascii="Arial" w:cs="Arial" w:eastAsia="Arial" w:hAnsi="Arial"/>
                <w:sz w:val="15"/>
                <w:szCs w:val="15"/>
                <w:color w:val="auto"/>
              </w:rPr>
              <w:t>2,957,653(5)</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5.4%</w:t>
            </w:r>
          </w:p>
        </w:tc>
      </w:tr>
      <w:tr>
        <w:trPr>
          <w:trHeight w:val="50"/>
        </w:trPr>
        <w:tc>
          <w:tcPr>
            <w:tcW w:w="5260" w:type="dxa"/>
            <w:vAlign w:val="bottom"/>
            <w:tcBorders>
              <w:bottom w:val="single" w:sz="8" w:color="5D89B4"/>
            </w:tcBorders>
          </w:tcPr>
          <w:p>
            <w:pPr>
              <w:spacing w:after="0"/>
              <w:rPr>
                <w:sz w:val="4"/>
                <w:szCs w:val="4"/>
                <w:color w:val="auto"/>
              </w:rPr>
            </w:pPr>
          </w:p>
        </w:tc>
        <w:tc>
          <w:tcPr>
            <w:tcW w:w="372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54,946,183 shares of common stock outstanding as of the record date.</w:t>
      </w:r>
    </w:p>
    <w:p>
      <w:pPr>
        <w:spacing w:after="0" w:line="79" w:lineRule="exact"/>
        <w:rPr>
          <w:rFonts w:ascii="Arial" w:cs="Arial" w:eastAsia="Arial" w:hAnsi="Arial"/>
          <w:sz w:val="14"/>
          <w:szCs w:val="14"/>
          <w:color w:val="auto"/>
        </w:rPr>
      </w:pPr>
    </w:p>
    <w:p>
      <w:pPr>
        <w:ind w:left="440" w:right="280" w:hanging="433"/>
        <w:spacing w:after="0" w:line="246" w:lineRule="auto"/>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10, 2021. According to this Schedule 13G, these securities are owned by various individual and institutional investors for which Vanguard Group, Inc. (“Vanguard”) serves as investment advisor. Vanguard has shared voting power with respect to 39,470 shares held, sole dispositive power with respect to 5,286,639 shares held and shared dispositive power with respect to 87,105 shares held.</w:t>
      </w:r>
    </w:p>
    <w:p>
      <w:pPr>
        <w:spacing w:after="0" w:line="66" w:lineRule="exact"/>
        <w:rPr>
          <w:rFonts w:ascii="Arial" w:cs="Arial" w:eastAsia="Arial" w:hAnsi="Arial"/>
          <w:sz w:val="14"/>
          <w:szCs w:val="14"/>
          <w:color w:val="auto"/>
        </w:rPr>
      </w:pPr>
    </w:p>
    <w:p>
      <w:pPr>
        <w:ind w:left="440" w:right="60" w:hanging="433"/>
        <w:spacing w:after="0" w:line="244" w:lineRule="auto"/>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16, 2021. According to this Schedule 13G, these securities are owned by Capital World Investors (“CWI”),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 has sole voting power with respect to 4,750,272 shares held and sole dispositive power with respect to 4,750,272 shares held.</w:t>
      </w:r>
    </w:p>
    <w:p>
      <w:pPr>
        <w:spacing w:after="0" w:line="67" w:lineRule="exact"/>
        <w:rPr>
          <w:rFonts w:ascii="Arial" w:cs="Arial" w:eastAsia="Arial" w:hAnsi="Arial"/>
          <w:sz w:val="14"/>
          <w:szCs w:val="14"/>
          <w:color w:val="auto"/>
        </w:rPr>
      </w:pPr>
    </w:p>
    <w:p>
      <w:pPr>
        <w:ind w:left="440" w:right="20" w:hanging="433"/>
        <w:spacing w:after="0" w:line="242" w:lineRule="auto"/>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January 29, 2021 by BlackRock, Inc. on its behalf and on behalf of its following affiliates: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and BlackRock Fund Managers Ltd. According to this Schedule 13G, these securities are owned of record by BlackRock, Inc. BlackRock, Inc. has sole voting power with respect to 4,550,230 shares held and sole dispositive power with respect to 4,748,672 shares held.</w:t>
      </w:r>
    </w:p>
    <w:p>
      <w:pPr>
        <w:spacing w:after="0" w:line="69" w:lineRule="exact"/>
        <w:rPr>
          <w:rFonts w:ascii="Arial" w:cs="Arial" w:eastAsia="Arial" w:hAnsi="Arial"/>
          <w:sz w:val="14"/>
          <w:szCs w:val="14"/>
          <w:color w:val="auto"/>
        </w:rPr>
      </w:pPr>
    </w:p>
    <w:p>
      <w:pPr>
        <w:ind w:left="440" w:right="360" w:hanging="433"/>
        <w:spacing w:after="0" w:line="246" w:lineRule="auto"/>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9, 2021. According to this Schedule 13G, these securities are owned by various individual and institutional investors for which Victory Capital Management Inc. (“Victory”) serves as investment advisor. Victory has sole voting power with respect to 2,837,187 shares held and sole dispositive power with respect to 2,957,653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70</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49" w:right="499" w:bottom="1440" w:gutter="0" w:footer="0" w:header="0"/>
        </w:sectPr>
      </w:pPr>
    </w:p>
    <w:bookmarkStart w:id="82" w:name="page83"/>
    <w:bookmarkEnd w:id="82"/>
    <w:p>
      <w:pPr>
        <w:ind w:right="1040"/>
        <w:spacing w:after="0" w:line="276" w:lineRule="auto"/>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Beneficial Ownership of Directors and Executive Officers</w:t>
      </w:r>
    </w:p>
    <w:p>
      <w:pPr>
        <w:spacing w:after="0" w:line="223"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Set forth in the table below, as of February 26, 2021,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26, 2021 by such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60" w:type="dxa"/>
            <w:vAlign w:val="bottom"/>
            <w:shd w:val="clear" w:color="auto" w:fill="EAEAEA"/>
          </w:tcPr>
          <w:p>
            <w:pPr>
              <w:spacing w:after="0"/>
              <w:rPr>
                <w:sz w:val="18"/>
                <w:szCs w:val="18"/>
                <w:color w:val="auto"/>
              </w:rPr>
            </w:pPr>
          </w:p>
        </w:tc>
        <w:tc>
          <w:tcPr>
            <w:tcW w:w="2540" w:type="dxa"/>
            <w:vAlign w:val="bottom"/>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COMMON STOCK</w:t>
            </w:r>
          </w:p>
        </w:tc>
        <w:tc>
          <w:tcPr>
            <w:tcW w:w="2200" w:type="dxa"/>
            <w:vAlign w:val="bottom"/>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RIGHT TO</w:t>
            </w:r>
          </w:p>
        </w:tc>
        <w:tc>
          <w:tcPr>
            <w:tcW w:w="1620" w:type="dxa"/>
            <w:vAlign w:val="bottom"/>
            <w:shd w:val="clear" w:color="auto" w:fill="EAEAEA"/>
          </w:tcPr>
          <w:p>
            <w:pPr>
              <w:spacing w:after="0"/>
              <w:rPr>
                <w:sz w:val="18"/>
                <w:szCs w:val="18"/>
                <w:color w:val="auto"/>
              </w:rPr>
            </w:pPr>
          </w:p>
        </w:tc>
      </w:tr>
      <w:tr>
        <w:trPr>
          <w:trHeight w:val="160"/>
        </w:trPr>
        <w:tc>
          <w:tcPr>
            <w:tcW w:w="4560" w:type="dxa"/>
            <w:vAlign w:val="bottom"/>
            <w:shd w:val="clear" w:color="auto" w:fill="EAEAEA"/>
          </w:tcPr>
          <w:p>
            <w:pPr>
              <w:spacing w:after="0"/>
              <w:rPr>
                <w:sz w:val="13"/>
                <w:szCs w:val="13"/>
                <w:color w:val="auto"/>
              </w:rPr>
            </w:pPr>
          </w:p>
        </w:tc>
        <w:tc>
          <w:tcPr>
            <w:tcW w:w="2540" w:type="dxa"/>
            <w:vAlign w:val="bottom"/>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BENEFICIALLY</w:t>
            </w:r>
          </w:p>
        </w:tc>
        <w:tc>
          <w:tcPr>
            <w:tcW w:w="2200" w:type="dxa"/>
            <w:vAlign w:val="bottom"/>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ACQUIRE COMMON</w:t>
            </w:r>
          </w:p>
        </w:tc>
        <w:tc>
          <w:tcPr>
            <w:tcW w:w="1620" w:type="dxa"/>
            <w:vAlign w:val="bottom"/>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PERCENT OF</w:t>
            </w:r>
          </w:p>
        </w:tc>
      </w:tr>
      <w:tr>
        <w:trPr>
          <w:trHeight w:val="234"/>
        </w:trPr>
        <w:tc>
          <w:tcPr>
            <w:tcW w:w="45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BENEFICIAL OWNER</w:t>
            </w:r>
          </w:p>
        </w:tc>
        <w:tc>
          <w:tcPr>
            <w:tcW w:w="2540" w:type="dxa"/>
            <w:vAlign w:val="bottom"/>
            <w:tcBorders>
              <w:bottom w:val="single" w:sz="8" w:color="EAEAEA"/>
            </w:tcBorders>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OWNED(1)(3)</w:t>
            </w:r>
          </w:p>
        </w:tc>
        <w:tc>
          <w:tcPr>
            <w:tcW w:w="2200" w:type="dxa"/>
            <w:vAlign w:val="bottom"/>
            <w:tcBorders>
              <w:bottom w:val="single" w:sz="8" w:color="EAEAEA"/>
            </w:tcBorders>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STOCK(1)(2)</w:t>
            </w:r>
          </w:p>
        </w:tc>
        <w:tc>
          <w:tcPr>
            <w:tcW w:w="1620" w:type="dxa"/>
            <w:vAlign w:val="bottom"/>
            <w:tcBorders>
              <w:bottom w:val="single" w:sz="8" w:color="EAEAEA"/>
            </w:tcBorders>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CLASS</w:t>
            </w:r>
          </w:p>
        </w:tc>
      </w:tr>
      <w:tr>
        <w:trPr>
          <w:trHeight w:val="24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621,391</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357,879</w:t>
            </w:r>
          </w:p>
        </w:tc>
        <w:tc>
          <w:tcPr>
            <w:tcW w:w="1620" w:type="dxa"/>
            <w:vAlign w:val="bottom"/>
          </w:tcPr>
          <w:p>
            <w:pPr>
              <w:jc w:val="right"/>
              <w:ind w:right="165"/>
              <w:spacing w:after="0"/>
              <w:rPr>
                <w:sz w:val="20"/>
                <w:szCs w:val="20"/>
                <w:color w:val="auto"/>
              </w:rPr>
            </w:pPr>
            <w:r>
              <w:rPr>
                <w:rFonts w:ascii="Arial" w:cs="Arial" w:eastAsia="Arial" w:hAnsi="Arial"/>
                <w:sz w:val="15"/>
                <w:szCs w:val="15"/>
                <w:color w:val="auto"/>
              </w:rPr>
              <w:t>1.1%</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8,932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34,480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29,334</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Cari M. Dominguez</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14,366</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24,202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10,027</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94,352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72,009</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7,552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5,451</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7,561</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5,353</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24,171</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Mara E. Swan</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59,011</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42,416</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9,724</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r>
        <w:trPr>
          <w:trHeight w:val="225"/>
        </w:trPr>
        <w:tc>
          <w:tcPr>
            <w:tcW w:w="4560" w:type="dxa"/>
            <w:vAlign w:val="bottom"/>
          </w:tcPr>
          <w:p>
            <w:pPr>
              <w:ind w:left="80"/>
              <w:spacing w:after="0"/>
              <w:rPr>
                <w:sz w:val="20"/>
                <w:szCs w:val="20"/>
                <w:color w:val="auto"/>
              </w:rPr>
            </w:pPr>
            <w:r>
              <w:rPr>
                <w:rFonts w:ascii="Arial" w:cs="Arial" w:eastAsia="Arial" w:hAnsi="Arial"/>
                <w:sz w:val="14"/>
                <w:szCs w:val="14"/>
                <w:b w:val="1"/>
                <w:bCs w:val="1"/>
                <w:color w:val="auto"/>
              </w:rPr>
              <w:t>All directors and executive officers as a group (17 persons)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921,122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507,089</w:t>
            </w:r>
          </w:p>
        </w:tc>
        <w:tc>
          <w:tcPr>
            <w:tcW w:w="1620" w:type="dxa"/>
            <w:vAlign w:val="bottom"/>
          </w:tcPr>
          <w:p>
            <w:pPr>
              <w:jc w:val="right"/>
              <w:ind w:right="165"/>
              <w:spacing w:after="0"/>
              <w:rPr>
                <w:sz w:val="20"/>
                <w:szCs w:val="20"/>
                <w:color w:val="auto"/>
              </w:rPr>
            </w:pPr>
            <w:r>
              <w:rPr>
                <w:rFonts w:ascii="Arial" w:cs="Arial" w:eastAsia="Arial" w:hAnsi="Arial"/>
                <w:sz w:val="15"/>
                <w:szCs w:val="15"/>
                <w:color w:val="auto"/>
              </w:rPr>
              <w:t>1.7%</w:t>
            </w:r>
          </w:p>
        </w:tc>
      </w:tr>
      <w:tr>
        <w:trPr>
          <w:trHeight w:val="50"/>
        </w:trPr>
        <w:tc>
          <w:tcPr>
            <w:tcW w:w="456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6" w:lineRule="exact"/>
        <w:rPr>
          <w:sz w:val="20"/>
          <w:szCs w:val="20"/>
          <w:color w:val="auto"/>
        </w:rPr>
      </w:pPr>
    </w:p>
    <w:p>
      <w:pPr>
        <w:ind w:left="440" w:right="120" w:hanging="433"/>
        <w:spacing w:after="0" w:line="254" w:lineRule="auto"/>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BENEFICIAL OWNERSHIP OF DIRECTORS AND EXECUTIVE OFFICERS</w:t>
      </w:r>
    </w:p>
    <w:p>
      <w:pPr>
        <w:spacing w:after="0" w:line="173" w:lineRule="exact"/>
        <w:rPr>
          <w:sz w:val="20"/>
          <w:szCs w:val="20"/>
          <w:color w:val="auto"/>
        </w:rPr>
      </w:pPr>
    </w:p>
    <w:p>
      <w:pPr>
        <w:ind w:left="440"/>
        <w:spacing w:after="0" w:line="246" w:lineRule="auto"/>
        <w:rPr>
          <w:sz w:val="20"/>
          <w:szCs w:val="20"/>
          <w:color w:val="auto"/>
        </w:rPr>
      </w:pPr>
      <w:r>
        <w:rPr>
          <w:rFonts w:ascii="Arial" w:cs="Arial" w:eastAsia="Arial" w:hAnsi="Arial"/>
          <w:sz w:val="14"/>
          <w:szCs w:val="14"/>
          <w:color w:val="auto"/>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7400" w:type="dxa"/>
            <w:vAlign w:val="bottom"/>
            <w:shd w:val="clear" w:color="auto" w:fill="EAEAEA"/>
          </w:tcPr>
          <w:p>
            <w:pPr>
              <w:spacing w:after="0"/>
              <w:rPr>
                <w:sz w:val="18"/>
                <w:szCs w:val="18"/>
                <w:color w:val="auto"/>
              </w:rPr>
            </w:pPr>
          </w:p>
        </w:tc>
        <w:tc>
          <w:tcPr>
            <w:tcW w:w="26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VESTED DEFERRED</w:t>
            </w:r>
          </w:p>
        </w:tc>
      </w:tr>
      <w:tr>
        <w:trPr>
          <w:trHeight w:val="234"/>
        </w:trPr>
        <w:tc>
          <w:tcPr>
            <w:tcW w:w="74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6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 2011 PLAN</w:t>
            </w:r>
          </w:p>
        </w:tc>
      </w:tr>
      <w:tr>
        <w:trPr>
          <w:trHeight w:val="24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64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640" w:type="dxa"/>
            <w:vAlign w:val="bottom"/>
          </w:tcPr>
          <w:p>
            <w:pPr>
              <w:jc w:val="right"/>
              <w:spacing w:after="0"/>
              <w:rPr>
                <w:sz w:val="20"/>
                <w:szCs w:val="20"/>
                <w:color w:val="auto"/>
              </w:rPr>
            </w:pPr>
            <w:r>
              <w:rPr>
                <w:rFonts w:ascii="Arial" w:cs="Arial" w:eastAsia="Arial" w:hAnsi="Arial"/>
                <w:sz w:val="15"/>
                <w:szCs w:val="15"/>
                <w:color w:val="auto"/>
              </w:rPr>
              <w:t>28,604</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640" w:type="dxa"/>
            <w:vAlign w:val="bottom"/>
          </w:tcPr>
          <w:p>
            <w:pPr>
              <w:jc w:val="right"/>
              <w:spacing w:after="0"/>
              <w:rPr>
                <w:sz w:val="20"/>
                <w:szCs w:val="20"/>
                <w:color w:val="auto"/>
              </w:rPr>
            </w:pPr>
            <w:r>
              <w:rPr>
                <w:rFonts w:ascii="Arial" w:cs="Arial" w:eastAsia="Arial" w:hAnsi="Arial"/>
                <w:sz w:val="15"/>
                <w:szCs w:val="15"/>
                <w:color w:val="auto"/>
              </w:rPr>
              <w:t>13,183</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64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640" w:type="dxa"/>
            <w:vAlign w:val="bottom"/>
          </w:tcPr>
          <w:p>
            <w:pPr>
              <w:jc w:val="right"/>
              <w:spacing w:after="0"/>
              <w:rPr>
                <w:sz w:val="20"/>
                <w:szCs w:val="20"/>
                <w:color w:val="auto"/>
              </w:rPr>
            </w:pPr>
            <w:r>
              <w:rPr>
                <w:rFonts w:ascii="Arial" w:cs="Arial" w:eastAsia="Arial" w:hAnsi="Arial"/>
                <w:sz w:val="15"/>
                <w:szCs w:val="15"/>
                <w:color w:val="auto"/>
              </w:rPr>
              <w:t>2,609</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640" w:type="dxa"/>
            <w:vAlign w:val="bottom"/>
          </w:tcPr>
          <w:p>
            <w:pPr>
              <w:jc w:val="right"/>
              <w:spacing w:after="0"/>
              <w:rPr>
                <w:sz w:val="20"/>
                <w:szCs w:val="20"/>
                <w:color w:val="auto"/>
              </w:rPr>
            </w:pPr>
            <w:r>
              <w:rPr>
                <w:rFonts w:ascii="Arial" w:cs="Arial" w:eastAsia="Arial" w:hAnsi="Arial"/>
                <w:sz w:val="15"/>
                <w:szCs w:val="15"/>
                <w:color w:val="auto"/>
              </w:rPr>
              <w:t>12,979</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640" w:type="dxa"/>
            <w:vAlign w:val="bottom"/>
          </w:tcPr>
          <w:p>
            <w:pPr>
              <w:jc w:val="right"/>
              <w:spacing w:after="0"/>
              <w:rPr>
                <w:sz w:val="20"/>
                <w:szCs w:val="20"/>
                <w:color w:val="auto"/>
              </w:rPr>
            </w:pPr>
            <w:r>
              <w:rPr>
                <w:rFonts w:ascii="Arial" w:cs="Arial" w:eastAsia="Arial" w:hAnsi="Arial"/>
                <w:sz w:val="15"/>
                <w:szCs w:val="15"/>
                <w:color w:val="auto"/>
              </w:rPr>
              <w:t>5,839</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640" w:type="dxa"/>
            <w:vAlign w:val="bottom"/>
          </w:tcPr>
          <w:p>
            <w:pPr>
              <w:jc w:val="right"/>
              <w:spacing w:after="0"/>
              <w:rPr>
                <w:sz w:val="20"/>
                <w:szCs w:val="20"/>
                <w:color w:val="auto"/>
              </w:rPr>
            </w:pPr>
            <w:r>
              <w:rPr>
                <w:rFonts w:ascii="Arial" w:cs="Arial" w:eastAsia="Arial" w:hAnsi="Arial"/>
                <w:sz w:val="15"/>
                <w:szCs w:val="15"/>
                <w:color w:val="auto"/>
              </w:rPr>
              <w:t>5,839</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640" w:type="dxa"/>
            <w:vAlign w:val="bottom"/>
          </w:tcPr>
          <w:p>
            <w:pPr>
              <w:jc w:val="right"/>
              <w:spacing w:after="0"/>
              <w:rPr>
                <w:sz w:val="20"/>
                <w:szCs w:val="20"/>
                <w:color w:val="auto"/>
              </w:rPr>
            </w:pPr>
            <w:r>
              <w:rPr>
                <w:rFonts w:ascii="Arial" w:cs="Arial" w:eastAsia="Arial" w:hAnsi="Arial"/>
                <w:sz w:val="15"/>
                <w:szCs w:val="15"/>
                <w:color w:val="auto"/>
              </w:rPr>
              <w:t>4,468</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jc w:val="both"/>
        <w:ind w:left="440" w:right="20"/>
        <w:spacing w:after="0" w:line="246" w:lineRule="auto"/>
        <w:rPr>
          <w:sz w:val="20"/>
          <w:szCs w:val="20"/>
          <w:color w:val="auto"/>
        </w:rPr>
      </w:pPr>
      <w:r>
        <w:rPr>
          <w:rFonts w:ascii="Arial" w:cs="Arial" w:eastAsia="Arial" w:hAnsi="Arial"/>
          <w:sz w:val="14"/>
          <w:szCs w:val="14"/>
          <w:color w:val="auto"/>
        </w:rPr>
        <w:t>The table does not include 1,941 unvested shares of deferred stock, which will be settled in shares of ManpowerGroup common stock on a one-for-one basis, held by each of Mr. Courtois, Mr. Ferraro, Mr. Gipson, Ms. Hemingway Hall, Ms. Howard, Mr. Payne, Mr. Read, and Mr. Van Handel that were issued under the 2011 Plan and the Terms and Conditions on January 1, 2021. These shares of deferred stock vest in equal quarterly installments during 2021.</w:t>
      </w:r>
    </w:p>
    <w:p>
      <w:pPr>
        <w:spacing w:after="0" w:line="53" w:lineRule="exact"/>
        <w:rPr>
          <w:sz w:val="20"/>
          <w:szCs w:val="20"/>
          <w:color w:val="auto"/>
        </w:rPr>
      </w:pPr>
    </w:p>
    <w:p>
      <w:pPr>
        <w:ind w:left="440" w:hanging="433"/>
        <w:spacing w:after="0"/>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RSUs.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36"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6700" w:type="dxa"/>
            <w:vAlign w:val="bottom"/>
            <w:shd w:val="clear" w:color="auto" w:fill="EAEAEA"/>
          </w:tcPr>
          <w:p>
            <w:pPr>
              <w:spacing w:after="0"/>
              <w:rPr>
                <w:sz w:val="18"/>
                <w:szCs w:val="18"/>
                <w:color w:val="auto"/>
              </w:rPr>
            </w:pPr>
          </w:p>
        </w:tc>
        <w:tc>
          <w:tcPr>
            <w:tcW w:w="33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UNVESTED RESTRICTED</w:t>
            </w:r>
          </w:p>
        </w:tc>
      </w:tr>
      <w:tr>
        <w:trPr>
          <w:trHeight w:val="234"/>
        </w:trPr>
        <w:tc>
          <w:tcPr>
            <w:tcW w:w="67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3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w:t>
            </w:r>
          </w:p>
        </w:tc>
      </w:tr>
      <w:tr>
        <w:trPr>
          <w:trHeight w:val="24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3340" w:type="dxa"/>
            <w:vAlign w:val="bottom"/>
          </w:tcPr>
          <w:p>
            <w:pPr>
              <w:jc w:val="right"/>
              <w:spacing w:after="0"/>
              <w:rPr>
                <w:sz w:val="20"/>
                <w:szCs w:val="20"/>
                <w:color w:val="auto"/>
              </w:rPr>
            </w:pPr>
            <w:r>
              <w:rPr>
                <w:rFonts w:ascii="Arial" w:cs="Arial" w:eastAsia="Arial" w:hAnsi="Arial"/>
                <w:sz w:val="15"/>
                <w:szCs w:val="15"/>
                <w:color w:val="auto"/>
              </w:rPr>
              <w:t>1,941</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Cari M. Dominguez</w:t>
            </w:r>
          </w:p>
        </w:tc>
        <w:tc>
          <w:tcPr>
            <w:tcW w:w="3340" w:type="dxa"/>
            <w:vAlign w:val="bottom"/>
          </w:tcPr>
          <w:p>
            <w:pPr>
              <w:jc w:val="right"/>
              <w:spacing w:after="0"/>
              <w:rPr>
                <w:sz w:val="20"/>
                <w:szCs w:val="20"/>
                <w:color w:val="auto"/>
              </w:rPr>
            </w:pPr>
            <w:r>
              <w:rPr>
                <w:rFonts w:ascii="Arial" w:cs="Arial" w:eastAsia="Arial" w:hAnsi="Arial"/>
                <w:sz w:val="15"/>
                <w:szCs w:val="15"/>
                <w:color w:val="auto"/>
              </w:rPr>
              <w:t>1,941</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3340" w:type="dxa"/>
            <w:vAlign w:val="bottom"/>
          </w:tcPr>
          <w:p>
            <w:pPr>
              <w:jc w:val="right"/>
              <w:spacing w:after="0"/>
              <w:rPr>
                <w:sz w:val="20"/>
                <w:szCs w:val="20"/>
                <w:color w:val="auto"/>
              </w:rPr>
            </w:pPr>
            <w:r>
              <w:rPr>
                <w:rFonts w:ascii="Arial" w:cs="Arial" w:eastAsia="Arial" w:hAnsi="Arial"/>
                <w:sz w:val="15"/>
                <w:szCs w:val="15"/>
                <w:color w:val="auto"/>
              </w:rPr>
              <w:t>1,941</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3340" w:type="dxa"/>
            <w:vAlign w:val="bottom"/>
          </w:tcPr>
          <w:p>
            <w:pPr>
              <w:jc w:val="right"/>
              <w:spacing w:after="0"/>
              <w:rPr>
                <w:sz w:val="20"/>
                <w:szCs w:val="20"/>
                <w:color w:val="auto"/>
              </w:rPr>
            </w:pPr>
            <w:r>
              <w:rPr>
                <w:rFonts w:ascii="Arial" w:cs="Arial" w:eastAsia="Arial" w:hAnsi="Arial"/>
                <w:sz w:val="15"/>
                <w:szCs w:val="15"/>
                <w:color w:val="auto"/>
              </w:rPr>
              <w:t>1,941</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72</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5" w:right="539" w:bottom="1440" w:gutter="0" w:footer="0" w:header="0"/>
        </w:sectPr>
      </w:pPr>
    </w:p>
    <w:bookmarkStart w:id="84" w:name="page85"/>
    <w:bookmarkEnd w:id="84"/>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1. Election of Directors</w:t>
      </w:r>
    </w:p>
    <w:p>
      <w:pPr>
        <w:spacing w:after="0" w:line="371" w:lineRule="exact"/>
        <w:rPr>
          <w:sz w:val="20"/>
          <w:szCs w:val="20"/>
          <w:color w:val="auto"/>
        </w:rPr>
      </w:pPr>
    </w:p>
    <w:p>
      <w:pPr>
        <w:ind w:right="280"/>
        <w:spacing w:after="0" w:line="232" w:lineRule="auto"/>
        <w:rPr>
          <w:sz w:val="20"/>
          <w:szCs w:val="20"/>
          <w:color w:val="auto"/>
        </w:rPr>
      </w:pPr>
      <w:r>
        <w:rPr>
          <w:rFonts w:ascii="Arial" w:cs="Arial" w:eastAsia="Arial" w:hAnsi="Arial"/>
          <w:sz w:val="15"/>
          <w:szCs w:val="15"/>
          <w:color w:val="auto"/>
        </w:rPr>
        <w:t>Our articles of incorporation provide that our board of directors will consist of three to fifteen members. Our board of directors currently consists of thirteen members. All directors are elected annually to serve until the next annual meeting of shareholders and until the directors’ successors are duly elected and shall qualify.</w:t>
      </w:r>
    </w:p>
    <w:p>
      <w:pPr>
        <w:spacing w:after="0" w:line="115" w:lineRule="exact"/>
        <w:rPr>
          <w:sz w:val="20"/>
          <w:szCs w:val="20"/>
          <w:color w:val="auto"/>
        </w:rPr>
      </w:pPr>
    </w:p>
    <w:p>
      <w:pPr>
        <w:ind w:right="240"/>
        <w:spacing w:after="0" w:line="237" w:lineRule="auto"/>
        <w:rPr>
          <w:sz w:val="20"/>
          <w:szCs w:val="20"/>
          <w:color w:val="auto"/>
        </w:rPr>
      </w:pPr>
      <w:r>
        <w:rPr>
          <w:rFonts w:ascii="Arial" w:cs="Arial" w:eastAsia="Arial" w:hAnsi="Arial"/>
          <w:sz w:val="15"/>
          <w:szCs w:val="15"/>
          <w:color w:val="auto"/>
        </w:rPr>
        <w:t>The board of directors may appoint additional directors, in accordance with our articles of incorporation, based upon the recommendation of the nominating and governance committee and subject to re-election by our shareholders at the next annual meeting of shareholders.</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Jean-Philippe Courtois and William P. Gipson were appointed to the board of directors effective December 14, 2020, after each was recommended for appointment to the board of directors by an independent director search firm, and subsequently by the nominating and governance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D89B4"/>
        </w:rPr>
        <w:t>The following individuals are being nominated as directors, each for a one-year term expiring at the 2021 annual meeting of shareholders: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4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w:t>
            </w:r>
          </w:p>
        </w:tc>
        <w:tc>
          <w:tcPr>
            <w:tcW w:w="7080" w:type="dxa"/>
            <w:vAlign w:val="bottom"/>
            <w:shd w:val="clear" w:color="auto" w:fill="EAEAEA"/>
          </w:tcPr>
          <w:p>
            <w:pPr>
              <w:spacing w:after="0"/>
              <w:rPr>
                <w:sz w:val="18"/>
                <w:szCs w:val="18"/>
                <w:color w:val="auto"/>
              </w:rPr>
            </w:pPr>
          </w:p>
        </w:tc>
      </w:tr>
      <w:tr>
        <w:trPr>
          <w:trHeight w:val="221"/>
        </w:trPr>
        <w:tc>
          <w:tcPr>
            <w:tcW w:w="23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540" w:type="dxa"/>
            <w:vAlign w:val="bottom"/>
            <w:tcBorders>
              <w:bottom w:val="single" w:sz="8" w:color="EAEAEA"/>
            </w:tcBorders>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AGE</w:t>
            </w:r>
          </w:p>
        </w:tc>
        <w:tc>
          <w:tcPr>
            <w:tcW w:w="96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w w:val="98"/>
              </w:rPr>
              <w:t>SINCE</w:t>
            </w:r>
          </w:p>
        </w:tc>
        <w:tc>
          <w:tcPr>
            <w:tcW w:w="70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D89B4"/>
              </w:rPr>
              <w:t>PRINCIPAL OCCUPATION</w:t>
            </w:r>
          </w:p>
        </w:tc>
      </w:tr>
      <w:tr>
        <w:trPr>
          <w:trHeight w:val="27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Gina R. Boswell</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58</w:t>
            </w:r>
          </w:p>
        </w:tc>
        <w:tc>
          <w:tcPr>
            <w:tcW w:w="960" w:type="dxa"/>
            <w:vAlign w:val="bottom"/>
          </w:tcPr>
          <w:p>
            <w:pPr>
              <w:jc w:val="center"/>
              <w:spacing w:after="0"/>
              <w:rPr>
                <w:sz w:val="20"/>
                <w:szCs w:val="20"/>
                <w:color w:val="auto"/>
              </w:rPr>
            </w:pPr>
            <w:r>
              <w:rPr>
                <w:rFonts w:ascii="Arial" w:cs="Arial" w:eastAsia="Arial" w:hAnsi="Arial"/>
                <w:sz w:val="15"/>
                <w:szCs w:val="15"/>
                <w:color w:val="auto"/>
              </w:rPr>
              <w:t>2007</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US Customer Development, Unilever</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Jean-Philippe Courtois</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60</w:t>
            </w:r>
          </w:p>
        </w:tc>
        <w:tc>
          <w:tcPr>
            <w:tcW w:w="960" w:type="dxa"/>
            <w:vAlign w:val="bottom"/>
          </w:tcPr>
          <w:p>
            <w:pPr>
              <w:jc w:val="center"/>
              <w:spacing w:after="0"/>
              <w:rPr>
                <w:sz w:val="20"/>
                <w:szCs w:val="20"/>
                <w:color w:val="auto"/>
              </w:rPr>
            </w:pPr>
            <w:r>
              <w:rPr>
                <w:rFonts w:ascii="Arial" w:cs="Arial" w:eastAsia="Arial" w:hAnsi="Arial"/>
                <w:sz w:val="15"/>
                <w:szCs w:val="15"/>
                <w:color w:val="auto"/>
              </w:rPr>
              <w:t>2020</w:t>
            </w:r>
          </w:p>
        </w:tc>
        <w:tc>
          <w:tcPr>
            <w:tcW w:w="7080" w:type="dxa"/>
            <w:vAlign w:val="bottom"/>
          </w:tcPr>
          <w:p>
            <w:pPr>
              <w:ind w:left="100"/>
              <w:spacing w:after="0"/>
              <w:rPr>
                <w:sz w:val="20"/>
                <w:szCs w:val="20"/>
                <w:color w:val="auto"/>
              </w:rPr>
            </w:pPr>
            <w:r>
              <w:rPr>
                <w:rFonts w:ascii="Arial" w:cs="Arial" w:eastAsia="Arial" w:hAnsi="Arial"/>
                <w:sz w:val="15"/>
                <w:szCs w:val="15"/>
                <w:color w:val="auto"/>
              </w:rPr>
              <w:t>Executive Vice President, President Global Sales, Marketing and Operations, Microsoft Corporation</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William Downe</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68</w:t>
            </w:r>
          </w:p>
        </w:tc>
        <w:tc>
          <w:tcPr>
            <w:tcW w:w="960" w:type="dxa"/>
            <w:vAlign w:val="bottom"/>
          </w:tcPr>
          <w:p>
            <w:pPr>
              <w:jc w:val="center"/>
              <w:spacing w:after="0"/>
              <w:rPr>
                <w:sz w:val="20"/>
                <w:szCs w:val="20"/>
                <w:color w:val="auto"/>
              </w:rPr>
            </w:pPr>
            <w:r>
              <w:rPr>
                <w:rFonts w:ascii="Arial" w:cs="Arial" w:eastAsia="Arial" w:hAnsi="Arial"/>
                <w:sz w:val="15"/>
                <w:szCs w:val="15"/>
                <w:color w:val="auto"/>
              </w:rPr>
              <w:t>2011</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Chief Executive Officer of BMO Financial Group</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John F. Ferraro</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65</w:t>
            </w:r>
          </w:p>
        </w:tc>
        <w:tc>
          <w:tcPr>
            <w:tcW w:w="960" w:type="dxa"/>
            <w:vAlign w:val="bottom"/>
          </w:tcPr>
          <w:p>
            <w:pPr>
              <w:jc w:val="center"/>
              <w:spacing w:after="0"/>
              <w:rPr>
                <w:sz w:val="20"/>
                <w:szCs w:val="20"/>
                <w:color w:val="auto"/>
              </w:rPr>
            </w:pPr>
            <w:r>
              <w:rPr>
                <w:rFonts w:ascii="Arial" w:cs="Arial" w:eastAsia="Arial" w:hAnsi="Arial"/>
                <w:sz w:val="15"/>
                <w:szCs w:val="15"/>
                <w:color w:val="auto"/>
              </w:rPr>
              <w:t>2016</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Global Chief Operating Officer, Ernst &amp; Young</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William P. Gipson</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63</w:t>
            </w:r>
          </w:p>
        </w:tc>
        <w:tc>
          <w:tcPr>
            <w:tcW w:w="960" w:type="dxa"/>
            <w:vAlign w:val="bottom"/>
          </w:tcPr>
          <w:p>
            <w:pPr>
              <w:jc w:val="center"/>
              <w:spacing w:after="0"/>
              <w:rPr>
                <w:sz w:val="20"/>
                <w:szCs w:val="20"/>
                <w:color w:val="auto"/>
              </w:rPr>
            </w:pPr>
            <w:r>
              <w:rPr>
                <w:rFonts w:ascii="Arial" w:cs="Arial" w:eastAsia="Arial" w:hAnsi="Arial"/>
                <w:sz w:val="15"/>
                <w:szCs w:val="15"/>
                <w:color w:val="auto"/>
              </w:rPr>
              <w:t>2020</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Enterprise Packaging Transformation, Procter &amp; Gamble</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Patricia Hemingway Hall</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68</w:t>
            </w:r>
          </w:p>
        </w:tc>
        <w:tc>
          <w:tcPr>
            <w:tcW w:w="960" w:type="dxa"/>
            <w:vAlign w:val="bottom"/>
          </w:tcPr>
          <w:p>
            <w:pPr>
              <w:jc w:val="center"/>
              <w:spacing w:after="0"/>
              <w:rPr>
                <w:sz w:val="20"/>
                <w:szCs w:val="20"/>
                <w:color w:val="auto"/>
              </w:rPr>
            </w:pPr>
            <w:r>
              <w:rPr>
                <w:rFonts w:ascii="Arial" w:cs="Arial" w:eastAsia="Arial" w:hAnsi="Arial"/>
                <w:sz w:val="15"/>
                <w:szCs w:val="15"/>
                <w:color w:val="auto"/>
              </w:rPr>
              <w:t>2011</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and Chief Executive Officer, Health Care Service Corporation</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Julie M. Howard</w:t>
            </w: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58</w:t>
            </w:r>
          </w:p>
        </w:tc>
        <w:tc>
          <w:tcPr>
            <w:tcW w:w="960" w:type="dxa"/>
            <w:vAlign w:val="bottom"/>
          </w:tcPr>
          <w:p>
            <w:pPr>
              <w:jc w:val="center"/>
              <w:spacing w:after="0"/>
              <w:rPr>
                <w:sz w:val="20"/>
                <w:szCs w:val="20"/>
                <w:color w:val="auto"/>
              </w:rPr>
            </w:pPr>
            <w:r>
              <w:rPr>
                <w:rFonts w:ascii="Arial" w:cs="Arial" w:eastAsia="Arial" w:hAnsi="Arial"/>
                <w:sz w:val="15"/>
                <w:szCs w:val="15"/>
                <w:color w:val="auto"/>
              </w:rPr>
              <w:t>2016</w:t>
            </w:r>
          </w:p>
        </w:tc>
        <w:tc>
          <w:tcPr>
            <w:tcW w:w="7080" w:type="dxa"/>
            <w:vAlign w:val="bottom"/>
          </w:tcPr>
          <w:p>
            <w:pPr>
              <w:ind w:left="100"/>
              <w:spacing w:after="0"/>
              <w:rPr>
                <w:sz w:val="20"/>
                <w:szCs w:val="20"/>
                <w:color w:val="auto"/>
              </w:rPr>
            </w:pPr>
            <w:r>
              <w:rPr>
                <w:rFonts w:ascii="Arial" w:cs="Arial" w:eastAsia="Arial" w:hAnsi="Arial"/>
                <w:sz w:val="15"/>
                <w:szCs w:val="15"/>
                <w:color w:val="auto"/>
              </w:rPr>
              <w:t>Chief Executive Officer, Riveron Consulting, LLC.</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Ulice Payne, Jr.</w:t>
            </w: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65</w:t>
            </w:r>
          </w:p>
        </w:tc>
        <w:tc>
          <w:tcPr>
            <w:tcW w:w="960" w:type="dxa"/>
            <w:vAlign w:val="bottom"/>
          </w:tcPr>
          <w:p>
            <w:pPr>
              <w:jc w:val="center"/>
              <w:spacing w:after="0"/>
              <w:rPr>
                <w:sz w:val="20"/>
                <w:szCs w:val="20"/>
                <w:color w:val="auto"/>
              </w:rPr>
            </w:pPr>
            <w:r>
              <w:rPr>
                <w:rFonts w:ascii="Arial" w:cs="Arial" w:eastAsia="Arial" w:hAnsi="Arial"/>
                <w:sz w:val="15"/>
                <w:szCs w:val="15"/>
                <w:color w:val="auto"/>
              </w:rPr>
              <w:t>2007</w:t>
            </w:r>
          </w:p>
        </w:tc>
        <w:tc>
          <w:tcPr>
            <w:tcW w:w="7080" w:type="dxa"/>
            <w:vAlign w:val="bottom"/>
          </w:tcPr>
          <w:p>
            <w:pPr>
              <w:ind w:left="100"/>
              <w:spacing w:after="0"/>
              <w:rPr>
                <w:sz w:val="20"/>
                <w:szCs w:val="20"/>
                <w:color w:val="auto"/>
              </w:rPr>
            </w:pPr>
            <w:r>
              <w:rPr>
                <w:rFonts w:ascii="Arial" w:cs="Arial" w:eastAsia="Arial" w:hAnsi="Arial"/>
                <w:sz w:val="15"/>
                <w:szCs w:val="15"/>
                <w:color w:val="auto"/>
              </w:rPr>
              <w:t>President and Managing Member, Addison-Clifton, LLC</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56</w:t>
            </w:r>
          </w:p>
        </w:tc>
        <w:tc>
          <w:tcPr>
            <w:tcW w:w="960" w:type="dxa"/>
            <w:vAlign w:val="bottom"/>
          </w:tcPr>
          <w:p>
            <w:pPr>
              <w:jc w:val="center"/>
              <w:spacing w:after="0"/>
              <w:rPr>
                <w:sz w:val="20"/>
                <w:szCs w:val="20"/>
                <w:color w:val="auto"/>
              </w:rPr>
            </w:pPr>
            <w:r>
              <w:rPr>
                <w:rFonts w:ascii="Arial" w:cs="Arial" w:eastAsia="Arial" w:hAnsi="Arial"/>
                <w:sz w:val="15"/>
                <w:szCs w:val="15"/>
                <w:color w:val="auto"/>
              </w:rPr>
              <w:t>2015</w:t>
            </w:r>
          </w:p>
        </w:tc>
        <w:tc>
          <w:tcPr>
            <w:tcW w:w="7080" w:type="dxa"/>
            <w:vAlign w:val="bottom"/>
          </w:tcPr>
          <w:p>
            <w:pPr>
              <w:ind w:left="100"/>
              <w:spacing w:after="0"/>
              <w:rPr>
                <w:sz w:val="20"/>
                <w:szCs w:val="20"/>
                <w:color w:val="auto"/>
              </w:rPr>
            </w:pPr>
            <w:r>
              <w:rPr>
                <w:rFonts w:ascii="Arial" w:cs="Arial" w:eastAsia="Arial" w:hAnsi="Arial"/>
                <w:sz w:val="15"/>
                <w:szCs w:val="15"/>
                <w:color w:val="auto"/>
              </w:rPr>
              <w:t>Chairman and Chief Executive Officer, ManpowerGroup</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Paul Read</w:t>
            </w: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54</w:t>
            </w:r>
          </w:p>
        </w:tc>
        <w:tc>
          <w:tcPr>
            <w:tcW w:w="960" w:type="dxa"/>
            <w:vAlign w:val="bottom"/>
          </w:tcPr>
          <w:p>
            <w:pPr>
              <w:jc w:val="center"/>
              <w:spacing w:after="0"/>
              <w:rPr>
                <w:sz w:val="20"/>
                <w:szCs w:val="20"/>
                <w:color w:val="auto"/>
              </w:rPr>
            </w:pPr>
            <w:r>
              <w:rPr>
                <w:rFonts w:ascii="Arial" w:cs="Arial" w:eastAsia="Arial" w:hAnsi="Arial"/>
                <w:sz w:val="15"/>
                <w:szCs w:val="15"/>
                <w:color w:val="auto"/>
              </w:rPr>
              <w:t>2014</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and Chief Operating Officer, Ingram Micro, Inc.</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Elizabeth P. Sartain</w:t>
            </w: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66</w:t>
            </w:r>
          </w:p>
        </w:tc>
        <w:tc>
          <w:tcPr>
            <w:tcW w:w="960" w:type="dxa"/>
            <w:vAlign w:val="bottom"/>
          </w:tcPr>
          <w:p>
            <w:pPr>
              <w:jc w:val="center"/>
              <w:spacing w:after="0"/>
              <w:rPr>
                <w:sz w:val="20"/>
                <w:szCs w:val="20"/>
                <w:color w:val="auto"/>
              </w:rPr>
            </w:pPr>
            <w:r>
              <w:rPr>
                <w:rFonts w:ascii="Arial" w:cs="Arial" w:eastAsia="Arial" w:hAnsi="Arial"/>
                <w:sz w:val="15"/>
                <w:szCs w:val="15"/>
                <w:color w:val="auto"/>
              </w:rPr>
              <w:t>2010</w:t>
            </w:r>
          </w:p>
        </w:tc>
        <w:tc>
          <w:tcPr>
            <w:tcW w:w="7080" w:type="dxa"/>
            <w:vAlign w:val="bottom"/>
          </w:tcPr>
          <w:p>
            <w:pPr>
              <w:ind w:left="100"/>
              <w:spacing w:after="0"/>
              <w:rPr>
                <w:sz w:val="20"/>
                <w:szCs w:val="20"/>
                <w:color w:val="auto"/>
              </w:rPr>
            </w:pPr>
            <w:r>
              <w:rPr>
                <w:rFonts w:ascii="Arial" w:cs="Arial" w:eastAsia="Arial" w:hAnsi="Arial"/>
                <w:sz w:val="15"/>
                <w:szCs w:val="15"/>
                <w:color w:val="auto"/>
              </w:rPr>
              <w:t>Independent Human Resource Advisor and Consultant</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Michael J. Van Handel</w:t>
            </w: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61</w:t>
            </w:r>
          </w:p>
        </w:tc>
        <w:tc>
          <w:tcPr>
            <w:tcW w:w="960" w:type="dxa"/>
            <w:vAlign w:val="bottom"/>
          </w:tcPr>
          <w:p>
            <w:pPr>
              <w:jc w:val="center"/>
              <w:spacing w:after="0"/>
              <w:rPr>
                <w:sz w:val="20"/>
                <w:szCs w:val="20"/>
                <w:color w:val="auto"/>
              </w:rPr>
            </w:pPr>
            <w:r>
              <w:rPr>
                <w:rFonts w:ascii="Arial" w:cs="Arial" w:eastAsia="Arial" w:hAnsi="Arial"/>
                <w:sz w:val="15"/>
                <w:szCs w:val="15"/>
                <w:color w:val="auto"/>
              </w:rPr>
              <w:t>2017</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Senior Executive Vice President, ManpowerGroup</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bl>
    <w:p>
      <w:pPr>
        <w:spacing w:after="0" w:line="211" w:lineRule="exact"/>
        <w:rPr>
          <w:sz w:val="20"/>
          <w:szCs w:val="20"/>
          <w:color w:val="auto"/>
        </w:rPr>
      </w:pPr>
    </w:p>
    <w:p>
      <w:pPr>
        <w:ind w:right="500"/>
        <w:spacing w:after="0" w:line="237" w:lineRule="auto"/>
        <w:rPr>
          <w:sz w:val="20"/>
          <w:szCs w:val="20"/>
          <w:color w:val="auto"/>
        </w:rPr>
      </w:pPr>
      <w:r>
        <w:rPr>
          <w:rFonts w:ascii="Arial" w:cs="Arial" w:eastAsia="Arial" w:hAnsi="Arial"/>
          <w:sz w:val="15"/>
          <w:szCs w:val="15"/>
          <w:color w:val="auto"/>
        </w:rPr>
        <w:t>In accordance with the Company’s corporate governance guidelines regarding retirement, Cari M. Dominguez is retiring from the board of directors effective May 7, 2021 and will therefore not be seeking re-election.</w:t>
      </w:r>
    </w:p>
    <w:p>
      <w:pPr>
        <w:spacing w:after="0" w:line="114" w:lineRule="exact"/>
        <w:rPr>
          <w:sz w:val="20"/>
          <w:szCs w:val="20"/>
          <w:color w:val="auto"/>
        </w:rPr>
      </w:pPr>
    </w:p>
    <w:p>
      <w:pPr>
        <w:ind w:right="180"/>
        <w:spacing w:after="0" w:line="237" w:lineRule="auto"/>
        <w:rPr>
          <w:sz w:val="20"/>
          <w:szCs w:val="20"/>
          <w:color w:val="auto"/>
        </w:rPr>
      </w:pPr>
      <w:r>
        <w:rPr>
          <w:rFonts w:ascii="Arial" w:cs="Arial" w:eastAsia="Arial" w:hAnsi="Arial"/>
          <w:sz w:val="15"/>
          <w:szCs w:val="15"/>
          <w:color w:val="auto"/>
        </w:rPr>
        <w:t>The nominating and governance committee reviewed the qualifications of the directors listed above who are seeking election or re-election and recommended to the board of directors that each be elected or re-elected to serve for an additional one-year term. The board of directors has confirmed the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73</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49" w:right="49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ELECTION OF DIRECTORS</w:t>
      </w:r>
    </w:p>
    <w:p>
      <w:pPr>
        <w:spacing w:after="0" w:line="165"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nominating and governance committee. The nominating and governance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305" w:lineRule="exact"/>
        <w:rPr>
          <w:sz w:val="20"/>
          <w:szCs w:val="20"/>
          <w:color w:val="auto"/>
        </w:rPr>
      </w:pPr>
    </w:p>
    <w:p>
      <w:pPr>
        <w:ind w:left="220" w:right="360" w:firstLine="1364"/>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you vote FOR the </w:t>
      </w:r>
      <w:r>
        <w:rPr>
          <w:rFonts w:ascii="Arial" w:cs="Arial" w:eastAsia="Arial" w:hAnsi="Arial"/>
          <w:sz w:val="47"/>
          <w:szCs w:val="47"/>
          <w:color w:val="5D89B4"/>
        </w:rPr>
        <w:t xml:space="preserve">1: </w:t>
      </w:r>
      <w:r>
        <w:rPr>
          <w:rFonts w:ascii="Arial" w:cs="Arial" w:eastAsia="Arial" w:hAnsi="Arial"/>
          <w:sz w:val="26"/>
          <w:szCs w:val="26"/>
          <w:b w:val="1"/>
          <w:bCs w:val="1"/>
          <w:color w:val="5D89B4"/>
        </w:rPr>
        <w:t>election of each of the nominees listed above, and your</w:t>
      </w:r>
    </w:p>
    <w:p>
      <w:pPr>
        <w:spacing w:after="0" w:line="3" w:lineRule="exact"/>
        <w:rPr>
          <w:sz w:val="20"/>
          <w:szCs w:val="20"/>
          <w:color w:val="auto"/>
        </w:rPr>
      </w:pPr>
    </w:p>
    <w:p>
      <w:pPr>
        <w:ind w:left="1600"/>
        <w:spacing w:after="0"/>
        <w:rPr>
          <w:sz w:val="20"/>
          <w:szCs w:val="20"/>
          <w:color w:val="auto"/>
        </w:rPr>
      </w:pPr>
      <w:r>
        <w:rPr>
          <w:rFonts w:ascii="Arial" w:cs="Arial" w:eastAsia="Arial" w:hAnsi="Arial"/>
          <w:sz w:val="34"/>
          <w:szCs w:val="34"/>
          <w:b w:val="1"/>
          <w:bCs w:val="1"/>
          <w:color w:val="5D89B4"/>
        </w:rPr>
        <w:t>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69297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74</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4" w:right="539" w:bottom="1440" w:gutter="0" w:footer="0" w:header="0"/>
        </w:sectPr>
      </w:pPr>
    </w:p>
    <w:bookmarkStart w:id="86" w:name="page87"/>
    <w:bookmarkEnd w:id="86"/>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2. Ratification of Independent Auditors</w:t>
      </w:r>
    </w:p>
    <w:p>
      <w:pPr>
        <w:spacing w:after="0" w:line="371"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The audit committee of the board of directors has appointed Deloitte &amp; Touche LLP to audit our consolidated financial statements for the fiscal year ending December 31, 2021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If the shareholders do not ratify the appointment of Deloitte &amp; Touche LLP, the audit committee will take such action into account in reconsidering the appointment of our independent auditors for the fiscal year ending December 31, 2021.</w:t>
      </w:r>
    </w:p>
    <w:p>
      <w:pPr>
        <w:spacing w:after="0" w:line="127"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The affirmative vote of a majority of the votes cast on this proposal shall constitute ratification of Deloitte &amp; Touche LLP as our independent auditors for the fiscal year ending December 31, 2021. Abstentions and broker non-votes will not be counted as votes cast and, therefore, will have no impact on the approval of the proposal.</w:t>
      </w:r>
    </w:p>
    <w:p>
      <w:pPr>
        <w:spacing w:after="0" w:line="200" w:lineRule="exact"/>
        <w:rPr>
          <w:sz w:val="20"/>
          <w:szCs w:val="20"/>
          <w:color w:val="auto"/>
        </w:rPr>
      </w:pPr>
    </w:p>
    <w:p>
      <w:pPr>
        <w:spacing w:after="0" w:line="239" w:lineRule="exact"/>
        <w:rPr>
          <w:sz w:val="20"/>
          <w:szCs w:val="20"/>
          <w:color w:val="auto"/>
        </w:rPr>
      </w:pPr>
    </w:p>
    <w:p>
      <w:pPr>
        <w:ind w:left="220" w:right="420" w:firstLine="1538"/>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you vote FOR the </w:t>
      </w:r>
      <w:r>
        <w:rPr>
          <w:rFonts w:ascii="Arial" w:cs="Arial" w:eastAsia="Arial" w:hAnsi="Arial"/>
          <w:sz w:val="47"/>
          <w:szCs w:val="47"/>
          <w:color w:val="5D89B4"/>
        </w:rPr>
        <w:t xml:space="preserve">2: </w:t>
      </w:r>
      <w:r>
        <w:rPr>
          <w:rFonts w:ascii="Arial" w:cs="Arial" w:eastAsia="Arial" w:hAnsi="Arial"/>
          <w:sz w:val="26"/>
          <w:szCs w:val="26"/>
          <w:b w:val="1"/>
          <w:bCs w:val="1"/>
          <w:color w:val="5D89B4"/>
        </w:rPr>
        <w:t>ratification of the appointment of Deloitte &amp; Touche</w:t>
      </w:r>
    </w:p>
    <w:p>
      <w:pPr>
        <w:spacing w:after="0" w:line="3" w:lineRule="exact"/>
        <w:rPr>
          <w:sz w:val="20"/>
          <w:szCs w:val="20"/>
          <w:color w:val="auto"/>
        </w:rPr>
      </w:pPr>
    </w:p>
    <w:p>
      <w:pPr>
        <w:ind w:left="1760" w:right="600"/>
        <w:spacing w:after="0" w:line="243" w:lineRule="auto"/>
        <w:rPr>
          <w:sz w:val="20"/>
          <w:szCs w:val="20"/>
          <w:color w:val="auto"/>
        </w:rPr>
      </w:pPr>
      <w:r>
        <w:rPr>
          <w:rFonts w:ascii="Arial" w:cs="Arial" w:eastAsia="Arial" w:hAnsi="Arial"/>
          <w:sz w:val="34"/>
          <w:szCs w:val="34"/>
          <w:b w:val="1"/>
          <w:bCs w:val="1"/>
          <w:color w:val="5D89B4"/>
        </w:rPr>
        <w:t>LLP as our independent auditors for the fiscal year ending December 31, 2021,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9297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75</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250" w:right="539" w:bottom="1440" w:gutter="0" w:footer="0" w:header="0"/>
        </w:sectPr>
      </w:pPr>
    </w:p>
    <w:bookmarkStart w:id="87" w:name="page88"/>
    <w:bookmarkEnd w:id="87"/>
    <w:p>
      <w:pPr>
        <w:ind w:right="80" w:firstLine="7"/>
        <w:spacing w:after="0" w:line="276" w:lineRule="auto"/>
        <w:tabs>
          <w:tab w:leader="none" w:pos="460" w:val="left"/>
        </w:tabs>
        <w:numPr>
          <w:ilvl w:val="0"/>
          <w:numId w:val="80"/>
        </w:numPr>
        <w:rPr>
          <w:rFonts w:ascii="Arial" w:cs="Arial" w:eastAsia="Arial" w:hAnsi="Arial"/>
          <w:sz w:val="43"/>
          <w:szCs w:val="43"/>
          <w:b w:val="1"/>
          <w:bCs w:val="1"/>
          <w:color w:val="5D89B4"/>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Advisory Vote on Approval of the Compensation of Named Executive Officers</w:t>
      </w:r>
    </w:p>
    <w:p>
      <w:pPr>
        <w:spacing w:after="0" w:line="223"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15"/>
          <w:szCs w:val="15"/>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12"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ManpowerGroup derives approximately 87% of its revenues from outside the United States, with the largest portions coming from the company’s operating segments in Southern Europe (44%), Northern Europe (22%) and Asia Pacific Middle East (13%). Our business is truly global in nature and complexity. Through our global network of nearly 2,200 offices in 75 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p>
    <w:p>
      <w:pPr>
        <w:spacing w:after="0" w:line="127" w:lineRule="exact"/>
        <w:rPr>
          <w:sz w:val="20"/>
          <w:szCs w:val="20"/>
          <w:color w:val="auto"/>
        </w:rPr>
      </w:pPr>
    </w:p>
    <w:p>
      <w:pPr>
        <w:jc w:val="both"/>
        <w:ind w:right="100"/>
        <w:spacing w:after="0" w:line="230" w:lineRule="auto"/>
        <w:rPr>
          <w:sz w:val="20"/>
          <w:szCs w:val="20"/>
          <w:color w:val="auto"/>
        </w:rPr>
      </w:pPr>
      <w:r>
        <w:rPr>
          <w:rFonts w:ascii="Arial" w:cs="Arial" w:eastAsia="Arial" w:hAnsi="Arial"/>
          <w:sz w:val="15"/>
          <w:szCs w:val="15"/>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14"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Compensation packages for the executive officers generally include, as short-term arrangements, a base salary and an annual incentive bonus, and for long-term focus and value accumulation, PSUs, stock options and RSUs.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28"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OPMP goals, a measure of how efficiently our executive officers have deployed our operating resources to generate a profit. We believe using this metric drives a long-term focus on achieving sustainable profits. In addition, a substantial portion of the annual incentive award paid to the executive officers is based on achievement of earnings per share, return on invested capital and revenue for the year. Earnings per share focuses our executive officers on producing financial results that align with the interests of our shareholders, return on invested capital incentivizes our executive officers to manage our accounts receivable and other capital investments carefully in order to maximize capital deployed, and revenue keeps our NEOs focused on top-line growth, in addition to profitability</w:t>
      </w:r>
      <w:r>
        <w:rPr>
          <w:rFonts w:ascii="Arial" w:cs="Arial" w:eastAsia="Arial" w:hAnsi="Arial"/>
          <w:sz w:val="15"/>
          <w:szCs w:val="15"/>
          <w:b w:val="1"/>
          <w:bCs w:val="1"/>
          <w:color w:val="auto"/>
        </w:rPr>
        <w:t>.</w:t>
      </w:r>
    </w:p>
    <w:p>
      <w:pPr>
        <w:spacing w:after="0" w:line="132"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the award level is correspondingly reduced or eliminated.</w:t>
      </w:r>
    </w:p>
    <w:p>
      <w:pPr>
        <w:spacing w:after="0" w:line="115"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PSUs which are earned only to the extent the company achieves a pre-established level of performance tied to a designated performance metric, in this instance OPMP.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9297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76</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49" w:right="519" w:bottom="1440" w:gutter="0" w:footer="0" w:header="0"/>
        </w:sectPr>
      </w:pPr>
    </w:p>
    <w:bookmarkStart w:id="88" w:name="page89"/>
    <w:bookmarkEnd w:id="88"/>
    <w:p>
      <w:pPr>
        <w:ind w:left="372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ADVISORY VOTE ON APPROVAL OF THE COMPENSATION OF NAMED EXECUTIVE OFFICERS</w:t>
      </w:r>
    </w:p>
    <w:p>
      <w:pPr>
        <w:spacing w:after="0" w:line="177" w:lineRule="exact"/>
        <w:rPr>
          <w:sz w:val="20"/>
          <w:szCs w:val="20"/>
          <w:color w:val="auto"/>
        </w:rPr>
      </w:pPr>
    </w:p>
    <w:p>
      <w:pPr>
        <w:jc w:val="both"/>
        <w:ind w:right="60"/>
        <w:spacing w:after="0" w:line="230" w:lineRule="auto"/>
        <w:rPr>
          <w:sz w:val="20"/>
          <w:szCs w:val="20"/>
          <w:color w:val="auto"/>
        </w:rPr>
      </w:pPr>
      <w:r>
        <w:rPr>
          <w:rFonts w:ascii="Arial" w:cs="Arial" w:eastAsia="Arial" w:hAnsi="Arial"/>
          <w:sz w:val="15"/>
          <w:szCs w:val="15"/>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200" w:lineRule="exact"/>
        <w:rPr>
          <w:sz w:val="20"/>
          <w:szCs w:val="20"/>
          <w:color w:val="auto"/>
        </w:rPr>
      </w:pPr>
    </w:p>
    <w:p>
      <w:pPr>
        <w:spacing w:after="0" w:line="238" w:lineRule="exact"/>
        <w:rPr>
          <w:sz w:val="20"/>
          <w:szCs w:val="20"/>
          <w:color w:val="auto"/>
        </w:rPr>
      </w:pPr>
    </w:p>
    <w:p>
      <w:pPr>
        <w:ind w:left="220" w:right="340" w:firstLine="1538"/>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that you vote FOR </w:t>
      </w:r>
      <w:r>
        <w:rPr>
          <w:rFonts w:ascii="Arial" w:cs="Arial" w:eastAsia="Arial" w:hAnsi="Arial"/>
          <w:sz w:val="47"/>
          <w:szCs w:val="47"/>
          <w:color w:val="5D89B4"/>
        </w:rPr>
        <w:t xml:space="preserve">3: </w:t>
      </w:r>
      <w:r>
        <w:rPr>
          <w:rFonts w:ascii="Arial" w:cs="Arial" w:eastAsia="Arial" w:hAnsi="Arial"/>
          <w:sz w:val="26"/>
          <w:szCs w:val="26"/>
          <w:b w:val="1"/>
          <w:bCs w:val="1"/>
          <w:color w:val="5D89B4"/>
        </w:rPr>
        <w:t>the proposal to approve the compensation of our</w:t>
      </w:r>
    </w:p>
    <w:p>
      <w:pPr>
        <w:spacing w:after="0" w:line="3" w:lineRule="exact"/>
        <w:rPr>
          <w:sz w:val="20"/>
          <w:szCs w:val="20"/>
          <w:color w:val="auto"/>
        </w:rPr>
      </w:pPr>
    </w:p>
    <w:p>
      <w:pPr>
        <w:ind w:left="1760" w:right="860"/>
        <w:spacing w:after="0" w:line="248" w:lineRule="auto"/>
        <w:rPr>
          <w:sz w:val="20"/>
          <w:szCs w:val="20"/>
          <w:color w:val="auto"/>
        </w:rPr>
      </w:pPr>
      <w:r>
        <w:rPr>
          <w:rFonts w:ascii="Arial" w:cs="Arial" w:eastAsia="Arial" w:hAnsi="Arial"/>
          <w:sz w:val="34"/>
          <w:szCs w:val="34"/>
          <w:b w:val="1"/>
          <w:bCs w:val="1"/>
          <w:color w:val="5D89B4"/>
        </w:rPr>
        <w:t>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9297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7"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77</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89" w:name="page90"/>
    <w:bookmarkEnd w:id="89"/>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Date, Time, and Place of Meeting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 xml:space="preserve">Date: </w:t>
      </w:r>
      <w:r>
        <w:rPr>
          <w:rFonts w:ascii="Arial" w:cs="Arial" w:eastAsia="Arial" w:hAnsi="Arial"/>
          <w:sz w:val="18"/>
          <w:szCs w:val="18"/>
          <w:color w:val="000000"/>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 xml:space="preserve">Time: </w:t>
      </w:r>
      <w:r>
        <w:rPr>
          <w:rFonts w:ascii="Arial" w:cs="Arial" w:eastAsia="Arial" w:hAnsi="Arial"/>
          <w:sz w:val="18"/>
          <w:szCs w:val="18"/>
          <w:color w:val="000000"/>
        </w:rPr>
        <w:t>9:00 a.m. CDT</w:t>
      </w:r>
    </w:p>
    <w:p>
      <w:pPr>
        <w:spacing w:after="0"/>
        <w:rPr>
          <w:sz w:val="20"/>
          <w:szCs w:val="20"/>
          <w:color w:val="auto"/>
        </w:rPr>
      </w:pPr>
      <w:r>
        <w:rPr>
          <w:rFonts w:ascii="Arial" w:cs="Arial" w:eastAsia="Arial" w:hAnsi="Arial"/>
          <w:sz w:val="18"/>
          <w:szCs w:val="18"/>
          <w:b w:val="1"/>
          <w:bCs w:val="1"/>
          <w:color w:val="5D89B4"/>
        </w:rPr>
        <w:t xml:space="preserve">Virtual Meeting Access: </w:t>
      </w:r>
      <w:r>
        <w:rPr>
          <w:rFonts w:ascii="Arial" w:cs="Arial" w:eastAsia="Arial" w:hAnsi="Arial"/>
          <w:sz w:val="18"/>
          <w:szCs w:val="18"/>
          <w:color w:val="000000"/>
        </w:rPr>
        <w:t>www.meetingcenter.io/237950674</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This Proxy Statement was first made available to shareholders on or about March 11, 2021. This proxy statement relates to the solicitation of proxies by the board of directors of ManpowerGroup Inc. for the purposes set forth in this proxy statement and in the accompanying notice of annual meeting of shareholders.</w:t>
      </w:r>
    </w:p>
    <w:p>
      <w:pPr>
        <w:spacing w:after="0" w:line="154"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Proxy Materials are Available on the Internet</w:t>
      </w:r>
    </w:p>
    <w:p>
      <w:pPr>
        <w:spacing w:after="0" w:line="371"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Under rules adopted by the Securities and Exchange Commission, ManpowerGroup is making this proxy statement and other annual meeting materials available on the Internet instead of mailing a printed copy of these materials to each shareholder. The Notice is being mailed to shareholders commencing on or about March 25, 2021. Shareholders who receive a Notice of Internet Availability of Proxy Materials (the “Notice”) by mail will not receive a printed copy of these materials.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09" w:lineRule="exact"/>
        <w:rPr>
          <w:sz w:val="20"/>
          <w:szCs w:val="20"/>
          <w:color w:val="auto"/>
        </w:rPr>
      </w:pPr>
    </w:p>
    <w:p>
      <w:pPr>
        <w:ind w:right="180"/>
        <w:spacing w:after="0" w:line="260" w:lineRule="auto"/>
        <w:rPr>
          <w:sz w:val="20"/>
          <w:szCs w:val="20"/>
          <w:color w:val="auto"/>
        </w:rPr>
      </w:pPr>
      <w:r>
        <w:rPr>
          <w:rFonts w:ascii="Arial" w:cs="Arial" w:eastAsia="Arial" w:hAnsi="Arial"/>
          <w:sz w:val="15"/>
          <w:szCs w:val="15"/>
          <w:b w:val="1"/>
          <w:bCs w:val="1"/>
          <w:color w:val="auto"/>
        </w:rPr>
        <w:t>If you received the Notice by mail and would prefer to receive a printed copy of ManpowerGroup’s proxy materials, please follow the instructions for requesting printed copies included in the Notice.</w:t>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Participating in the Annual Meeting</w:t>
      </w:r>
    </w:p>
    <w:p>
      <w:pPr>
        <w:spacing w:after="0" w:line="371"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Due to the public health impact of the COVID-19 pandemic, and to support the health and well-being of our shareholders, employees and communities, this year’s annual meeting will be held over the web in a virtual meeting format only. Conducting the meeting virtually will ensure shareholder participation and facilitate participation. ManpowerGroup shareholders as of the close of business on February 26, 2021 are entitled to attend and vote and ask questions at the annual meeting.</w:t>
      </w:r>
    </w:p>
    <w:p>
      <w:pPr>
        <w:spacing w:after="0" w:line="155"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Shareholders can begin asking questions approximately five days in advance of the meeting as well as during the meeting by accessing the virtual meeting site. We will answer as many questions as possible during the live webcast Q&amp;A session, as time permits. Only pertinent questions to the Company and the matters of the meeting will be answered. Any pertinent questions of the meeting that are not answered during the Annual Meeting will be addressed and posted to the Company’s website as soon as practical after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Whether or not you participate in the virtual annual meeting, ManpowerGroup urges you to vote and submit your proxy in advance of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ManpowerGroup shareholders can access the meeting at www.meetingcenter.io/237950674.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Registered Shareholders</w:t>
      </w:r>
    </w:p>
    <w:p>
      <w:pPr>
        <w:spacing w:after="0" w:line="81" w:lineRule="exact"/>
        <w:rPr>
          <w:sz w:val="20"/>
          <w:szCs w:val="20"/>
          <w:color w:val="auto"/>
        </w:rPr>
      </w:pPr>
    </w:p>
    <w:p>
      <w:pPr>
        <w:ind w:right="220"/>
        <w:spacing w:after="0" w:line="237" w:lineRule="auto"/>
        <w:rPr>
          <w:sz w:val="20"/>
          <w:szCs w:val="20"/>
          <w:color w:val="auto"/>
        </w:rPr>
      </w:pPr>
      <w:r>
        <w:rPr>
          <w:rFonts w:ascii="Arial" w:cs="Arial" w:eastAsia="Arial" w:hAnsi="Arial"/>
          <w:sz w:val="15"/>
          <w:szCs w:val="15"/>
          <w:color w:val="auto"/>
        </w:rPr>
        <w:t>If you are a registered shareholder, to attend and vote, follow the instructions on the meeting website and enter the control number found on your proxy card or notice, or email you received, along with the meeting password, MAN2021 (case sensitive).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78</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40"/>
          </w:cols>
          <w:pgMar w:left="480" w:top="1249" w:right="57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SOLICITING PROXIES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Beneficial Shareholders</w:t>
      </w:r>
    </w:p>
    <w:p>
      <w:pPr>
        <w:spacing w:after="0" w:line="94"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If you are a beneficial shareholder, you must register in advance to attend and vote at the 2021 Annual Meeting. To register you must submit proof of your proxy power (legal proxy) reflecting your ManpowerGroup Inc. holdings along with your name and email address to Computershare. Requests for registration must be labeled as “Legal Proxy” and be received no later than 5:00 p.m., Eastern Time, on May 4, 2021. You will receive a confirmation email from Computershare of your registration and will be issued a control number that will allow you to attend and vote at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Requests for registration should be directed to Computershare at the following:</w:t>
      </w:r>
    </w:p>
    <w:p>
      <w:pPr>
        <w:sectPr>
          <w:pgSz w:w="11900" w:h="16838" w:orient="portrait"/>
          <w:cols w:equalWidth="0" w:num="1">
            <w:col w:w="10920"/>
          </w:cols>
          <w:pgMar w:left="480" w:top="1164" w:right="499" w:bottom="1440" w:gutter="0" w:footer="0" w:header="0"/>
        </w:sectPr>
      </w:pPr>
    </w:p>
    <w:p>
      <w:pPr>
        <w:spacing w:after="0" w:line="202" w:lineRule="exact"/>
        <w:rPr>
          <w:sz w:val="20"/>
          <w:szCs w:val="20"/>
          <w:color w:val="auto"/>
        </w:rPr>
      </w:pPr>
    </w:p>
    <w:p>
      <w:pPr>
        <w:ind w:left="780"/>
        <w:spacing w:after="0"/>
        <w:rPr>
          <w:sz w:val="20"/>
          <w:szCs w:val="20"/>
          <w:color w:val="auto"/>
        </w:rPr>
      </w:pPr>
      <w:r>
        <w:rPr>
          <w:rFonts w:ascii="Arial" w:cs="Arial" w:eastAsia="Arial" w:hAnsi="Arial"/>
          <w:sz w:val="15"/>
          <w:szCs w:val="15"/>
          <w:color w:val="auto"/>
        </w:rPr>
        <w:t>By email: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740"/>
        <w:spacing w:after="0" w:line="237" w:lineRule="auto"/>
        <w:rPr>
          <w:sz w:val="20"/>
          <w:szCs w:val="20"/>
          <w:color w:val="auto"/>
        </w:rPr>
      </w:pPr>
      <w:r>
        <w:rPr>
          <w:rFonts w:ascii="Arial" w:cs="Arial" w:eastAsia="Arial" w:hAnsi="Arial"/>
          <w:sz w:val="15"/>
          <w:szCs w:val="15"/>
          <w:color w:val="auto"/>
        </w:rPr>
        <w:t>Forward the email from your broker granting you a Legal Proxy, or attach an image of your Legal Proxy, to legalproxy@computershare.com</w:t>
      </w:r>
    </w:p>
    <w:p>
      <w:pPr>
        <w:spacing w:after="0" w:line="182" w:lineRule="exact"/>
        <w:rPr>
          <w:sz w:val="20"/>
          <w:szCs w:val="20"/>
          <w:color w:val="auto"/>
        </w:rPr>
      </w:pPr>
    </w:p>
    <w:p>
      <w:pPr>
        <w:sectPr>
          <w:pgSz w:w="11900" w:h="16838" w:orient="portrait"/>
          <w:cols w:equalWidth="0" w:num="2">
            <w:col w:w="1400" w:space="700"/>
            <w:col w:w="8820"/>
          </w:cols>
          <w:pgMar w:left="480" w:top="1164" w:right="499" w:bottom="1440" w:gutter="0" w:footer="0" w:header="0"/>
          <w:type w:val="continuous"/>
        </w:sectPr>
      </w:pPr>
    </w:p>
    <w:p>
      <w:pPr>
        <w:spacing w:after="0" w:line="12"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By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Computershare</w:t>
      </w:r>
    </w:p>
    <w:p>
      <w:pPr>
        <w:spacing w:after="0" w:line="223" w:lineRule="auto"/>
        <w:rPr>
          <w:sz w:val="20"/>
          <w:szCs w:val="20"/>
          <w:color w:val="auto"/>
        </w:rPr>
      </w:pPr>
      <w:r>
        <w:rPr>
          <w:rFonts w:ascii="Arial" w:cs="Arial" w:eastAsia="Arial" w:hAnsi="Arial"/>
          <w:sz w:val="15"/>
          <w:szCs w:val="15"/>
          <w:color w:val="auto"/>
        </w:rPr>
        <w:t>ManpowerGroup Legal Proxy</w:t>
      </w:r>
    </w:p>
    <w:p>
      <w:pPr>
        <w:spacing w:after="0" w:line="223" w:lineRule="auto"/>
        <w:rPr>
          <w:sz w:val="20"/>
          <w:szCs w:val="20"/>
          <w:color w:val="auto"/>
        </w:rPr>
      </w:pPr>
      <w:r>
        <w:rPr>
          <w:rFonts w:ascii="Arial" w:cs="Arial" w:eastAsia="Arial" w:hAnsi="Arial"/>
          <w:sz w:val="15"/>
          <w:szCs w:val="15"/>
          <w:color w:val="auto"/>
        </w:rPr>
        <w:t>P.O. Box 43001</w:t>
      </w:r>
    </w:p>
    <w:p>
      <w:pPr>
        <w:spacing w:after="0"/>
        <w:rPr>
          <w:sz w:val="20"/>
          <w:szCs w:val="20"/>
          <w:color w:val="auto"/>
        </w:rPr>
      </w:pPr>
      <w:r>
        <w:rPr>
          <w:rFonts w:ascii="Arial" w:cs="Arial" w:eastAsia="Arial" w:hAnsi="Arial"/>
          <w:sz w:val="15"/>
          <w:szCs w:val="15"/>
          <w:color w:val="auto"/>
        </w:rPr>
        <w:t>Providence, RI 02940-3001</w:t>
      </w:r>
    </w:p>
    <w:p>
      <w:pPr>
        <w:spacing w:after="0" w:line="175" w:lineRule="exact"/>
        <w:rPr>
          <w:sz w:val="20"/>
          <w:szCs w:val="20"/>
          <w:color w:val="auto"/>
        </w:rPr>
      </w:pPr>
    </w:p>
    <w:p>
      <w:pPr>
        <w:sectPr>
          <w:pgSz w:w="11900" w:h="16838" w:orient="portrait"/>
          <w:cols w:equalWidth="0" w:num="2">
            <w:col w:w="1380" w:space="720"/>
            <w:col w:w="8820"/>
          </w:cols>
          <w:pgMar w:left="480" w:top="1164" w:right="499" w:bottom="1440" w:gutter="0" w:footer="0" w:header="0"/>
          <w:type w:val="continuous"/>
        </w:sectPr>
      </w:pPr>
    </w:p>
    <w:p>
      <w:pPr>
        <w:ind w:right="80"/>
        <w:spacing w:after="0" w:line="237" w:lineRule="auto"/>
        <w:rPr>
          <w:sz w:val="20"/>
          <w:szCs w:val="20"/>
          <w:color w:val="auto"/>
        </w:rPr>
      </w:pPr>
      <w:r>
        <w:rPr>
          <w:rFonts w:ascii="Arial" w:cs="Arial" w:eastAsia="Arial" w:hAnsi="Arial"/>
          <w:sz w:val="15"/>
          <w:szCs w:val="15"/>
          <w:color w:val="auto"/>
        </w:rPr>
        <w:t>A list of shareholders of record will be available during the virtual Annual Meeting for inspection by shareholders for any legally valid purpose related to the Annual Meeting at www.meetingcenter.io/237950674.</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The annual meeting will begin promptly at 9:00 a.m. Central Time on Friday, May 7, 2021. We encourage you to access the meeting before it begins. Online check-in will start shortly before the meeting and you should allow ample time for the check-in procedures. If you require technical assistance, a link on the meeting page will provide further assistance or you may call 1-800-874-1547.</w:t>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Soliciting Proxies</w:t>
      </w:r>
    </w:p>
    <w:p>
      <w:pPr>
        <w:spacing w:after="0" w:line="371" w:lineRule="exact"/>
        <w:rPr>
          <w:sz w:val="20"/>
          <w:szCs w:val="20"/>
          <w:color w:val="auto"/>
        </w:rPr>
      </w:pPr>
    </w:p>
    <w:p>
      <w:pPr>
        <w:jc w:val="both"/>
        <w:ind w:right="40"/>
        <w:spacing w:after="0" w:line="232" w:lineRule="auto"/>
        <w:rPr>
          <w:sz w:val="20"/>
          <w:szCs w:val="20"/>
          <w:color w:val="auto"/>
        </w:rPr>
      </w:pPr>
      <w:r>
        <w:rPr>
          <w:rFonts w:ascii="Arial" w:cs="Arial" w:eastAsia="Arial" w:hAnsi="Arial"/>
          <w:sz w:val="15"/>
          <w:szCs w:val="15"/>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195"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Only shareholders of record at the close of business on February 26, 2021 are entitled to notice of and to vote the shares of our common stock, $.01 par value, registered in their name at the annual meeting. As of the record date, we had outstanding 54,946,183 shares of common stock.</w:t>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Vote Required and Voting Standards</w:t>
      </w:r>
    </w:p>
    <w:p>
      <w:pPr>
        <w:spacing w:after="0" w:line="371"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79</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CORPORATE GOVERNANCE DOCUMENTS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votes required for passage of each proposal and the effect of abstentions and non-broker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929755" cy="29718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929755" cy="297180"/>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5D89B4"/>
        </w:rPr>
        <w:t>PROPOSAL</w:t>
      </w:r>
    </w:p>
    <w:p>
      <w:pPr>
        <w:spacing w:after="0" w:line="223" w:lineRule="exact"/>
        <w:rPr>
          <w:sz w:val="20"/>
          <w:szCs w:val="20"/>
          <w:color w:val="auto"/>
        </w:rPr>
      </w:pPr>
    </w:p>
    <w:p>
      <w:pPr>
        <w:ind w:left="80" w:right="360"/>
        <w:spacing w:after="0" w:line="232" w:lineRule="auto"/>
        <w:rPr>
          <w:sz w:val="20"/>
          <w:szCs w:val="20"/>
          <w:color w:val="auto"/>
        </w:rPr>
      </w:pPr>
      <w:r>
        <w:rPr>
          <w:rFonts w:ascii="Arial" w:cs="Arial" w:eastAsia="Arial" w:hAnsi="Arial"/>
          <w:sz w:val="15"/>
          <w:szCs w:val="15"/>
          <w:color w:val="auto"/>
        </w:rPr>
        <w:t>To elect twelve individuals nominated by the Board of Directors of ManpowerGroup to serve until 2022 as directors;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5D89B4"/>
        </w:rPr>
        <w:t>VOTES REQUIRED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-93345</wp:posOffset>
            </wp:positionV>
            <wp:extent cx="5069840" cy="2546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069840" cy="254635"/>
                    </a:xfrm>
                    <a:prstGeom prst="rect">
                      <a:avLst/>
                    </a:prstGeom>
                    <a:noFill/>
                  </pic:spPr>
                </pic:pic>
              </a:graphicData>
            </a:graphic>
          </wp:anchor>
        </w:drawing>
      </w:r>
    </w:p>
    <w:p>
      <w:pPr>
        <w:ind w:left="420"/>
        <w:spacing w:after="0"/>
        <w:tabs>
          <w:tab w:leader="none" w:pos="3360" w:val="left"/>
          <w:tab w:leader="none" w:pos="5420" w:val="left"/>
        </w:tabs>
        <w:rPr>
          <w:sz w:val="20"/>
          <w:szCs w:val="20"/>
          <w:color w:val="auto"/>
        </w:rPr>
      </w:pPr>
      <w:r>
        <w:rPr>
          <w:rFonts w:ascii="Arial" w:cs="Arial" w:eastAsia="Arial" w:hAnsi="Arial"/>
          <w:sz w:val="14"/>
          <w:szCs w:val="14"/>
          <w:b w:val="1"/>
          <w:bCs w:val="1"/>
          <w:color w:val="5D89B4"/>
        </w:rPr>
        <w:t>APPROVAL</w:t>
      </w:r>
      <w:r>
        <w:rPr>
          <w:sz w:val="20"/>
          <w:szCs w:val="20"/>
          <w:color w:val="auto"/>
        </w:rPr>
        <w:tab/>
      </w:r>
      <w:r>
        <w:rPr>
          <w:rFonts w:ascii="Arial" w:cs="Arial" w:eastAsia="Arial" w:hAnsi="Arial"/>
          <w:sz w:val="14"/>
          <w:szCs w:val="14"/>
          <w:b w:val="1"/>
          <w:bCs w:val="1"/>
          <w:color w:val="5D89B4"/>
        </w:rPr>
        <w:t>ABSTENTIONS</w:t>
      </w:r>
      <w:r>
        <w:rPr>
          <w:sz w:val="20"/>
          <w:szCs w:val="20"/>
          <w:color w:val="auto"/>
        </w:rPr>
        <w:tab/>
      </w:r>
      <w:r>
        <w:rPr>
          <w:rFonts w:ascii="Arial" w:cs="Arial" w:eastAsia="Arial" w:hAnsi="Arial"/>
          <w:sz w:val="14"/>
          <w:szCs w:val="14"/>
          <w:b w:val="1"/>
          <w:bCs w:val="1"/>
          <w:color w:val="5D89B4"/>
        </w:rPr>
        <w:t>BROKER NON-VOTES</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3560" w:val="left"/>
          <w:tab w:leader="none" w:pos="5840" w:val="left"/>
        </w:tabs>
        <w:rPr>
          <w:sz w:val="20"/>
          <w:szCs w:val="20"/>
          <w:color w:val="auto"/>
        </w:rPr>
      </w:pPr>
      <w:r>
        <w:rPr>
          <w:rFonts w:ascii="Arial" w:cs="Arial" w:eastAsia="Arial" w:hAnsi="Arial"/>
          <w:sz w:val="15"/>
          <w:szCs w:val="15"/>
          <w:color w:val="auto"/>
        </w:rPr>
        <w:t>Majority of votes cast</w:t>
      </w:r>
      <w:r>
        <w:rPr>
          <w:sz w:val="20"/>
          <w:szCs w:val="20"/>
          <w:color w:val="auto"/>
        </w:rPr>
        <w:tab/>
      </w:r>
      <w:r>
        <w:rPr>
          <w:rFonts w:ascii="Arial" w:cs="Arial" w:eastAsia="Arial" w:hAnsi="Arial"/>
          <w:sz w:val="15"/>
          <w:szCs w:val="15"/>
          <w:color w:val="auto"/>
        </w:rPr>
        <w:t>Not voted</w:t>
      </w:r>
      <w:r>
        <w:rPr>
          <w:sz w:val="20"/>
          <w:szCs w:val="20"/>
          <w:color w:val="auto"/>
        </w:rPr>
        <w:tab/>
      </w:r>
      <w:r>
        <w:rPr>
          <w:rFonts w:ascii="Arial" w:cs="Arial" w:eastAsia="Arial" w:hAnsi="Arial"/>
          <w:sz w:val="14"/>
          <w:szCs w:val="14"/>
          <w:color w:val="auto"/>
        </w:rPr>
        <w:t>Not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121920</wp:posOffset>
            </wp:positionV>
            <wp:extent cx="69297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7" w:lineRule="exact"/>
        <w:rPr>
          <w:sz w:val="20"/>
          <w:szCs w:val="20"/>
          <w:color w:val="auto"/>
        </w:rPr>
      </w:pPr>
    </w:p>
    <w:p>
      <w:pPr>
        <w:sectPr>
          <w:pgSz w:w="11900" w:h="16838" w:orient="portrait"/>
          <w:cols w:equalWidth="0" w:num="2">
            <w:col w:w="3260" w:space="720"/>
            <w:col w:w="6940"/>
          </w:cols>
          <w:pgMar w:left="480" w:top="1164" w:right="49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ind w:left="80"/>
              <w:spacing w:after="0"/>
              <w:rPr>
                <w:sz w:val="20"/>
                <w:szCs w:val="20"/>
                <w:color w:val="auto"/>
              </w:rPr>
            </w:pPr>
            <w:r>
              <w:rPr>
                <w:rFonts w:ascii="Arial" w:cs="Arial" w:eastAsia="Arial" w:hAnsi="Arial"/>
                <w:sz w:val="15"/>
                <w:szCs w:val="15"/>
                <w:color w:val="auto"/>
              </w:rPr>
              <w:t>To ratify the appointment of Deloitte &amp;</w:t>
            </w:r>
          </w:p>
        </w:tc>
        <w:tc>
          <w:tcPr>
            <w:tcW w:w="3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7"/>
        </w:trPr>
        <w:tc>
          <w:tcPr>
            <w:tcW w:w="3460" w:type="dxa"/>
            <w:vAlign w:val="bottom"/>
          </w:tcPr>
          <w:p>
            <w:pPr>
              <w:ind w:left="80"/>
              <w:spacing w:after="0"/>
              <w:rPr>
                <w:sz w:val="20"/>
                <w:szCs w:val="20"/>
                <w:color w:val="auto"/>
              </w:rPr>
            </w:pPr>
            <w:r>
              <w:rPr>
                <w:rFonts w:ascii="Arial" w:cs="Arial" w:eastAsia="Arial" w:hAnsi="Arial"/>
                <w:sz w:val="15"/>
                <w:szCs w:val="15"/>
                <w:color w:val="auto"/>
              </w:rPr>
              <w:t>Touche LLP as our independent auditors</w:t>
            </w:r>
          </w:p>
        </w:tc>
        <w:tc>
          <w:tcPr>
            <w:tcW w:w="3040" w:type="dxa"/>
            <w:vAlign w:val="bottom"/>
          </w:tcPr>
          <w:p>
            <w:pPr>
              <w:ind w:left="580"/>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60"/>
              <w:spacing w:after="0"/>
              <w:rPr>
                <w:sz w:val="20"/>
                <w:szCs w:val="20"/>
                <w:color w:val="auto"/>
              </w:rPr>
            </w:pPr>
            <w:r>
              <w:rPr>
                <w:rFonts w:ascii="Arial" w:cs="Arial" w:eastAsia="Arial" w:hAnsi="Arial"/>
                <w:sz w:val="15"/>
                <w:szCs w:val="15"/>
                <w:color w:val="auto"/>
              </w:rPr>
              <w:t>Not voted</w:t>
            </w:r>
          </w:p>
        </w:tc>
        <w:tc>
          <w:tcPr>
            <w:tcW w:w="190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81"/>
        </w:trPr>
        <w:tc>
          <w:tcPr>
            <w:tcW w:w="3460" w:type="dxa"/>
            <w:vAlign w:val="bottom"/>
          </w:tcPr>
          <w:p>
            <w:pPr>
              <w:ind w:left="80"/>
              <w:spacing w:after="0"/>
              <w:rPr>
                <w:sz w:val="20"/>
                <w:szCs w:val="20"/>
                <w:color w:val="auto"/>
              </w:rPr>
            </w:pPr>
            <w:r>
              <w:rPr>
                <w:rFonts w:ascii="Arial" w:cs="Arial" w:eastAsia="Arial" w:hAnsi="Arial"/>
                <w:sz w:val="15"/>
                <w:szCs w:val="15"/>
                <w:color w:val="auto"/>
              </w:rPr>
              <w:t>for 2021;</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86"/>
        </w:trPr>
        <w:tc>
          <w:tcPr>
            <w:tcW w:w="3460" w:type="dxa"/>
            <w:vAlign w:val="bottom"/>
            <w:tcBorders>
              <w:bottom w:val="single" w:sz="8" w:color="5D89B4"/>
            </w:tcBorders>
          </w:tcPr>
          <w:p>
            <w:pPr>
              <w:spacing w:after="0"/>
              <w:rPr>
                <w:sz w:val="7"/>
                <w:szCs w:val="7"/>
                <w:color w:val="auto"/>
              </w:rPr>
            </w:pPr>
          </w:p>
        </w:tc>
        <w:tc>
          <w:tcPr>
            <w:tcW w:w="3040" w:type="dxa"/>
            <w:vAlign w:val="bottom"/>
            <w:tcBorders>
              <w:bottom w:val="single" w:sz="8" w:color="5D89B4"/>
            </w:tcBorders>
          </w:tcPr>
          <w:p>
            <w:pPr>
              <w:spacing w:after="0"/>
              <w:rPr>
                <w:sz w:val="7"/>
                <w:szCs w:val="7"/>
                <w:color w:val="auto"/>
              </w:rPr>
            </w:pPr>
          </w:p>
        </w:tc>
        <w:tc>
          <w:tcPr>
            <w:tcW w:w="2520" w:type="dxa"/>
            <w:vAlign w:val="bottom"/>
            <w:tcBorders>
              <w:bottom w:val="single" w:sz="8" w:color="5D89B4"/>
            </w:tcBorders>
          </w:tcPr>
          <w:p>
            <w:pPr>
              <w:spacing w:after="0"/>
              <w:rPr>
                <w:sz w:val="7"/>
                <w:szCs w:val="7"/>
                <w:color w:val="auto"/>
              </w:rPr>
            </w:pPr>
          </w:p>
        </w:tc>
        <w:tc>
          <w:tcPr>
            <w:tcW w:w="1900" w:type="dxa"/>
            <w:vAlign w:val="bottom"/>
            <w:tcBorders>
              <w:bottom w:val="single" w:sz="8" w:color="5D89B4"/>
            </w:tcBorders>
          </w:tcPr>
          <w:p>
            <w:pPr>
              <w:spacing w:after="0"/>
              <w:rPr>
                <w:sz w:val="7"/>
                <w:szCs w:val="7"/>
                <w:color w:val="auto"/>
              </w:rPr>
            </w:pPr>
          </w:p>
        </w:tc>
      </w:tr>
      <w:tr>
        <w:trPr>
          <w:trHeight w:val="324"/>
        </w:trPr>
        <w:tc>
          <w:tcPr>
            <w:tcW w:w="3460" w:type="dxa"/>
            <w:vAlign w:val="bottom"/>
          </w:tcPr>
          <w:p>
            <w:pPr>
              <w:ind w:left="80"/>
              <w:spacing w:after="0"/>
              <w:rPr>
                <w:sz w:val="20"/>
                <w:szCs w:val="20"/>
                <w:color w:val="auto"/>
              </w:rPr>
            </w:pPr>
            <w:r>
              <w:rPr>
                <w:rFonts w:ascii="Arial" w:cs="Arial" w:eastAsia="Arial" w:hAnsi="Arial"/>
                <w:sz w:val="15"/>
                <w:szCs w:val="15"/>
                <w:color w:val="auto"/>
              </w:rPr>
              <w:t>To hold an advisory vote on approval of</w:t>
            </w:r>
          </w:p>
        </w:tc>
        <w:tc>
          <w:tcPr>
            <w:tcW w:w="3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7"/>
        </w:trPr>
        <w:tc>
          <w:tcPr>
            <w:tcW w:w="3460" w:type="dxa"/>
            <w:vAlign w:val="bottom"/>
          </w:tcPr>
          <w:p>
            <w:pPr>
              <w:ind w:left="80"/>
              <w:spacing w:after="0"/>
              <w:rPr>
                <w:sz w:val="20"/>
                <w:szCs w:val="20"/>
                <w:color w:val="auto"/>
              </w:rPr>
            </w:pPr>
            <w:r>
              <w:rPr>
                <w:rFonts w:ascii="Arial" w:cs="Arial" w:eastAsia="Arial" w:hAnsi="Arial"/>
                <w:sz w:val="15"/>
                <w:szCs w:val="15"/>
                <w:color w:val="auto"/>
              </w:rPr>
              <w:t>the compensation of our named executive</w:t>
            </w:r>
          </w:p>
        </w:tc>
        <w:tc>
          <w:tcPr>
            <w:tcW w:w="3040" w:type="dxa"/>
            <w:vAlign w:val="bottom"/>
          </w:tcPr>
          <w:p>
            <w:pPr>
              <w:ind w:left="580"/>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60"/>
              <w:spacing w:after="0"/>
              <w:rPr>
                <w:sz w:val="20"/>
                <w:szCs w:val="20"/>
                <w:color w:val="auto"/>
              </w:rPr>
            </w:pPr>
            <w:r>
              <w:rPr>
                <w:rFonts w:ascii="Arial" w:cs="Arial" w:eastAsia="Arial" w:hAnsi="Arial"/>
                <w:sz w:val="15"/>
                <w:szCs w:val="15"/>
                <w:color w:val="auto"/>
              </w:rPr>
              <w:t>Not voted</w:t>
            </w:r>
          </w:p>
        </w:tc>
        <w:tc>
          <w:tcPr>
            <w:tcW w:w="190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81"/>
        </w:trPr>
        <w:tc>
          <w:tcPr>
            <w:tcW w:w="3460" w:type="dxa"/>
            <w:vAlign w:val="bottom"/>
          </w:tcPr>
          <w:p>
            <w:pPr>
              <w:ind w:left="80"/>
              <w:spacing w:after="0"/>
              <w:rPr>
                <w:sz w:val="20"/>
                <w:szCs w:val="20"/>
                <w:color w:val="auto"/>
              </w:rPr>
            </w:pPr>
            <w:r>
              <w:rPr>
                <w:rFonts w:ascii="Arial" w:cs="Arial" w:eastAsia="Arial" w:hAnsi="Arial"/>
                <w:sz w:val="15"/>
                <w:szCs w:val="15"/>
                <w:color w:val="auto"/>
              </w:rPr>
              <w:t>officers;</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86"/>
        </w:trPr>
        <w:tc>
          <w:tcPr>
            <w:tcW w:w="3460" w:type="dxa"/>
            <w:vAlign w:val="bottom"/>
            <w:tcBorders>
              <w:bottom w:val="single" w:sz="8" w:color="5D89B4"/>
            </w:tcBorders>
          </w:tcPr>
          <w:p>
            <w:pPr>
              <w:spacing w:after="0"/>
              <w:rPr>
                <w:sz w:val="7"/>
                <w:szCs w:val="7"/>
                <w:color w:val="auto"/>
              </w:rPr>
            </w:pPr>
          </w:p>
        </w:tc>
        <w:tc>
          <w:tcPr>
            <w:tcW w:w="3040" w:type="dxa"/>
            <w:vAlign w:val="bottom"/>
            <w:tcBorders>
              <w:bottom w:val="single" w:sz="8" w:color="5D89B4"/>
            </w:tcBorders>
          </w:tcPr>
          <w:p>
            <w:pPr>
              <w:spacing w:after="0"/>
              <w:rPr>
                <w:sz w:val="7"/>
                <w:szCs w:val="7"/>
                <w:color w:val="auto"/>
              </w:rPr>
            </w:pPr>
          </w:p>
        </w:tc>
        <w:tc>
          <w:tcPr>
            <w:tcW w:w="2520" w:type="dxa"/>
            <w:vAlign w:val="bottom"/>
            <w:tcBorders>
              <w:bottom w:val="single" w:sz="8" w:color="5D89B4"/>
            </w:tcBorders>
          </w:tcPr>
          <w:p>
            <w:pPr>
              <w:spacing w:after="0"/>
              <w:rPr>
                <w:sz w:val="7"/>
                <w:szCs w:val="7"/>
                <w:color w:val="auto"/>
              </w:rPr>
            </w:pPr>
          </w:p>
        </w:tc>
        <w:tc>
          <w:tcPr>
            <w:tcW w:w="1900" w:type="dxa"/>
            <w:vAlign w:val="bottom"/>
            <w:tcBorders>
              <w:bottom w:val="single" w:sz="8" w:color="5D89B4"/>
            </w:tcBorders>
          </w:tcPr>
          <w:p>
            <w:pPr>
              <w:spacing w:after="0"/>
              <w:rPr>
                <w:sz w:val="7"/>
                <w:szCs w:val="7"/>
                <w:color w:val="auto"/>
              </w:rPr>
            </w:pPr>
          </w:p>
        </w:tc>
      </w:tr>
    </w:tbl>
    <w:p>
      <w:pPr>
        <w:spacing w:after="0" w:line="193" w:lineRule="exact"/>
        <w:rPr>
          <w:sz w:val="20"/>
          <w:szCs w:val="20"/>
          <w:color w:val="auto"/>
        </w:rPr>
      </w:pPr>
    </w:p>
    <w:p>
      <w:pPr>
        <w:ind w:right="80"/>
        <w:spacing w:after="0" w:line="232" w:lineRule="auto"/>
        <w:rPr>
          <w:sz w:val="20"/>
          <w:szCs w:val="20"/>
          <w:color w:val="auto"/>
        </w:rPr>
      </w:pPr>
      <w:r>
        <w:rPr>
          <w:rFonts w:ascii="Arial" w:cs="Arial" w:eastAsia="Arial" w:hAnsi="Arial"/>
          <w:sz w:val="15"/>
          <w:szCs w:val="15"/>
          <w:color w:val="auto"/>
        </w:rPr>
        <w:t xml:space="preserve">If a proxy is properly submitted to us and not revoked, it will be voted in accordance with the instructions contained in the proxy. </w:t>
      </w:r>
      <w:r>
        <w:rPr>
          <w:rFonts w:ascii="Arial" w:cs="Arial" w:eastAsia="Arial" w:hAnsi="Arial"/>
          <w:sz w:val="15"/>
          <w:szCs w:val="15"/>
          <w:b w:val="1"/>
          <w:bCs w:val="1"/>
          <w:color w:val="auto"/>
        </w:rPr>
        <w:t>Each shareholder may revoke a</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election of each of the individuals nominated by our board of directors to serve as directors for one year,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appointment of Deloitte &amp; Touche LLP as our independent auditors for 2021, and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approval of the compensation of our named executive officers.</w:t>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Corporate Governance Documents</w:t>
      </w:r>
    </w:p>
    <w:p>
      <w:pPr>
        <w:spacing w:after="0" w:line="371"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These documents include the following:</w:t>
      </w:r>
    </w:p>
    <w:p>
      <w:pPr>
        <w:spacing w:after="0" w:line="101" w:lineRule="exact"/>
        <w:rPr>
          <w:sz w:val="20"/>
          <w:szCs w:val="20"/>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Amended and restated articles of incorporation;</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Amended and restated bylaws;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Corporate governance guidelines;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Code of business conduct and ethics;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Charter of the nominating and governance committee, including the guidelines for selecting board candidates;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Categorical standards for relationships deemed not to impair independence of non-employee directors;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Charter of the audit committee;</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Independent auditor services policy;</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Charter of the executive compensation and human resources committee;</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Executive officer stock ownership guidelines;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Outside director stock ownership guidelines;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Insider trading policy; and</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Anti-corruption policy.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ManpowerGroup’s website is not deemed to be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9297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80</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type w:val="continuous"/>
        </w:sectPr>
      </w:pPr>
    </w:p>
    <w:bookmarkStart w:id="92" w:name="page93"/>
    <w:bookmarkEnd w:id="92"/>
    <w:p>
      <w:pPr>
        <w:ind w:left="730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SUBMISSION OF SHAREHOLDER PROPOSALS</w:t>
      </w:r>
    </w:p>
    <w:p>
      <w:pPr>
        <w:spacing w:after="0" w:line="115"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Submission of Shareholder Proposals</w:t>
      </w:r>
    </w:p>
    <w:p>
      <w:pPr>
        <w:spacing w:after="0" w:line="371"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In accordance with our bylaws, nominations, other than by or at the direction of the board of directors, of candidates for election as directors at the 2022 Annual Meeting of Shareholders must be received by us no earlier than December 8, 2021 and no later than February 6, 2022, and any other shareholder proposed business to be brought before the 2022 annual meeting of shareholders must be received by us no later than February 6, 2022. Unlike shareholder proposals properly made under Rule 14a-8 of the Securities Exchange Act of 1934, we are not required to include such nominations and other shareholder proposed business in the proxy statement solicited by the board of directors. To be considered for inclusion in the proxy statement solicited by the board of directors, shareholder proposals under Rule 14a-8 for consideration at the 2022 annual meeting of shareholders must be received by us at our principal executive offices by November 11, 2021.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362"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Other Voting Information</w:t>
      </w:r>
    </w:p>
    <w:p>
      <w:pPr>
        <w:spacing w:after="0" w:line="371" w:lineRule="exact"/>
        <w:rPr>
          <w:sz w:val="20"/>
          <w:szCs w:val="20"/>
          <w:color w:val="auto"/>
        </w:rPr>
      </w:pPr>
    </w:p>
    <w:p>
      <w:pPr>
        <w:ind w:right="420"/>
        <w:spacing w:after="0" w:line="237" w:lineRule="auto"/>
        <w:rPr>
          <w:sz w:val="20"/>
          <w:szCs w:val="20"/>
          <w:color w:val="auto"/>
        </w:rPr>
      </w:pPr>
      <w:r>
        <w:rPr>
          <w:rFonts w:ascii="Arial" w:cs="Arial" w:eastAsia="Arial" w:hAnsi="Arial"/>
          <w:sz w:val="15"/>
          <w:szCs w:val="15"/>
          <w:color w:val="auto"/>
        </w:rPr>
        <w:t>Shareholders may vote over the Internet, by telephone or by completing a traditional proxy card. To vote over the Internet or by telephone, please refer to the instructions on the accompanying proxy card.</w:t>
      </w:r>
    </w:p>
    <w:p>
      <w:pPr>
        <w:spacing w:after="0" w:line="127" w:lineRule="exact"/>
        <w:rPr>
          <w:sz w:val="20"/>
          <w:szCs w:val="20"/>
          <w:color w:val="auto"/>
        </w:rPr>
      </w:pPr>
    </w:p>
    <w:p>
      <w:pPr>
        <w:ind w:right="240"/>
        <w:spacing w:after="0" w:line="232" w:lineRule="auto"/>
        <w:rPr>
          <w:sz w:val="20"/>
          <w:szCs w:val="20"/>
          <w:color w:val="auto"/>
        </w:rPr>
      </w:pPr>
      <w:r>
        <w:rPr>
          <w:rFonts w:ascii="Arial" w:cs="Arial" w:eastAsia="Arial" w:hAnsi="Arial"/>
          <w:sz w:val="15"/>
          <w:szCs w:val="15"/>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Other Matters</w:t>
      </w:r>
    </w:p>
    <w:p>
      <w:pPr>
        <w:spacing w:after="0" w:line="371" w:lineRule="exact"/>
        <w:rPr>
          <w:sz w:val="20"/>
          <w:szCs w:val="20"/>
          <w:color w:val="auto"/>
        </w:rPr>
      </w:pPr>
    </w:p>
    <w:p>
      <w:pPr>
        <w:ind w:right="140"/>
        <w:spacing w:after="0" w:line="229" w:lineRule="auto"/>
        <w:rPr>
          <w:sz w:val="20"/>
          <w:szCs w:val="20"/>
          <w:color w:val="auto"/>
        </w:rPr>
      </w:pPr>
      <w:r>
        <w:rPr>
          <w:rFonts w:ascii="Arial" w:cs="Arial" w:eastAsia="Arial" w:hAnsi="Arial"/>
          <w:sz w:val="15"/>
          <w:szCs w:val="15"/>
          <w:color w:val="auto"/>
        </w:rPr>
        <w:t xml:space="preserve">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 Shareholders may obtain a copy of our annual report on Form 10-K at no cost by requesting a copy on our Internet web site at </w:t>
      </w:r>
      <w:r>
        <w:rPr>
          <w:rFonts w:ascii="Arial" w:cs="Arial" w:eastAsia="Arial" w:hAnsi="Arial"/>
          <w:sz w:val="15"/>
          <w:szCs w:val="15"/>
          <w:u w:val="single" w:color="auto"/>
          <w:color w:val="auto"/>
        </w:rPr>
        <w:t>http://investor.manpowergroup.com/shareholder-services/document-request</w:t>
      </w:r>
      <w:r>
        <w:rPr>
          <w:rFonts w:ascii="Arial" w:cs="Arial" w:eastAsia="Arial" w:hAnsi="Arial"/>
          <w:sz w:val="15"/>
          <w:szCs w:val="15"/>
          <w:color w:val="auto"/>
        </w:rPr>
        <w:t xml:space="preserve"> or by writing to Richard Buchband, Secretary, ManpowerGroup Inc., 100 Manpower Place, 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81</w:t>
      </w:r>
      <w:r>
        <w:rPr>
          <w:sz w:val="20"/>
          <w:szCs w:val="20"/>
          <w:color w:val="auto"/>
        </w:rPr>
        <w:tab/>
      </w:r>
      <w:r>
        <w:rPr>
          <w:rFonts w:ascii="Arial" w:cs="Arial" w:eastAsia="Arial" w:hAnsi="Arial"/>
          <w:sz w:val="16"/>
          <w:szCs w:val="16"/>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93" w:name="page94"/>
    <w:bookmarkEnd w:id="93"/>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336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Peer Group Companies</w:t>
      </w:r>
    </w:p>
    <w:p>
      <w:pPr>
        <w:sectPr>
          <w:pgSz w:w="11900" w:h="16838" w:orient="portrait"/>
          <w:cols w:equalWidth="0" w:num="1">
            <w:col w:w="9979"/>
          </w:cols>
          <w:pgMar w:left="480" w:top="233" w:right="1440"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3M Co</w:t>
      </w:r>
    </w:p>
    <w:p>
      <w:pPr>
        <w:spacing w:after="0" w:line="223" w:lineRule="auto"/>
        <w:rPr>
          <w:sz w:val="20"/>
          <w:szCs w:val="20"/>
          <w:color w:val="auto"/>
        </w:rPr>
      </w:pPr>
      <w:r>
        <w:rPr>
          <w:rFonts w:ascii="Arial" w:cs="Arial" w:eastAsia="Arial" w:hAnsi="Arial"/>
          <w:sz w:val="15"/>
          <w:szCs w:val="15"/>
          <w:color w:val="auto"/>
        </w:rPr>
        <w:t>Abbott Laboratories</w:t>
      </w:r>
    </w:p>
    <w:p>
      <w:pPr>
        <w:spacing w:after="0" w:line="223" w:lineRule="auto"/>
        <w:rPr>
          <w:sz w:val="20"/>
          <w:szCs w:val="20"/>
          <w:color w:val="auto"/>
        </w:rPr>
      </w:pPr>
      <w:r>
        <w:rPr>
          <w:rFonts w:ascii="Arial" w:cs="Arial" w:eastAsia="Arial" w:hAnsi="Arial"/>
          <w:sz w:val="15"/>
          <w:szCs w:val="15"/>
          <w:color w:val="auto"/>
        </w:rPr>
        <w:t>AbbVie Inc.</w:t>
      </w:r>
    </w:p>
    <w:p>
      <w:pPr>
        <w:spacing w:after="0" w:line="223" w:lineRule="auto"/>
        <w:rPr>
          <w:sz w:val="20"/>
          <w:szCs w:val="20"/>
          <w:color w:val="auto"/>
        </w:rPr>
      </w:pPr>
      <w:r>
        <w:rPr>
          <w:rFonts w:ascii="Arial" w:cs="Arial" w:eastAsia="Arial" w:hAnsi="Arial"/>
          <w:sz w:val="15"/>
          <w:szCs w:val="15"/>
          <w:color w:val="auto"/>
        </w:rPr>
        <w:t>Accenture PLC</w:t>
      </w:r>
    </w:p>
    <w:p>
      <w:pPr>
        <w:spacing w:after="0" w:line="224" w:lineRule="auto"/>
        <w:rPr>
          <w:sz w:val="20"/>
          <w:szCs w:val="20"/>
          <w:color w:val="auto"/>
        </w:rPr>
      </w:pPr>
      <w:r>
        <w:rPr>
          <w:rFonts w:ascii="Arial" w:cs="Arial" w:eastAsia="Arial" w:hAnsi="Arial"/>
          <w:sz w:val="15"/>
          <w:szCs w:val="15"/>
          <w:color w:val="auto"/>
        </w:rPr>
        <w:t>Allergan PLC</w:t>
      </w:r>
    </w:p>
    <w:p>
      <w:pPr>
        <w:spacing w:after="0" w:line="223" w:lineRule="auto"/>
        <w:rPr>
          <w:sz w:val="20"/>
          <w:szCs w:val="20"/>
          <w:color w:val="auto"/>
        </w:rPr>
      </w:pPr>
      <w:r>
        <w:rPr>
          <w:rFonts w:ascii="Arial" w:cs="Arial" w:eastAsia="Arial" w:hAnsi="Arial"/>
          <w:sz w:val="15"/>
          <w:szCs w:val="15"/>
          <w:color w:val="auto"/>
        </w:rPr>
        <w:t>Altria Group Inc.</w:t>
      </w:r>
    </w:p>
    <w:p>
      <w:pPr>
        <w:spacing w:after="0" w:line="223" w:lineRule="auto"/>
        <w:rPr>
          <w:sz w:val="20"/>
          <w:szCs w:val="20"/>
          <w:color w:val="auto"/>
        </w:rPr>
      </w:pPr>
      <w:r>
        <w:rPr>
          <w:rFonts w:ascii="Arial" w:cs="Arial" w:eastAsia="Arial" w:hAnsi="Arial"/>
          <w:sz w:val="15"/>
          <w:szCs w:val="15"/>
          <w:color w:val="auto"/>
        </w:rPr>
        <w:t>Amgen Inc.</w:t>
      </w:r>
    </w:p>
    <w:p>
      <w:pPr>
        <w:spacing w:after="0" w:line="224" w:lineRule="auto"/>
        <w:rPr>
          <w:sz w:val="20"/>
          <w:szCs w:val="20"/>
          <w:color w:val="auto"/>
        </w:rPr>
      </w:pPr>
      <w:r>
        <w:rPr>
          <w:rFonts w:ascii="Arial" w:cs="Arial" w:eastAsia="Arial" w:hAnsi="Arial"/>
          <w:sz w:val="15"/>
          <w:szCs w:val="15"/>
          <w:color w:val="auto"/>
        </w:rPr>
        <w:t>Applied Materials, Inc.</w:t>
      </w:r>
    </w:p>
    <w:p>
      <w:pPr>
        <w:spacing w:after="0" w:line="223" w:lineRule="auto"/>
        <w:rPr>
          <w:sz w:val="20"/>
          <w:szCs w:val="20"/>
          <w:color w:val="auto"/>
        </w:rPr>
      </w:pPr>
      <w:r>
        <w:rPr>
          <w:rFonts w:ascii="Arial" w:cs="Arial" w:eastAsia="Arial" w:hAnsi="Arial"/>
          <w:sz w:val="15"/>
          <w:szCs w:val="15"/>
          <w:color w:val="auto"/>
        </w:rPr>
        <w:t>Baker Hughes, a GE Company</w:t>
      </w:r>
    </w:p>
    <w:p>
      <w:pPr>
        <w:spacing w:after="0" w:line="223" w:lineRule="auto"/>
        <w:rPr>
          <w:sz w:val="20"/>
          <w:szCs w:val="20"/>
          <w:color w:val="auto"/>
        </w:rPr>
      </w:pPr>
      <w:r>
        <w:rPr>
          <w:rFonts w:ascii="Arial" w:cs="Arial" w:eastAsia="Arial" w:hAnsi="Arial"/>
          <w:sz w:val="15"/>
          <w:szCs w:val="15"/>
          <w:color w:val="auto"/>
        </w:rPr>
        <w:t>Becton, Dickinson and Company</w:t>
      </w:r>
    </w:p>
    <w:p>
      <w:pPr>
        <w:spacing w:after="0" w:line="224" w:lineRule="auto"/>
        <w:rPr>
          <w:sz w:val="20"/>
          <w:szCs w:val="20"/>
          <w:color w:val="auto"/>
        </w:rPr>
      </w:pPr>
      <w:r>
        <w:rPr>
          <w:rFonts w:ascii="Arial" w:cs="Arial" w:eastAsia="Arial" w:hAnsi="Arial"/>
          <w:sz w:val="15"/>
          <w:szCs w:val="15"/>
          <w:color w:val="auto"/>
        </w:rPr>
        <w:t>Best Buy Co., Inc.</w:t>
      </w:r>
    </w:p>
    <w:p>
      <w:pPr>
        <w:spacing w:after="0" w:line="223" w:lineRule="auto"/>
        <w:rPr>
          <w:sz w:val="20"/>
          <w:szCs w:val="20"/>
          <w:color w:val="auto"/>
        </w:rPr>
      </w:pPr>
      <w:r>
        <w:rPr>
          <w:rFonts w:ascii="Arial" w:cs="Arial" w:eastAsia="Arial" w:hAnsi="Arial"/>
          <w:sz w:val="15"/>
          <w:szCs w:val="15"/>
          <w:color w:val="auto"/>
        </w:rPr>
        <w:t>Bristol-Myers Squibb Co</w:t>
      </w:r>
    </w:p>
    <w:p>
      <w:pPr>
        <w:spacing w:after="0" w:line="223" w:lineRule="auto"/>
        <w:rPr>
          <w:sz w:val="20"/>
          <w:szCs w:val="20"/>
          <w:color w:val="auto"/>
        </w:rPr>
      </w:pPr>
      <w:r>
        <w:rPr>
          <w:rFonts w:ascii="Arial" w:cs="Arial" w:eastAsia="Arial" w:hAnsi="Arial"/>
          <w:sz w:val="15"/>
          <w:szCs w:val="15"/>
          <w:color w:val="auto"/>
        </w:rPr>
        <w:t>Broadcom Inc</w:t>
      </w:r>
    </w:p>
    <w:p>
      <w:pPr>
        <w:spacing w:after="0" w:line="223" w:lineRule="auto"/>
        <w:rPr>
          <w:sz w:val="20"/>
          <w:szCs w:val="20"/>
          <w:color w:val="auto"/>
        </w:rPr>
      </w:pPr>
      <w:r>
        <w:rPr>
          <w:rFonts w:ascii="Arial" w:cs="Arial" w:eastAsia="Arial" w:hAnsi="Arial"/>
          <w:sz w:val="15"/>
          <w:szCs w:val="15"/>
          <w:color w:val="auto"/>
        </w:rPr>
        <w:t>C.H. Robinson Worldwide Inc.</w:t>
      </w:r>
    </w:p>
    <w:p>
      <w:pPr>
        <w:spacing w:after="0" w:line="224" w:lineRule="auto"/>
        <w:rPr>
          <w:sz w:val="20"/>
          <w:szCs w:val="20"/>
          <w:color w:val="auto"/>
        </w:rPr>
      </w:pPr>
      <w:r>
        <w:rPr>
          <w:rFonts w:ascii="Arial" w:cs="Arial" w:eastAsia="Arial" w:hAnsi="Arial"/>
          <w:sz w:val="15"/>
          <w:szCs w:val="15"/>
          <w:color w:val="auto"/>
        </w:rPr>
        <w:t>CarMax Inc.</w:t>
      </w:r>
    </w:p>
    <w:p>
      <w:pPr>
        <w:spacing w:after="0" w:line="223" w:lineRule="auto"/>
        <w:rPr>
          <w:sz w:val="20"/>
          <w:szCs w:val="20"/>
          <w:color w:val="auto"/>
        </w:rPr>
      </w:pPr>
      <w:r>
        <w:rPr>
          <w:rFonts w:ascii="Arial" w:cs="Arial" w:eastAsia="Arial" w:hAnsi="Arial"/>
          <w:sz w:val="15"/>
          <w:szCs w:val="15"/>
          <w:color w:val="auto"/>
        </w:rPr>
        <w:t>Carnival Corp.</w:t>
      </w:r>
    </w:p>
    <w:p>
      <w:pPr>
        <w:spacing w:after="0" w:line="223" w:lineRule="auto"/>
        <w:rPr>
          <w:sz w:val="20"/>
          <w:szCs w:val="20"/>
          <w:color w:val="auto"/>
        </w:rPr>
      </w:pPr>
      <w:r>
        <w:rPr>
          <w:rFonts w:ascii="Arial" w:cs="Arial" w:eastAsia="Arial" w:hAnsi="Arial"/>
          <w:sz w:val="15"/>
          <w:szCs w:val="15"/>
          <w:color w:val="auto"/>
        </w:rPr>
        <w:t>CBRE Group, Inc.</w:t>
      </w:r>
    </w:p>
    <w:p>
      <w:pPr>
        <w:spacing w:after="0" w:line="224" w:lineRule="auto"/>
        <w:rPr>
          <w:sz w:val="20"/>
          <w:szCs w:val="20"/>
          <w:color w:val="auto"/>
        </w:rPr>
      </w:pPr>
      <w:r>
        <w:rPr>
          <w:rFonts w:ascii="Arial" w:cs="Arial" w:eastAsia="Arial" w:hAnsi="Arial"/>
          <w:sz w:val="15"/>
          <w:szCs w:val="15"/>
          <w:color w:val="auto"/>
        </w:rPr>
        <w:t>Celgene Corporation</w:t>
      </w:r>
    </w:p>
    <w:p>
      <w:pPr>
        <w:spacing w:after="0" w:line="223" w:lineRule="auto"/>
        <w:rPr>
          <w:sz w:val="20"/>
          <w:szCs w:val="20"/>
          <w:color w:val="auto"/>
        </w:rPr>
      </w:pPr>
      <w:r>
        <w:rPr>
          <w:rFonts w:ascii="Arial" w:cs="Arial" w:eastAsia="Arial" w:hAnsi="Arial"/>
          <w:sz w:val="15"/>
          <w:szCs w:val="15"/>
          <w:color w:val="auto"/>
        </w:rPr>
        <w:t>CenturyLink Inc.</w:t>
      </w:r>
    </w:p>
    <w:p>
      <w:pPr>
        <w:spacing w:after="0" w:line="223" w:lineRule="auto"/>
        <w:rPr>
          <w:sz w:val="20"/>
          <w:szCs w:val="20"/>
          <w:color w:val="auto"/>
        </w:rPr>
      </w:pPr>
      <w:r>
        <w:rPr>
          <w:rFonts w:ascii="Arial" w:cs="Arial" w:eastAsia="Arial" w:hAnsi="Arial"/>
          <w:sz w:val="15"/>
          <w:szCs w:val="15"/>
          <w:color w:val="auto"/>
        </w:rPr>
        <w:t>Cognizant Technology Solutions Corp</w:t>
      </w:r>
    </w:p>
    <w:p>
      <w:pPr>
        <w:spacing w:after="0" w:line="224" w:lineRule="auto"/>
        <w:rPr>
          <w:sz w:val="20"/>
          <w:szCs w:val="20"/>
          <w:color w:val="auto"/>
        </w:rPr>
      </w:pPr>
      <w:r>
        <w:rPr>
          <w:rFonts w:ascii="Arial" w:cs="Arial" w:eastAsia="Arial" w:hAnsi="Arial"/>
          <w:sz w:val="15"/>
          <w:szCs w:val="15"/>
          <w:color w:val="auto"/>
        </w:rPr>
        <w:t>Colgate-Palmolive Co.</w:t>
      </w:r>
    </w:p>
    <w:p>
      <w:pPr>
        <w:spacing w:after="0" w:line="223" w:lineRule="auto"/>
        <w:rPr>
          <w:sz w:val="20"/>
          <w:szCs w:val="20"/>
          <w:color w:val="auto"/>
        </w:rPr>
      </w:pPr>
      <w:r>
        <w:rPr>
          <w:rFonts w:ascii="Arial" w:cs="Arial" w:eastAsia="Arial" w:hAnsi="Arial"/>
          <w:sz w:val="15"/>
          <w:szCs w:val="15"/>
          <w:color w:val="auto"/>
        </w:rPr>
        <w:t>ConocoPhillips</w:t>
      </w:r>
    </w:p>
    <w:p>
      <w:pPr>
        <w:spacing w:after="0" w:line="223" w:lineRule="auto"/>
        <w:rPr>
          <w:sz w:val="20"/>
          <w:szCs w:val="20"/>
          <w:color w:val="auto"/>
        </w:rPr>
      </w:pPr>
      <w:r>
        <w:rPr>
          <w:rFonts w:ascii="Arial" w:cs="Arial" w:eastAsia="Arial" w:hAnsi="Arial"/>
          <w:sz w:val="15"/>
          <w:szCs w:val="15"/>
          <w:color w:val="auto"/>
        </w:rPr>
        <w:t>Cummins Inc.</w:t>
      </w:r>
    </w:p>
    <w:p>
      <w:pPr>
        <w:spacing w:after="0" w:line="224" w:lineRule="auto"/>
        <w:rPr>
          <w:sz w:val="20"/>
          <w:szCs w:val="20"/>
          <w:color w:val="auto"/>
        </w:rPr>
      </w:pPr>
      <w:r>
        <w:rPr>
          <w:rFonts w:ascii="Arial" w:cs="Arial" w:eastAsia="Arial" w:hAnsi="Arial"/>
          <w:sz w:val="15"/>
          <w:szCs w:val="15"/>
          <w:color w:val="auto"/>
        </w:rPr>
        <w:t>D.R. Horton, Inc.</w:t>
      </w:r>
    </w:p>
    <w:p>
      <w:pPr>
        <w:spacing w:after="0" w:line="223" w:lineRule="auto"/>
        <w:rPr>
          <w:sz w:val="20"/>
          <w:szCs w:val="20"/>
          <w:color w:val="auto"/>
        </w:rPr>
      </w:pPr>
      <w:r>
        <w:rPr>
          <w:rFonts w:ascii="Arial" w:cs="Arial" w:eastAsia="Arial" w:hAnsi="Arial"/>
          <w:sz w:val="15"/>
          <w:szCs w:val="15"/>
          <w:color w:val="auto"/>
        </w:rPr>
        <w:t>Danaher Corp</w:t>
      </w:r>
    </w:p>
    <w:p>
      <w:pPr>
        <w:spacing w:after="0" w:line="223" w:lineRule="auto"/>
        <w:rPr>
          <w:sz w:val="20"/>
          <w:szCs w:val="20"/>
          <w:color w:val="auto"/>
        </w:rPr>
      </w:pPr>
      <w:r>
        <w:rPr>
          <w:rFonts w:ascii="Arial" w:cs="Arial" w:eastAsia="Arial" w:hAnsi="Arial"/>
          <w:sz w:val="15"/>
          <w:szCs w:val="15"/>
          <w:color w:val="auto"/>
        </w:rPr>
        <w:t>Deere &amp; Co.</w:t>
      </w:r>
    </w:p>
    <w:p>
      <w:pPr>
        <w:spacing w:after="0" w:line="223" w:lineRule="auto"/>
        <w:rPr>
          <w:sz w:val="20"/>
          <w:szCs w:val="20"/>
          <w:color w:val="auto"/>
        </w:rPr>
      </w:pPr>
      <w:r>
        <w:rPr>
          <w:rFonts w:ascii="Arial" w:cs="Arial" w:eastAsia="Arial" w:hAnsi="Arial"/>
          <w:sz w:val="15"/>
          <w:szCs w:val="15"/>
          <w:color w:val="auto"/>
        </w:rPr>
        <w:t>Dollar General Corp.</w:t>
      </w:r>
    </w:p>
    <w:p>
      <w:pPr>
        <w:spacing w:after="0" w:line="224" w:lineRule="auto"/>
        <w:rPr>
          <w:sz w:val="20"/>
          <w:szCs w:val="20"/>
          <w:color w:val="auto"/>
        </w:rPr>
      </w:pPr>
      <w:r>
        <w:rPr>
          <w:rFonts w:ascii="Arial" w:cs="Arial" w:eastAsia="Arial" w:hAnsi="Arial"/>
          <w:sz w:val="15"/>
          <w:szCs w:val="15"/>
          <w:color w:val="auto"/>
        </w:rPr>
        <w:t>Dollar Tree Inc.</w:t>
      </w:r>
    </w:p>
    <w:p>
      <w:pPr>
        <w:spacing w:after="0" w:line="223" w:lineRule="auto"/>
        <w:rPr>
          <w:sz w:val="20"/>
          <w:szCs w:val="20"/>
          <w:color w:val="auto"/>
        </w:rPr>
      </w:pPr>
      <w:r>
        <w:rPr>
          <w:rFonts w:ascii="Arial" w:cs="Arial" w:eastAsia="Arial" w:hAnsi="Arial"/>
          <w:sz w:val="15"/>
          <w:szCs w:val="15"/>
          <w:color w:val="auto"/>
        </w:rPr>
        <w:t>DXC Technology Company</w:t>
      </w:r>
    </w:p>
    <w:p>
      <w:pPr>
        <w:spacing w:after="0" w:line="223" w:lineRule="auto"/>
        <w:rPr>
          <w:sz w:val="20"/>
          <w:szCs w:val="20"/>
          <w:color w:val="auto"/>
        </w:rPr>
      </w:pPr>
      <w:r>
        <w:rPr>
          <w:rFonts w:ascii="Arial" w:cs="Arial" w:eastAsia="Arial" w:hAnsi="Arial"/>
          <w:sz w:val="15"/>
          <w:szCs w:val="15"/>
          <w:color w:val="auto"/>
        </w:rPr>
        <w:t>Eaton Corporation plc</w:t>
      </w:r>
    </w:p>
    <w:p>
      <w:pPr>
        <w:spacing w:after="0" w:line="224" w:lineRule="auto"/>
        <w:rPr>
          <w:sz w:val="20"/>
          <w:szCs w:val="20"/>
          <w:color w:val="auto"/>
        </w:rPr>
      </w:pPr>
      <w:r>
        <w:rPr>
          <w:rFonts w:ascii="Arial" w:cs="Arial" w:eastAsia="Arial" w:hAnsi="Arial"/>
          <w:sz w:val="15"/>
          <w:szCs w:val="15"/>
          <w:color w:val="auto"/>
        </w:rPr>
        <w:t>Eli Lilly and Co</w:t>
      </w:r>
    </w:p>
    <w:p>
      <w:pPr>
        <w:spacing w:after="0" w:line="223" w:lineRule="auto"/>
        <w:rPr>
          <w:sz w:val="20"/>
          <w:szCs w:val="20"/>
          <w:color w:val="auto"/>
        </w:rPr>
      </w:pPr>
      <w:r>
        <w:rPr>
          <w:rFonts w:ascii="Arial" w:cs="Arial" w:eastAsia="Arial" w:hAnsi="Arial"/>
          <w:sz w:val="15"/>
          <w:szCs w:val="15"/>
          <w:color w:val="auto"/>
        </w:rPr>
        <w:t>Emerson Electric Co</w:t>
      </w:r>
    </w:p>
    <w:p>
      <w:pPr>
        <w:spacing w:after="0" w:line="223" w:lineRule="auto"/>
        <w:rPr>
          <w:sz w:val="20"/>
          <w:szCs w:val="20"/>
          <w:color w:val="auto"/>
        </w:rPr>
      </w:pPr>
      <w:r>
        <w:rPr>
          <w:rFonts w:ascii="Arial" w:cs="Arial" w:eastAsia="Arial" w:hAnsi="Arial"/>
          <w:sz w:val="15"/>
          <w:szCs w:val="15"/>
          <w:color w:val="auto"/>
        </w:rPr>
        <w:t>EOG Resources, Inc.</w:t>
      </w:r>
    </w:p>
    <w:p>
      <w:pPr>
        <w:spacing w:after="0" w:line="224" w:lineRule="auto"/>
        <w:rPr>
          <w:sz w:val="20"/>
          <w:szCs w:val="20"/>
          <w:color w:val="auto"/>
        </w:rPr>
      </w:pPr>
      <w:r>
        <w:rPr>
          <w:rFonts w:ascii="Arial" w:cs="Arial" w:eastAsia="Arial" w:hAnsi="Arial"/>
          <w:sz w:val="15"/>
          <w:szCs w:val="15"/>
          <w:color w:val="auto"/>
        </w:rPr>
        <w:t>Fluor Corp</w:t>
      </w:r>
    </w:p>
    <w:p>
      <w:pPr>
        <w:spacing w:after="0" w:line="223" w:lineRule="auto"/>
        <w:rPr>
          <w:sz w:val="20"/>
          <w:szCs w:val="20"/>
          <w:color w:val="auto"/>
        </w:rPr>
      </w:pPr>
      <w:r>
        <w:rPr>
          <w:rFonts w:ascii="Arial" w:cs="Arial" w:eastAsia="Arial" w:hAnsi="Arial"/>
          <w:sz w:val="15"/>
          <w:szCs w:val="15"/>
          <w:color w:val="auto"/>
        </w:rPr>
        <w:t>Freeport-McMoran Inc.</w:t>
      </w:r>
    </w:p>
    <w:p>
      <w:pPr>
        <w:spacing w:after="0" w:line="223" w:lineRule="auto"/>
        <w:rPr>
          <w:sz w:val="20"/>
          <w:szCs w:val="20"/>
          <w:color w:val="auto"/>
        </w:rPr>
      </w:pPr>
      <w:r>
        <w:rPr>
          <w:rFonts w:ascii="Arial" w:cs="Arial" w:eastAsia="Arial" w:hAnsi="Arial"/>
          <w:sz w:val="15"/>
          <w:szCs w:val="15"/>
          <w:color w:val="auto"/>
        </w:rPr>
        <w:t>General Dynamics Corp</w:t>
      </w:r>
    </w:p>
    <w:p>
      <w:pPr>
        <w:spacing w:after="0" w:line="224" w:lineRule="auto"/>
        <w:rPr>
          <w:sz w:val="20"/>
          <w:szCs w:val="20"/>
          <w:color w:val="auto"/>
        </w:rPr>
      </w:pPr>
      <w:r>
        <w:rPr>
          <w:rFonts w:ascii="Arial" w:cs="Arial" w:eastAsia="Arial" w:hAnsi="Arial"/>
          <w:sz w:val="15"/>
          <w:szCs w:val="15"/>
          <w:color w:val="auto"/>
        </w:rPr>
        <w:t>General Mills Inc.</w:t>
      </w:r>
    </w:p>
    <w:p>
      <w:pPr>
        <w:spacing w:after="0" w:line="223" w:lineRule="auto"/>
        <w:rPr>
          <w:sz w:val="20"/>
          <w:szCs w:val="20"/>
          <w:color w:val="auto"/>
        </w:rPr>
      </w:pPr>
      <w:r>
        <w:rPr>
          <w:rFonts w:ascii="Arial" w:cs="Arial" w:eastAsia="Arial" w:hAnsi="Arial"/>
          <w:sz w:val="15"/>
          <w:szCs w:val="15"/>
          <w:color w:val="auto"/>
        </w:rPr>
        <w:t>Genuine Parts Co</w:t>
      </w:r>
    </w:p>
    <w:p>
      <w:pPr>
        <w:spacing w:after="0" w:line="223" w:lineRule="auto"/>
        <w:rPr>
          <w:sz w:val="20"/>
          <w:szCs w:val="20"/>
          <w:color w:val="auto"/>
        </w:rPr>
      </w:pPr>
      <w:r>
        <w:rPr>
          <w:rFonts w:ascii="Arial" w:cs="Arial" w:eastAsia="Arial" w:hAnsi="Arial"/>
          <w:sz w:val="15"/>
          <w:szCs w:val="15"/>
          <w:color w:val="auto"/>
        </w:rPr>
        <w:t>Gilead Sciences Inc.</w:t>
      </w:r>
    </w:p>
    <w:p>
      <w:pPr>
        <w:spacing w:after="0" w:line="223" w:lineRule="auto"/>
        <w:rPr>
          <w:sz w:val="20"/>
          <w:szCs w:val="20"/>
          <w:color w:val="auto"/>
        </w:rPr>
      </w:pPr>
      <w:r>
        <w:rPr>
          <w:rFonts w:ascii="Arial" w:cs="Arial" w:eastAsia="Arial" w:hAnsi="Arial"/>
          <w:sz w:val="15"/>
          <w:szCs w:val="15"/>
          <w:color w:val="auto"/>
        </w:rPr>
        <w:t>Halliburton Co</w:t>
      </w:r>
    </w:p>
    <w:p>
      <w:pPr>
        <w:spacing w:after="0" w:line="224" w:lineRule="auto"/>
        <w:rPr>
          <w:sz w:val="20"/>
          <w:szCs w:val="20"/>
          <w:color w:val="auto"/>
        </w:rPr>
      </w:pPr>
      <w:r>
        <w:rPr>
          <w:rFonts w:ascii="Arial" w:cs="Arial" w:eastAsia="Arial" w:hAnsi="Arial"/>
          <w:sz w:val="15"/>
          <w:szCs w:val="15"/>
          <w:color w:val="auto"/>
        </w:rPr>
        <w:t>Hewlett Packard Enterprise Co</w:t>
      </w:r>
    </w:p>
    <w:p>
      <w:pPr>
        <w:spacing w:after="0" w:line="223" w:lineRule="auto"/>
        <w:rPr>
          <w:sz w:val="20"/>
          <w:szCs w:val="20"/>
          <w:color w:val="auto"/>
        </w:rPr>
      </w:pPr>
      <w:r>
        <w:rPr>
          <w:rFonts w:ascii="Arial" w:cs="Arial" w:eastAsia="Arial" w:hAnsi="Arial"/>
          <w:sz w:val="15"/>
          <w:szCs w:val="15"/>
          <w:color w:val="auto"/>
        </w:rPr>
        <w:t>HollyFrontier Corp</w:t>
      </w:r>
    </w:p>
    <w:p>
      <w:pPr>
        <w:spacing w:after="0" w:line="223" w:lineRule="auto"/>
        <w:rPr>
          <w:sz w:val="20"/>
          <w:szCs w:val="20"/>
          <w:color w:val="auto"/>
        </w:rPr>
      </w:pPr>
      <w:r>
        <w:rPr>
          <w:rFonts w:ascii="Arial" w:cs="Arial" w:eastAsia="Arial" w:hAnsi="Arial"/>
          <w:sz w:val="15"/>
          <w:szCs w:val="15"/>
          <w:color w:val="auto"/>
        </w:rPr>
        <w:t>Honeywell International Inc.</w:t>
      </w:r>
    </w:p>
    <w:p>
      <w:pPr>
        <w:spacing w:after="0" w:line="224" w:lineRule="auto"/>
        <w:rPr>
          <w:sz w:val="20"/>
          <w:szCs w:val="20"/>
          <w:color w:val="auto"/>
        </w:rPr>
      </w:pPr>
      <w:r>
        <w:rPr>
          <w:rFonts w:ascii="Arial" w:cs="Arial" w:eastAsia="Arial" w:hAnsi="Arial"/>
          <w:sz w:val="15"/>
          <w:szCs w:val="15"/>
          <w:color w:val="auto"/>
        </w:rPr>
        <w:t>Ingersoll-Rand Plc</w:t>
      </w:r>
    </w:p>
    <w:p>
      <w:pPr>
        <w:spacing w:after="0"/>
        <w:rPr>
          <w:sz w:val="20"/>
          <w:szCs w:val="20"/>
          <w:color w:val="auto"/>
        </w:rPr>
      </w:pPr>
      <w:r>
        <w:rPr>
          <w:rFonts w:ascii="Arial" w:cs="Arial" w:eastAsia="Arial" w:hAnsi="Arial"/>
          <w:sz w:val="15"/>
          <w:szCs w:val="15"/>
          <w:color w:val="auto"/>
        </w:rPr>
        <w:t>International Paper Co</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Jacobs Engineering Group Inc.</w:t>
      </w:r>
    </w:p>
    <w:p>
      <w:pPr>
        <w:spacing w:after="0" w:line="223" w:lineRule="auto"/>
        <w:rPr>
          <w:sz w:val="20"/>
          <w:szCs w:val="20"/>
          <w:color w:val="auto"/>
        </w:rPr>
      </w:pPr>
      <w:r>
        <w:rPr>
          <w:rFonts w:ascii="Arial" w:cs="Arial" w:eastAsia="Arial" w:hAnsi="Arial"/>
          <w:sz w:val="15"/>
          <w:szCs w:val="15"/>
          <w:color w:val="auto"/>
        </w:rPr>
        <w:t>Johnson Controls International plc</w:t>
      </w:r>
    </w:p>
    <w:p>
      <w:pPr>
        <w:spacing w:after="0" w:line="223" w:lineRule="auto"/>
        <w:rPr>
          <w:sz w:val="20"/>
          <w:szCs w:val="20"/>
          <w:color w:val="auto"/>
        </w:rPr>
      </w:pPr>
      <w:r>
        <w:rPr>
          <w:rFonts w:ascii="Arial" w:cs="Arial" w:eastAsia="Arial" w:hAnsi="Arial"/>
          <w:sz w:val="15"/>
          <w:szCs w:val="15"/>
          <w:color w:val="auto"/>
        </w:rPr>
        <w:t>Kimberly-Clark Corp</w:t>
      </w:r>
    </w:p>
    <w:p>
      <w:pPr>
        <w:spacing w:after="0" w:line="223" w:lineRule="auto"/>
        <w:rPr>
          <w:sz w:val="20"/>
          <w:szCs w:val="20"/>
          <w:color w:val="auto"/>
        </w:rPr>
      </w:pPr>
      <w:r>
        <w:rPr>
          <w:rFonts w:ascii="Arial" w:cs="Arial" w:eastAsia="Arial" w:hAnsi="Arial"/>
          <w:sz w:val="15"/>
          <w:szCs w:val="15"/>
          <w:color w:val="auto"/>
        </w:rPr>
        <w:t>Kohl’s Corporation</w:t>
      </w:r>
    </w:p>
    <w:p>
      <w:pPr>
        <w:spacing w:after="0" w:line="224" w:lineRule="auto"/>
        <w:rPr>
          <w:sz w:val="20"/>
          <w:szCs w:val="20"/>
          <w:color w:val="auto"/>
        </w:rPr>
      </w:pPr>
      <w:r>
        <w:rPr>
          <w:rFonts w:ascii="Arial" w:cs="Arial" w:eastAsia="Arial" w:hAnsi="Arial"/>
          <w:sz w:val="15"/>
          <w:szCs w:val="15"/>
          <w:color w:val="auto"/>
        </w:rPr>
        <w:t>Lennar Corporation</w:t>
      </w:r>
    </w:p>
    <w:p>
      <w:pPr>
        <w:spacing w:after="0" w:line="223" w:lineRule="auto"/>
        <w:rPr>
          <w:sz w:val="20"/>
          <w:szCs w:val="20"/>
          <w:color w:val="auto"/>
        </w:rPr>
      </w:pPr>
      <w:r>
        <w:rPr>
          <w:rFonts w:ascii="Arial" w:cs="Arial" w:eastAsia="Arial" w:hAnsi="Arial"/>
          <w:sz w:val="15"/>
          <w:szCs w:val="15"/>
          <w:color w:val="auto"/>
        </w:rPr>
        <w:t>LyondellBasell Industries NV</w:t>
      </w:r>
    </w:p>
    <w:p>
      <w:pPr>
        <w:spacing w:after="0" w:line="223" w:lineRule="auto"/>
        <w:rPr>
          <w:sz w:val="20"/>
          <w:szCs w:val="20"/>
          <w:color w:val="auto"/>
        </w:rPr>
      </w:pPr>
      <w:r>
        <w:rPr>
          <w:rFonts w:ascii="Arial" w:cs="Arial" w:eastAsia="Arial" w:hAnsi="Arial"/>
          <w:sz w:val="15"/>
          <w:szCs w:val="15"/>
          <w:color w:val="auto"/>
        </w:rPr>
        <w:t>Macy’s Inc.</w:t>
      </w:r>
    </w:p>
    <w:p>
      <w:pPr>
        <w:spacing w:after="0" w:line="224" w:lineRule="auto"/>
        <w:rPr>
          <w:sz w:val="20"/>
          <w:szCs w:val="20"/>
          <w:color w:val="auto"/>
        </w:rPr>
      </w:pPr>
      <w:r>
        <w:rPr>
          <w:rFonts w:ascii="Arial" w:cs="Arial" w:eastAsia="Arial" w:hAnsi="Arial"/>
          <w:sz w:val="15"/>
          <w:szCs w:val="15"/>
          <w:color w:val="auto"/>
        </w:rPr>
        <w:t>Mastercard Inc.</w:t>
      </w:r>
    </w:p>
    <w:p>
      <w:pPr>
        <w:spacing w:after="0" w:line="223" w:lineRule="auto"/>
        <w:rPr>
          <w:sz w:val="20"/>
          <w:szCs w:val="20"/>
          <w:color w:val="auto"/>
        </w:rPr>
      </w:pPr>
      <w:r>
        <w:rPr>
          <w:rFonts w:ascii="Arial" w:cs="Arial" w:eastAsia="Arial" w:hAnsi="Arial"/>
          <w:sz w:val="15"/>
          <w:szCs w:val="15"/>
          <w:color w:val="auto"/>
        </w:rPr>
        <w:t>McDonald’s Corp</w:t>
      </w:r>
    </w:p>
    <w:p>
      <w:pPr>
        <w:spacing w:after="0" w:line="223" w:lineRule="auto"/>
        <w:rPr>
          <w:sz w:val="20"/>
          <w:szCs w:val="20"/>
          <w:color w:val="auto"/>
        </w:rPr>
      </w:pPr>
      <w:r>
        <w:rPr>
          <w:rFonts w:ascii="Arial" w:cs="Arial" w:eastAsia="Arial" w:hAnsi="Arial"/>
          <w:sz w:val="15"/>
          <w:szCs w:val="15"/>
          <w:color w:val="auto"/>
        </w:rPr>
        <w:t>Medtronic PLC</w:t>
      </w:r>
    </w:p>
    <w:p>
      <w:pPr>
        <w:spacing w:after="0" w:line="224" w:lineRule="auto"/>
        <w:rPr>
          <w:sz w:val="20"/>
          <w:szCs w:val="20"/>
          <w:color w:val="auto"/>
        </w:rPr>
      </w:pPr>
      <w:r>
        <w:rPr>
          <w:rFonts w:ascii="Arial" w:cs="Arial" w:eastAsia="Arial" w:hAnsi="Arial"/>
          <w:sz w:val="15"/>
          <w:szCs w:val="15"/>
          <w:color w:val="auto"/>
        </w:rPr>
        <w:t>Micron Technology Inc.</w:t>
      </w:r>
    </w:p>
    <w:p>
      <w:pPr>
        <w:spacing w:after="0" w:line="223" w:lineRule="auto"/>
        <w:rPr>
          <w:sz w:val="20"/>
          <w:szCs w:val="20"/>
          <w:color w:val="auto"/>
        </w:rPr>
      </w:pPr>
      <w:r>
        <w:rPr>
          <w:rFonts w:ascii="Arial" w:cs="Arial" w:eastAsia="Arial" w:hAnsi="Arial"/>
          <w:sz w:val="15"/>
          <w:szCs w:val="15"/>
          <w:color w:val="auto"/>
        </w:rPr>
        <w:t>Mondelez International Inc.</w:t>
      </w:r>
    </w:p>
    <w:p>
      <w:pPr>
        <w:spacing w:after="0" w:line="223" w:lineRule="auto"/>
        <w:rPr>
          <w:sz w:val="20"/>
          <w:szCs w:val="20"/>
          <w:color w:val="auto"/>
        </w:rPr>
      </w:pPr>
      <w:r>
        <w:rPr>
          <w:rFonts w:ascii="Arial" w:cs="Arial" w:eastAsia="Arial" w:hAnsi="Arial"/>
          <w:sz w:val="15"/>
          <w:szCs w:val="15"/>
          <w:color w:val="auto"/>
        </w:rPr>
        <w:t>Netflix, Inc.</w:t>
      </w:r>
    </w:p>
    <w:p>
      <w:pPr>
        <w:spacing w:after="0" w:line="223" w:lineRule="auto"/>
        <w:rPr>
          <w:sz w:val="20"/>
          <w:szCs w:val="20"/>
          <w:color w:val="auto"/>
        </w:rPr>
      </w:pPr>
      <w:r>
        <w:rPr>
          <w:rFonts w:ascii="Arial" w:cs="Arial" w:eastAsia="Arial" w:hAnsi="Arial"/>
          <w:sz w:val="15"/>
          <w:szCs w:val="15"/>
          <w:color w:val="auto"/>
        </w:rPr>
        <w:t>NIKE, Inc.</w:t>
      </w:r>
    </w:p>
    <w:p>
      <w:pPr>
        <w:spacing w:after="0" w:line="224" w:lineRule="auto"/>
        <w:rPr>
          <w:sz w:val="20"/>
          <w:szCs w:val="20"/>
          <w:color w:val="auto"/>
        </w:rPr>
      </w:pPr>
      <w:r>
        <w:rPr>
          <w:rFonts w:ascii="Arial" w:cs="Arial" w:eastAsia="Arial" w:hAnsi="Arial"/>
          <w:sz w:val="15"/>
          <w:szCs w:val="15"/>
          <w:color w:val="auto"/>
        </w:rPr>
        <w:t>Nordstrom, Inc.</w:t>
      </w:r>
    </w:p>
    <w:p>
      <w:pPr>
        <w:spacing w:after="0" w:line="223" w:lineRule="auto"/>
        <w:rPr>
          <w:sz w:val="20"/>
          <w:szCs w:val="20"/>
          <w:color w:val="auto"/>
        </w:rPr>
      </w:pPr>
      <w:r>
        <w:rPr>
          <w:rFonts w:ascii="Arial" w:cs="Arial" w:eastAsia="Arial" w:hAnsi="Arial"/>
          <w:sz w:val="15"/>
          <w:szCs w:val="15"/>
          <w:color w:val="auto"/>
        </w:rPr>
        <w:t>Northrop Grumman Corp</w:t>
      </w:r>
    </w:p>
    <w:p>
      <w:pPr>
        <w:spacing w:after="0" w:line="223" w:lineRule="auto"/>
        <w:rPr>
          <w:sz w:val="20"/>
          <w:szCs w:val="20"/>
          <w:color w:val="auto"/>
        </w:rPr>
      </w:pPr>
      <w:r>
        <w:rPr>
          <w:rFonts w:ascii="Arial" w:cs="Arial" w:eastAsia="Arial" w:hAnsi="Arial"/>
          <w:sz w:val="15"/>
          <w:szCs w:val="15"/>
          <w:color w:val="auto"/>
        </w:rPr>
        <w:t>Nucor Corp</w:t>
      </w:r>
    </w:p>
    <w:p>
      <w:pPr>
        <w:spacing w:after="0" w:line="224" w:lineRule="auto"/>
        <w:rPr>
          <w:sz w:val="20"/>
          <w:szCs w:val="20"/>
          <w:color w:val="auto"/>
        </w:rPr>
      </w:pPr>
      <w:r>
        <w:rPr>
          <w:rFonts w:ascii="Arial" w:cs="Arial" w:eastAsia="Arial" w:hAnsi="Arial"/>
          <w:sz w:val="15"/>
          <w:szCs w:val="15"/>
          <w:color w:val="auto"/>
        </w:rPr>
        <w:t>Occidental Petroleum Corp</w:t>
      </w:r>
    </w:p>
    <w:p>
      <w:pPr>
        <w:spacing w:after="0" w:line="223" w:lineRule="auto"/>
        <w:rPr>
          <w:sz w:val="20"/>
          <w:szCs w:val="20"/>
          <w:color w:val="auto"/>
        </w:rPr>
      </w:pPr>
      <w:r>
        <w:rPr>
          <w:rFonts w:ascii="Arial" w:cs="Arial" w:eastAsia="Arial" w:hAnsi="Arial"/>
          <w:sz w:val="15"/>
          <w:szCs w:val="15"/>
          <w:color w:val="auto"/>
        </w:rPr>
        <w:t>Omnicom Group Inc.</w:t>
      </w:r>
    </w:p>
    <w:p>
      <w:pPr>
        <w:spacing w:after="0" w:line="223" w:lineRule="auto"/>
        <w:rPr>
          <w:sz w:val="20"/>
          <w:szCs w:val="20"/>
          <w:color w:val="auto"/>
        </w:rPr>
      </w:pPr>
      <w:r>
        <w:rPr>
          <w:rFonts w:ascii="Arial" w:cs="Arial" w:eastAsia="Arial" w:hAnsi="Arial"/>
          <w:sz w:val="15"/>
          <w:szCs w:val="15"/>
          <w:color w:val="auto"/>
        </w:rPr>
        <w:t>Oracle Corp</w:t>
      </w:r>
    </w:p>
    <w:p>
      <w:pPr>
        <w:spacing w:after="0" w:line="224" w:lineRule="auto"/>
        <w:rPr>
          <w:sz w:val="20"/>
          <w:szCs w:val="20"/>
          <w:color w:val="auto"/>
        </w:rPr>
      </w:pPr>
      <w:r>
        <w:rPr>
          <w:rFonts w:ascii="Arial" w:cs="Arial" w:eastAsia="Arial" w:hAnsi="Arial"/>
          <w:sz w:val="15"/>
          <w:szCs w:val="15"/>
          <w:color w:val="auto"/>
        </w:rPr>
        <w:t>PACCAR Inc.</w:t>
      </w:r>
    </w:p>
    <w:p>
      <w:pPr>
        <w:spacing w:after="0" w:line="223" w:lineRule="auto"/>
        <w:rPr>
          <w:sz w:val="20"/>
          <w:szCs w:val="20"/>
          <w:color w:val="auto"/>
        </w:rPr>
      </w:pPr>
      <w:r>
        <w:rPr>
          <w:rFonts w:ascii="Arial" w:cs="Arial" w:eastAsia="Arial" w:hAnsi="Arial"/>
          <w:sz w:val="15"/>
          <w:szCs w:val="15"/>
          <w:color w:val="auto"/>
        </w:rPr>
        <w:t>PayPal Holdings, Inc.</w:t>
      </w:r>
    </w:p>
    <w:p>
      <w:pPr>
        <w:spacing w:after="0" w:line="223" w:lineRule="auto"/>
        <w:rPr>
          <w:sz w:val="20"/>
          <w:szCs w:val="20"/>
          <w:color w:val="auto"/>
        </w:rPr>
      </w:pPr>
      <w:r>
        <w:rPr>
          <w:rFonts w:ascii="Arial" w:cs="Arial" w:eastAsia="Arial" w:hAnsi="Arial"/>
          <w:sz w:val="15"/>
          <w:szCs w:val="15"/>
          <w:color w:val="auto"/>
        </w:rPr>
        <w:t>Phillip Morris International Inc.</w:t>
      </w:r>
    </w:p>
    <w:p>
      <w:pPr>
        <w:spacing w:after="0" w:line="224" w:lineRule="auto"/>
        <w:rPr>
          <w:sz w:val="20"/>
          <w:szCs w:val="20"/>
          <w:color w:val="auto"/>
        </w:rPr>
      </w:pPr>
      <w:r>
        <w:rPr>
          <w:rFonts w:ascii="Arial" w:cs="Arial" w:eastAsia="Arial" w:hAnsi="Arial"/>
          <w:sz w:val="15"/>
          <w:szCs w:val="15"/>
          <w:color w:val="auto"/>
        </w:rPr>
        <w:t>PPG Industries, Inc.</w:t>
      </w:r>
    </w:p>
    <w:p>
      <w:pPr>
        <w:spacing w:after="0" w:line="223" w:lineRule="auto"/>
        <w:rPr>
          <w:sz w:val="20"/>
          <w:szCs w:val="20"/>
          <w:color w:val="auto"/>
        </w:rPr>
      </w:pPr>
      <w:r>
        <w:rPr>
          <w:rFonts w:ascii="Arial" w:cs="Arial" w:eastAsia="Arial" w:hAnsi="Arial"/>
          <w:sz w:val="15"/>
          <w:szCs w:val="15"/>
          <w:color w:val="auto"/>
        </w:rPr>
        <w:t>QUALCOMM Inc.</w:t>
      </w:r>
    </w:p>
    <w:p>
      <w:pPr>
        <w:spacing w:after="0" w:line="223" w:lineRule="auto"/>
        <w:rPr>
          <w:sz w:val="20"/>
          <w:szCs w:val="20"/>
          <w:color w:val="auto"/>
        </w:rPr>
      </w:pPr>
      <w:r>
        <w:rPr>
          <w:rFonts w:ascii="Arial" w:cs="Arial" w:eastAsia="Arial" w:hAnsi="Arial"/>
          <w:sz w:val="15"/>
          <w:szCs w:val="15"/>
          <w:color w:val="auto"/>
        </w:rPr>
        <w:t>Raytheon Co</w:t>
      </w:r>
    </w:p>
    <w:p>
      <w:pPr>
        <w:spacing w:after="0" w:line="223" w:lineRule="auto"/>
        <w:rPr>
          <w:sz w:val="20"/>
          <w:szCs w:val="20"/>
          <w:color w:val="auto"/>
        </w:rPr>
      </w:pPr>
      <w:r>
        <w:rPr>
          <w:rFonts w:ascii="Arial" w:cs="Arial" w:eastAsia="Arial" w:hAnsi="Arial"/>
          <w:sz w:val="15"/>
          <w:szCs w:val="15"/>
          <w:color w:val="auto"/>
        </w:rPr>
        <w:t>Schlumberger Ltd</w:t>
      </w:r>
    </w:p>
    <w:p>
      <w:pPr>
        <w:spacing w:after="0" w:line="224" w:lineRule="auto"/>
        <w:rPr>
          <w:sz w:val="20"/>
          <w:szCs w:val="20"/>
          <w:color w:val="auto"/>
        </w:rPr>
      </w:pPr>
      <w:r>
        <w:rPr>
          <w:rFonts w:ascii="Arial" w:cs="Arial" w:eastAsia="Arial" w:hAnsi="Arial"/>
          <w:sz w:val="15"/>
          <w:szCs w:val="15"/>
          <w:color w:val="auto"/>
        </w:rPr>
        <w:t>Southwest Airlines Co</w:t>
      </w:r>
    </w:p>
    <w:p>
      <w:pPr>
        <w:spacing w:after="0" w:line="223" w:lineRule="auto"/>
        <w:rPr>
          <w:sz w:val="20"/>
          <w:szCs w:val="20"/>
          <w:color w:val="auto"/>
        </w:rPr>
      </w:pPr>
      <w:r>
        <w:rPr>
          <w:rFonts w:ascii="Arial" w:cs="Arial" w:eastAsia="Arial" w:hAnsi="Arial"/>
          <w:sz w:val="15"/>
          <w:szCs w:val="15"/>
          <w:color w:val="auto"/>
        </w:rPr>
        <w:t>Starbucks Corp</w:t>
      </w:r>
    </w:p>
    <w:p>
      <w:pPr>
        <w:spacing w:after="0" w:line="223" w:lineRule="auto"/>
        <w:rPr>
          <w:sz w:val="20"/>
          <w:szCs w:val="20"/>
          <w:color w:val="auto"/>
        </w:rPr>
      </w:pPr>
      <w:r>
        <w:rPr>
          <w:rFonts w:ascii="Arial" w:cs="Arial" w:eastAsia="Arial" w:hAnsi="Arial"/>
          <w:sz w:val="15"/>
          <w:szCs w:val="15"/>
          <w:color w:val="auto"/>
        </w:rPr>
        <w:t>Texas Instruments Inc.</w:t>
      </w:r>
    </w:p>
    <w:p>
      <w:pPr>
        <w:spacing w:after="0" w:line="224" w:lineRule="auto"/>
        <w:rPr>
          <w:sz w:val="20"/>
          <w:szCs w:val="20"/>
          <w:color w:val="auto"/>
        </w:rPr>
      </w:pPr>
      <w:r>
        <w:rPr>
          <w:rFonts w:ascii="Arial" w:cs="Arial" w:eastAsia="Arial" w:hAnsi="Arial"/>
          <w:sz w:val="15"/>
          <w:szCs w:val="15"/>
          <w:color w:val="auto"/>
        </w:rPr>
        <w:t>The Coca-Cola Company</w:t>
      </w:r>
    </w:p>
    <w:p>
      <w:pPr>
        <w:spacing w:after="0" w:line="223" w:lineRule="auto"/>
        <w:rPr>
          <w:sz w:val="20"/>
          <w:szCs w:val="20"/>
          <w:color w:val="auto"/>
        </w:rPr>
      </w:pPr>
      <w:r>
        <w:rPr>
          <w:rFonts w:ascii="Arial" w:cs="Arial" w:eastAsia="Arial" w:hAnsi="Arial"/>
          <w:sz w:val="15"/>
          <w:szCs w:val="15"/>
          <w:color w:val="auto"/>
        </w:rPr>
        <w:t>The Gap, Inc.</w:t>
      </w:r>
    </w:p>
    <w:p>
      <w:pPr>
        <w:spacing w:after="0" w:line="223" w:lineRule="auto"/>
        <w:rPr>
          <w:sz w:val="20"/>
          <w:szCs w:val="20"/>
          <w:color w:val="auto"/>
        </w:rPr>
      </w:pPr>
      <w:r>
        <w:rPr>
          <w:rFonts w:ascii="Arial" w:cs="Arial" w:eastAsia="Arial" w:hAnsi="Arial"/>
          <w:sz w:val="15"/>
          <w:szCs w:val="15"/>
          <w:color w:val="auto"/>
        </w:rPr>
        <w:t>The Kraft Heinz Co.</w:t>
      </w:r>
    </w:p>
    <w:p>
      <w:pPr>
        <w:spacing w:after="0" w:line="224" w:lineRule="auto"/>
        <w:rPr>
          <w:sz w:val="20"/>
          <w:szCs w:val="20"/>
          <w:color w:val="auto"/>
        </w:rPr>
      </w:pPr>
      <w:r>
        <w:rPr>
          <w:rFonts w:ascii="Arial" w:cs="Arial" w:eastAsia="Arial" w:hAnsi="Arial"/>
          <w:sz w:val="15"/>
          <w:szCs w:val="15"/>
          <w:color w:val="auto"/>
        </w:rPr>
        <w:t>The Sherwin Williams Co.</w:t>
      </w:r>
    </w:p>
    <w:p>
      <w:pPr>
        <w:spacing w:after="0" w:line="223" w:lineRule="auto"/>
        <w:rPr>
          <w:sz w:val="20"/>
          <w:szCs w:val="20"/>
          <w:color w:val="auto"/>
        </w:rPr>
      </w:pPr>
      <w:r>
        <w:rPr>
          <w:rFonts w:ascii="Arial" w:cs="Arial" w:eastAsia="Arial" w:hAnsi="Arial"/>
          <w:sz w:val="15"/>
          <w:szCs w:val="15"/>
          <w:color w:val="auto"/>
        </w:rPr>
        <w:t>The TJX Companies, Inc.</w:t>
      </w:r>
    </w:p>
    <w:p>
      <w:pPr>
        <w:spacing w:after="0" w:line="223" w:lineRule="auto"/>
        <w:rPr>
          <w:sz w:val="20"/>
          <w:szCs w:val="20"/>
          <w:color w:val="auto"/>
        </w:rPr>
      </w:pPr>
      <w:r>
        <w:rPr>
          <w:rFonts w:ascii="Arial" w:cs="Arial" w:eastAsia="Arial" w:hAnsi="Arial"/>
          <w:sz w:val="15"/>
          <w:szCs w:val="15"/>
          <w:color w:val="auto"/>
        </w:rPr>
        <w:t>Thermo Fisher Scientific Inc.</w:t>
      </w:r>
    </w:p>
    <w:p>
      <w:pPr>
        <w:spacing w:after="0" w:line="224" w:lineRule="auto"/>
        <w:rPr>
          <w:sz w:val="20"/>
          <w:szCs w:val="20"/>
          <w:color w:val="auto"/>
        </w:rPr>
      </w:pPr>
      <w:r>
        <w:rPr>
          <w:rFonts w:ascii="Arial" w:cs="Arial" w:eastAsia="Arial" w:hAnsi="Arial"/>
          <w:sz w:val="15"/>
          <w:szCs w:val="15"/>
          <w:color w:val="auto"/>
        </w:rPr>
        <w:t>Tyson Foods Inc.</w:t>
      </w:r>
    </w:p>
    <w:p>
      <w:pPr>
        <w:spacing w:after="0" w:line="223" w:lineRule="auto"/>
        <w:rPr>
          <w:sz w:val="20"/>
          <w:szCs w:val="20"/>
          <w:color w:val="auto"/>
        </w:rPr>
      </w:pPr>
      <w:r>
        <w:rPr>
          <w:rFonts w:ascii="Arial" w:cs="Arial" w:eastAsia="Arial" w:hAnsi="Arial"/>
          <w:sz w:val="15"/>
          <w:szCs w:val="15"/>
          <w:color w:val="auto"/>
        </w:rPr>
        <w:t>Union Pacific Corp</w:t>
      </w:r>
    </w:p>
    <w:p>
      <w:pPr>
        <w:spacing w:after="0" w:line="223" w:lineRule="auto"/>
        <w:rPr>
          <w:sz w:val="20"/>
          <w:szCs w:val="20"/>
          <w:color w:val="auto"/>
        </w:rPr>
      </w:pPr>
      <w:r>
        <w:rPr>
          <w:rFonts w:ascii="Arial" w:cs="Arial" w:eastAsia="Arial" w:hAnsi="Arial"/>
          <w:sz w:val="15"/>
          <w:szCs w:val="15"/>
          <w:color w:val="auto"/>
        </w:rPr>
        <w:t>United Continental Holdings Inc.</w:t>
      </w:r>
    </w:p>
    <w:p>
      <w:pPr>
        <w:spacing w:after="0" w:line="223" w:lineRule="auto"/>
        <w:rPr>
          <w:sz w:val="20"/>
          <w:szCs w:val="20"/>
          <w:color w:val="auto"/>
        </w:rPr>
      </w:pPr>
      <w:r>
        <w:rPr>
          <w:rFonts w:ascii="Arial" w:cs="Arial" w:eastAsia="Arial" w:hAnsi="Arial"/>
          <w:sz w:val="15"/>
          <w:szCs w:val="15"/>
          <w:color w:val="auto"/>
        </w:rPr>
        <w:t>Visa Inc.</w:t>
      </w:r>
    </w:p>
    <w:p>
      <w:pPr>
        <w:spacing w:after="0" w:line="224" w:lineRule="auto"/>
        <w:rPr>
          <w:sz w:val="20"/>
          <w:szCs w:val="20"/>
          <w:color w:val="auto"/>
        </w:rPr>
      </w:pPr>
      <w:r>
        <w:rPr>
          <w:rFonts w:ascii="Arial" w:cs="Arial" w:eastAsia="Arial" w:hAnsi="Arial"/>
          <w:sz w:val="15"/>
          <w:szCs w:val="15"/>
          <w:color w:val="auto"/>
        </w:rPr>
        <w:t>Waste Management Inc.</w:t>
      </w:r>
    </w:p>
    <w:p>
      <w:pPr>
        <w:spacing w:after="0" w:line="223" w:lineRule="auto"/>
        <w:rPr>
          <w:sz w:val="20"/>
          <w:szCs w:val="20"/>
          <w:color w:val="auto"/>
        </w:rPr>
      </w:pPr>
      <w:r>
        <w:rPr>
          <w:rFonts w:ascii="Arial" w:cs="Arial" w:eastAsia="Arial" w:hAnsi="Arial"/>
          <w:sz w:val="15"/>
          <w:szCs w:val="15"/>
          <w:color w:val="auto"/>
        </w:rPr>
        <w:t>WellCare Health Plans, Inc.</w:t>
      </w:r>
    </w:p>
    <w:p>
      <w:pPr>
        <w:spacing w:after="0" w:line="223" w:lineRule="auto"/>
        <w:rPr>
          <w:sz w:val="20"/>
          <w:szCs w:val="20"/>
          <w:color w:val="auto"/>
        </w:rPr>
      </w:pPr>
      <w:r>
        <w:rPr>
          <w:rFonts w:ascii="Arial" w:cs="Arial" w:eastAsia="Arial" w:hAnsi="Arial"/>
          <w:sz w:val="15"/>
          <w:szCs w:val="15"/>
          <w:color w:val="auto"/>
        </w:rPr>
        <w:t>Western Digital Corporation</w:t>
      </w:r>
    </w:p>
    <w:p>
      <w:pPr>
        <w:spacing w:after="0" w:line="224" w:lineRule="auto"/>
        <w:rPr>
          <w:sz w:val="20"/>
          <w:szCs w:val="20"/>
          <w:color w:val="auto"/>
        </w:rPr>
      </w:pPr>
      <w:r>
        <w:rPr>
          <w:rFonts w:ascii="Arial" w:cs="Arial" w:eastAsia="Arial" w:hAnsi="Arial"/>
          <w:sz w:val="15"/>
          <w:szCs w:val="15"/>
          <w:color w:val="auto"/>
        </w:rPr>
        <w:t>WestRock Co</w:t>
      </w:r>
    </w:p>
    <w:p>
      <w:pPr>
        <w:spacing w:after="0"/>
        <w:rPr>
          <w:sz w:val="20"/>
          <w:szCs w:val="20"/>
          <w:color w:val="auto"/>
        </w:rPr>
      </w:pPr>
      <w:r>
        <w:rPr>
          <w:rFonts w:ascii="Arial" w:cs="Arial" w:eastAsia="Arial" w:hAnsi="Arial"/>
          <w:sz w:val="15"/>
          <w:szCs w:val="15"/>
          <w:color w:val="auto"/>
        </w:rPr>
        <w:t>Whirlpool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189865</wp:posOffset>
            </wp:positionV>
            <wp:extent cx="69297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4399"/>
          </w:cols>
          <w:pgMar w:left="480" w:top="233" w:right="1440" w:bottom="1440" w:gutter="0" w:footer="0" w:header="0"/>
          <w:type w:val="continuous"/>
        </w:sectPr>
      </w:pPr>
    </w:p>
    <w:p>
      <w:pPr>
        <w:spacing w:after="0" w:line="227" w:lineRule="exact"/>
        <w:rPr>
          <w:sz w:val="20"/>
          <w:szCs w:val="20"/>
          <w:color w:val="auto"/>
        </w:rPr>
      </w:pPr>
    </w:p>
    <w:p>
      <w:pPr>
        <w:ind w:left="5400"/>
        <w:spacing w:after="0"/>
        <w:tabs>
          <w:tab w:leader="none" w:pos="6000" w:val="left"/>
        </w:tabs>
        <w:rPr>
          <w:sz w:val="20"/>
          <w:szCs w:val="20"/>
          <w:color w:val="auto"/>
        </w:rPr>
      </w:pPr>
      <w:r>
        <w:rPr>
          <w:rFonts w:ascii="Arial" w:cs="Arial" w:eastAsia="Arial" w:hAnsi="Arial"/>
          <w:sz w:val="19"/>
          <w:szCs w:val="19"/>
          <w:b w:val="1"/>
          <w:bCs w:val="1"/>
          <w:color w:val="5D89B4"/>
        </w:rPr>
        <w:t>A</w:t>
      </w:r>
      <w:r>
        <w:rPr>
          <w:sz w:val="20"/>
          <w:szCs w:val="20"/>
          <w:color w:val="auto"/>
        </w:rPr>
        <w:tab/>
      </w:r>
      <w:r>
        <w:rPr>
          <w:rFonts w:ascii="Arial" w:cs="Arial" w:eastAsia="Arial" w:hAnsi="Arial"/>
          <w:sz w:val="15"/>
          <w:szCs w:val="15"/>
          <w:b w:val="1"/>
          <w:bCs w:val="1"/>
          <w:color w:val="BFBFB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9979"/>
          </w:cols>
          <w:pgMar w:left="480" w:top="233" w:right="1440" w:bottom="1440" w:gutter="0" w:footer="0" w:header="0"/>
          <w:type w:val="continuous"/>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3691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0735" cy="2369185"/>
                    </a:xfrm>
                    <a:prstGeom prst="rect">
                      <a:avLst/>
                    </a:prstGeom>
                    <a:noFill/>
                  </pic:spPr>
                </pic:pic>
              </a:graphicData>
            </a:graphic>
          </wp:anchor>
        </w:drawing>
      </w:r>
    </w:p>
    <w:p>
      <w:pPr>
        <w:spacing w:after="0" w:line="269" w:lineRule="exact"/>
        <w:rPr>
          <w:sz w:val="20"/>
          <w:szCs w:val="20"/>
          <w:color w:val="auto"/>
        </w:rPr>
      </w:pPr>
    </w:p>
    <w:p>
      <w:pPr>
        <w:ind w:left="5780"/>
        <w:spacing w:after="0"/>
        <w:rPr>
          <w:sz w:val="20"/>
          <w:szCs w:val="20"/>
          <w:color w:val="auto"/>
        </w:rPr>
      </w:pPr>
      <w:r>
        <w:rPr>
          <w:rFonts w:ascii="Arial" w:cs="Arial" w:eastAsia="Arial" w:hAnsi="Arial"/>
          <w:sz w:val="25"/>
          <w:szCs w:val="25"/>
          <w:b w:val="1"/>
          <w:bCs w:val="1"/>
          <w:color w:val="auto"/>
        </w:rPr>
        <w:t>Your vote matters – here’s how to vote!</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You may vote online or by phone instead of mailing this card.</w:t>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-119380</wp:posOffset>
            </wp:positionV>
            <wp:extent cx="339725" cy="33147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clrChange>
                        <a:clrFrom>
                          <a:srgbClr val="000000"/>
                        </a:clrFrom>
                        <a:clrTo>
                          <a:srgbClr val="000000">
                            <a:alpha val="0"/>
                          </a:srgbClr>
                        </a:clrTo>
                      </a:clrChange>
                      <a:extLst>
                        <a:ext uri="{28A0092B-C50C-407E-A947-70E740481C1C}"/>
                      </a:extLst>
                    </a:blip>
                    <a:srcRect/>
                    <a:stretch>
                      <a:fillRect/>
                    </a:stretch>
                  </pic:blipFill>
                  <pic:spPr bwMode="auto">
                    <a:xfrm>
                      <a:off x="0" y="0"/>
                      <a:ext cx="339725" cy="33147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-119380</wp:posOffset>
            </wp:positionV>
            <wp:extent cx="339725" cy="33147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clrChange>
                        <a:clrFrom>
                          <a:srgbClr val="FFFFFF"/>
                        </a:clrFrom>
                        <a:clrTo>
                          <a:srgbClr val="FFFFFF">
                            <a:alpha val="0"/>
                          </a:srgbClr>
                        </a:clrTo>
                      </a:clrChange>
                      <a:extLst>
                        <a:ext uri="{28A0092B-C50C-407E-A947-70E740481C1C}"/>
                      </a:extLst>
                    </a:blip>
                    <a:srcRect/>
                    <a:stretch>
                      <a:fillRect/>
                    </a:stretch>
                  </pic:blipFill>
                  <pic:spPr bwMode="auto">
                    <a:xfrm>
                      <a:off x="0" y="0"/>
                      <a:ext cx="339725" cy="331470"/>
                    </a:xfrm>
                    <a:prstGeom prst="rect">
                      <a:avLst/>
                    </a:prstGeom>
                    <a:noFill/>
                  </pic:spPr>
                </pic:pic>
              </a:graphicData>
            </a:graphic>
          </wp:anchor>
        </w:drawing>
      </w:r>
    </w:p>
    <w:p>
      <w:pPr>
        <w:spacing w:after="0" w:line="4" w:lineRule="exact"/>
        <w:rPr>
          <w:sz w:val="20"/>
          <w:szCs w:val="20"/>
          <w:color w:val="auto"/>
        </w:rPr>
      </w:pPr>
    </w:p>
    <w:p>
      <w:pPr>
        <w:jc w:val="both"/>
        <w:ind w:left="6560" w:right="380"/>
        <w:spacing w:after="0" w:line="397" w:lineRule="auto"/>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www.envisionreports.com/MAN</w:t>
      </w:r>
      <w:r>
        <w:rPr>
          <w:rFonts w:ascii="Arial" w:cs="Arial" w:eastAsia="Arial" w:hAnsi="Arial"/>
          <w:sz w:val="14"/>
          <w:szCs w:val="14"/>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2540</wp:posOffset>
            </wp:positionV>
            <wp:extent cx="212090" cy="3733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clrChange>
                        <a:clrFrom>
                          <a:srgbClr val="000000"/>
                        </a:clrFrom>
                        <a:clrTo>
                          <a:srgbClr val="000000">
                            <a:alpha val="0"/>
                          </a:srgbClr>
                        </a:clrTo>
                      </a:clrChange>
                      <a:extLst>
                        <a:ext uri="{28A0092B-C50C-407E-A947-70E740481C1C}"/>
                      </a:extLst>
                    </a:blip>
                    <a:srcRect/>
                    <a:stretch>
                      <a:fillRect/>
                    </a:stretch>
                  </pic:blipFill>
                  <pic:spPr bwMode="auto">
                    <a:xfrm>
                      <a:off x="0" y="0"/>
                      <a:ext cx="212090" cy="373380"/>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2540</wp:posOffset>
            </wp:positionV>
            <wp:extent cx="212090" cy="3733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clrChange>
                        <a:clrFrom>
                          <a:srgbClr val="FFFFFF"/>
                        </a:clrFrom>
                        <a:clrTo>
                          <a:srgbClr val="FFFFFF">
                            <a:alpha val="0"/>
                          </a:srgbClr>
                        </a:clrTo>
                      </a:clrChange>
                      <a:extLst>
                        <a:ext uri="{28A0092B-C50C-407E-A947-70E740481C1C}"/>
                      </a:extLst>
                    </a:blip>
                    <a:srcRect/>
                    <a:stretch>
                      <a:fillRect/>
                    </a:stretch>
                  </pic:blipFill>
                  <pic:spPr bwMode="auto">
                    <a:xfrm>
                      <a:off x="0" y="0"/>
                      <a:ext cx="212090" cy="37338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b w:val="1"/>
          <w:bCs w:val="1"/>
          <w:color w:val="auto"/>
        </w:rPr>
        <w:t>Phone</w:t>
      </w:r>
    </w:p>
    <w:p>
      <w:pPr>
        <w:spacing w:after="0" w:line="24" w:lineRule="exact"/>
        <w:rPr>
          <w:sz w:val="20"/>
          <w:szCs w:val="20"/>
          <w:color w:val="auto"/>
        </w:rPr>
      </w:pPr>
    </w:p>
    <w:p>
      <w:pPr>
        <w:ind w:left="6560" w:right="140"/>
        <w:spacing w:after="0" w:line="256" w:lineRule="auto"/>
        <w:rPr>
          <w:sz w:val="20"/>
          <w:szCs w:val="20"/>
          <w:color w:val="auto"/>
        </w:rPr>
      </w:pPr>
      <w:r>
        <w:rPr>
          <w:rFonts w:ascii="Arial" w:cs="Arial" w:eastAsia="Arial" w:hAnsi="Arial"/>
          <w:sz w:val="18"/>
          <w:szCs w:val="18"/>
          <w:color w:val="auto"/>
        </w:rPr>
        <w:t>Call toll free 1-800-652-VOTE (8683) within the USA, US territories and Canada</w:t>
      </w:r>
    </w:p>
    <w:p>
      <w:pPr>
        <w:spacing w:after="0" w:line="94" w:lineRule="exact"/>
        <w:rPr>
          <w:sz w:val="20"/>
          <w:szCs w:val="20"/>
          <w:color w:val="auto"/>
        </w:rPr>
      </w:pPr>
    </w:p>
    <w:p>
      <w:pPr>
        <w:ind w:left="6560" w:right="1380"/>
        <w:spacing w:after="0" w:line="297" w:lineRule="auto"/>
        <w:rPr>
          <w:sz w:val="20"/>
          <w:szCs w:val="20"/>
          <w:color w:val="auto"/>
        </w:rPr>
      </w:pPr>
      <w:r>
        <w:rPr>
          <w:rFonts w:ascii="Arial" w:cs="Arial" w:eastAsia="Arial" w:hAnsi="Arial"/>
          <w:sz w:val="19"/>
          <w:szCs w:val="19"/>
          <w:b w:val="1"/>
          <w:bCs w:val="1"/>
          <w:color w:val="auto"/>
        </w:rPr>
        <w:t>Save paper, time and money! Sign up for electronic delivery at 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-480060</wp:posOffset>
            </wp:positionV>
            <wp:extent cx="356870" cy="35687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56870" cy="356870"/>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-29845</wp:posOffset>
            </wp:positionV>
            <wp:extent cx="280035" cy="2546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80035" cy="254635"/>
                    </a:xfrm>
                    <a:prstGeom prst="rect">
                      <a:avLst/>
                    </a:prstGeom>
                    <a:noFill/>
                  </pic:spPr>
                </pic:pic>
              </a:graphicData>
            </a:graphic>
          </wp:anchor>
        </w:drawing>
      </w:r>
    </w:p>
    <w:p>
      <w:pPr>
        <w:ind w:left="120" w:right="7460"/>
        <w:spacing w:after="0" w:line="319" w:lineRule="auto"/>
        <w:rPr>
          <w:sz w:val="20"/>
          <w:szCs w:val="20"/>
          <w:color w:val="auto"/>
        </w:rPr>
      </w:pPr>
      <w:r>
        <w:rPr>
          <w:rFonts w:ascii="Arial" w:cs="Arial" w:eastAsia="Arial" w:hAnsi="Arial"/>
          <w:sz w:val="11"/>
          <w:szCs w:val="11"/>
          <w:color w:val="auto"/>
        </w:rPr>
        <w:t xml:space="preserve">Using a </w:t>
      </w:r>
      <w:r>
        <w:rPr>
          <w:rFonts w:ascii="Arial" w:cs="Arial" w:eastAsia="Arial" w:hAnsi="Arial"/>
          <w:sz w:val="11"/>
          <w:szCs w:val="11"/>
          <w:b w:val="1"/>
          <w:bCs w:val="1"/>
          <w:u w:val="single" w:color="auto"/>
          <w:color w:val="auto"/>
        </w:rPr>
        <w:t>black ink</w:t>
      </w:r>
      <w:r>
        <w:rPr>
          <w:rFonts w:ascii="Arial" w:cs="Arial" w:eastAsia="Arial" w:hAnsi="Arial"/>
          <w:sz w:val="11"/>
          <w:szCs w:val="11"/>
          <w:color w:val="auto"/>
        </w:rPr>
        <w:t xml:space="preserve"> pen, mark your votes with an </w:t>
      </w:r>
      <w:r>
        <w:rPr>
          <w:rFonts w:ascii="Arial" w:cs="Arial" w:eastAsia="Arial" w:hAnsi="Arial"/>
          <w:sz w:val="11"/>
          <w:szCs w:val="11"/>
          <w:b w:val="1"/>
          <w:bCs w:val="1"/>
          <w:color w:val="auto"/>
        </w:rPr>
        <w:t>X</w:t>
      </w:r>
      <w:r>
        <w:rPr>
          <w:rFonts w:ascii="Arial" w:cs="Arial" w:eastAsia="Arial" w:hAnsi="Arial"/>
          <w:sz w:val="11"/>
          <w:szCs w:val="11"/>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95250</wp:posOffset>
            </wp:positionV>
            <wp:extent cx="6793865" cy="31432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793865"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40" w:type="dxa"/>
            <w:vAlign w:val="bottom"/>
            <w:shd w:val="clear" w:color="auto" w:fill="000000"/>
          </w:tcPr>
          <w:p>
            <w:pPr>
              <w:spacing w:after="0"/>
              <w:rPr>
                <w:sz w:val="24"/>
                <w:szCs w:val="24"/>
                <w:color w:val="auto"/>
              </w:rPr>
            </w:pPr>
          </w:p>
        </w:tc>
        <w:tc>
          <w:tcPr>
            <w:tcW w:w="1026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Proposals – THIS PROXY, WHEN PROPERLY EXECUTED, WILL BE VOTED IN THE MATTER DIRECTED HEREIN BY</w:t>
            </w:r>
          </w:p>
        </w:tc>
        <w:tc>
          <w:tcPr>
            <w:tcW w:w="420" w:type="dxa"/>
            <w:vAlign w:val="bottom"/>
            <w:vMerge w:val="restart"/>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214"/>
        </w:trPr>
        <w:tc>
          <w:tcPr>
            <w:tcW w:w="240" w:type="dxa"/>
            <w:vAlign w:val="bottom"/>
            <w:shd w:val="clear" w:color="auto" w:fill="000000"/>
          </w:tcPr>
          <w:p>
            <w:pPr>
              <w:ind w:left="40"/>
              <w:spacing w:after="0"/>
              <w:rPr>
                <w:sz w:val="20"/>
                <w:szCs w:val="20"/>
                <w:color w:val="auto"/>
              </w:rPr>
            </w:pPr>
            <w:r>
              <w:rPr>
                <w:rFonts w:ascii="Arial" w:cs="Arial" w:eastAsia="Arial" w:hAnsi="Arial"/>
                <w:sz w:val="18"/>
                <w:szCs w:val="18"/>
                <w:b w:val="1"/>
                <w:bCs w:val="1"/>
                <w:color w:val="FFFFFF"/>
              </w:rPr>
              <w:t>A</w:t>
            </w:r>
          </w:p>
        </w:tc>
        <w:tc>
          <w:tcPr>
            <w:tcW w:w="1026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THE UNDERSIGNED SHAREHOLDER. IF NO DIRECTION IS MADE, THIS PROXY WILL BE VOTED FOR PROPOSALS 1,</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0" w:type="dxa"/>
            <w:vAlign w:val="bottom"/>
            <w:shd w:val="clear" w:color="auto" w:fill="000000"/>
          </w:tcPr>
          <w:p>
            <w:pPr>
              <w:spacing w:after="0"/>
              <w:rPr>
                <w:sz w:val="20"/>
                <w:szCs w:val="20"/>
                <w:color w:val="auto"/>
              </w:rPr>
            </w:pPr>
          </w:p>
        </w:tc>
        <w:tc>
          <w:tcPr>
            <w:tcW w:w="7960" w:type="dxa"/>
            <w:vAlign w:val="bottom"/>
            <w:gridSpan w:val="2"/>
            <w:shd w:val="clear" w:color="auto" w:fill="D8D8D8"/>
          </w:tcPr>
          <w:p>
            <w:pPr>
              <w:ind w:left="120"/>
              <w:spacing w:after="0"/>
              <w:rPr>
                <w:sz w:val="20"/>
                <w:szCs w:val="20"/>
                <w:color w:val="auto"/>
              </w:rPr>
            </w:pPr>
            <w:r>
              <w:rPr>
                <w:rFonts w:ascii="Arial" w:cs="Arial" w:eastAsia="Arial" w:hAnsi="Arial"/>
                <w:sz w:val="18"/>
                <w:szCs w:val="18"/>
                <w:b w:val="1"/>
                <w:bCs w:val="1"/>
                <w:color w:val="auto"/>
              </w:rPr>
              <w:t>2 AND 3. PROPOSALS 1, 2 AND 3 ARE BEING PROPOSED BY MANPOWERGROUP INC.</w:t>
            </w:r>
          </w:p>
        </w:tc>
        <w:tc>
          <w:tcPr>
            <w:tcW w:w="2300" w:type="dxa"/>
            <w:vAlign w:val="bottom"/>
            <w:shd w:val="clear" w:color="auto" w:fill="D8D8D8"/>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2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4020" w:type="dxa"/>
            <w:vAlign w:val="bottom"/>
          </w:tcPr>
          <w:p>
            <w:pPr>
              <w:ind w:left="1520"/>
              <w:spacing w:after="0"/>
              <w:rPr>
                <w:sz w:val="20"/>
                <w:szCs w:val="20"/>
                <w:color w:val="auto"/>
              </w:rPr>
            </w:pPr>
            <w:r>
              <w:rPr>
                <w:rFonts w:ascii="Arial" w:cs="Arial" w:eastAsia="Arial" w:hAnsi="Arial"/>
                <w:sz w:val="14"/>
                <w:szCs w:val="14"/>
                <w:b w:val="1"/>
                <w:bCs w:val="1"/>
                <w:color w:val="auto"/>
              </w:rPr>
              <w:t>For  Against Abstain</w:t>
            </w:r>
          </w:p>
        </w:tc>
        <w:tc>
          <w:tcPr>
            <w:tcW w:w="3940" w:type="dxa"/>
            <w:vAlign w:val="bottom"/>
          </w:tcPr>
          <w:p>
            <w:pPr>
              <w:ind w:left="1100"/>
              <w:spacing w:after="0"/>
              <w:rPr>
                <w:sz w:val="20"/>
                <w:szCs w:val="20"/>
                <w:color w:val="auto"/>
              </w:rPr>
            </w:pPr>
            <w:r>
              <w:rPr>
                <w:rFonts w:ascii="Arial" w:cs="Arial" w:eastAsia="Arial" w:hAnsi="Arial"/>
                <w:sz w:val="14"/>
                <w:szCs w:val="14"/>
                <w:b w:val="1"/>
                <w:bCs w:val="1"/>
                <w:color w:val="auto"/>
              </w:rPr>
              <w:t>For  Against  Abstain</w:t>
            </w:r>
          </w:p>
        </w:tc>
        <w:tc>
          <w:tcPr>
            <w:tcW w:w="2300" w:type="dxa"/>
            <w:vAlign w:val="bottom"/>
          </w:tcPr>
          <w:p>
            <w:pPr>
              <w:ind w:left="600"/>
              <w:spacing w:after="0"/>
              <w:rPr>
                <w:sz w:val="20"/>
                <w:szCs w:val="20"/>
                <w:color w:val="auto"/>
              </w:rPr>
            </w:pPr>
            <w:r>
              <w:rPr>
                <w:rFonts w:ascii="Arial" w:cs="Arial" w:eastAsia="Arial" w:hAnsi="Arial"/>
                <w:sz w:val="14"/>
                <w:szCs w:val="14"/>
                <w:b w:val="1"/>
                <w:bCs w:val="1"/>
                <w:color w:val="auto"/>
              </w:rPr>
              <w:t>For  Against   Abstain</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0920"/>
          </w:cols>
          <w:pgMar w:left="480" w:top="1440" w:right="499" w:bottom="1440" w:gutter="0" w:footer="0" w:header="0"/>
        </w:sectPr>
      </w:pPr>
    </w:p>
    <w:p>
      <w:pPr>
        <w:spacing w:after="0" w:line="1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1.A - Gina R. Boswell</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1.D - John F. Ferraro</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1.G - Julie M. Howard</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1.J - Paul Read</w:t>
      </w:r>
    </w:p>
    <w:p>
      <w:pPr>
        <w:spacing w:after="0" w:line="20" w:lineRule="exact"/>
        <w:rPr>
          <w:sz w:val="20"/>
          <w:szCs w:val="20"/>
          <w:color w:val="auto"/>
        </w:rPr>
      </w:pPr>
      <w:r>
        <w:rPr>
          <w:sz w:val="20"/>
          <w:szCs w:val="20"/>
          <w:color w:val="auto"/>
        </w:rPr>
        <w:br w:type="column"/>
      </w:r>
    </w:p>
    <w:p>
      <w:pPr>
        <w:spacing w:after="0" w:line="25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1.B - Jean-Philippe Courtois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1.E - William P. Gipson</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1.H - Ulice Payne, Jr.</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1.K - Elizabeth P. Sartain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0"/>
        </w:trPr>
        <w:tc>
          <w:tcPr>
            <w:tcW w:w="920" w:type="dxa"/>
            <w:vAlign w:val="bottom"/>
            <w:gridSpan w:val="2"/>
          </w:tcPr>
          <w:p>
            <w:pPr>
              <w:jc w:val="right"/>
              <w:ind w:right="46"/>
              <w:spacing w:after="0" w:line="271" w:lineRule="exact"/>
              <w:rPr>
                <w:sz w:val="20"/>
                <w:szCs w:val="20"/>
                <w:color w:val="auto"/>
              </w:rPr>
            </w:pPr>
            <w:r>
              <w:rPr>
                <w:rFonts w:ascii="MS PGothic" w:cs="MS PGothic" w:eastAsia="MS PGothic" w:hAnsi="MS PGothic"/>
                <w:sz w:val="27"/>
                <w:szCs w:val="27"/>
                <w:color w:val="auto"/>
              </w:rPr>
              <w:t>☐  ☐</w:t>
            </w:r>
          </w:p>
        </w:tc>
        <w:tc>
          <w:tcPr>
            <w:tcW w:w="5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1780" w:type="dxa"/>
            <w:vAlign w:val="bottom"/>
          </w:tcPr>
          <w:p>
            <w:pPr>
              <w:ind w:left="160"/>
              <w:spacing w:after="0"/>
              <w:rPr>
                <w:sz w:val="20"/>
                <w:szCs w:val="20"/>
                <w:color w:val="auto"/>
              </w:rPr>
            </w:pPr>
            <w:r>
              <w:rPr>
                <w:rFonts w:ascii="Arial" w:cs="Arial" w:eastAsia="Arial" w:hAnsi="Arial"/>
                <w:sz w:val="14"/>
                <w:szCs w:val="14"/>
                <w:color w:val="auto"/>
              </w:rPr>
              <w:t>1.C - William Downe</w:t>
            </w:r>
          </w:p>
        </w:tc>
        <w:tc>
          <w:tcPr>
            <w:tcW w:w="1100" w:type="dxa"/>
            <w:vAlign w:val="bottom"/>
            <w:gridSpan w:val="2"/>
          </w:tcPr>
          <w:p>
            <w:pPr>
              <w:jc w:val="right"/>
              <w:ind w:right="66"/>
              <w:spacing w:after="0" w:line="271" w:lineRule="exact"/>
              <w:rPr>
                <w:sz w:val="20"/>
                <w:szCs w:val="20"/>
                <w:color w:val="auto"/>
              </w:rPr>
            </w:pPr>
            <w:r>
              <w:rPr>
                <w:rFonts w:ascii="MS PGothic" w:cs="MS PGothic" w:eastAsia="MS PGothic" w:hAnsi="MS PGothic"/>
                <w:sz w:val="27"/>
                <w:szCs w:val="27"/>
                <w:color w:val="auto"/>
              </w:rPr>
              <w:t>☐  ☐</w:t>
            </w:r>
          </w:p>
        </w:tc>
        <w:tc>
          <w:tcPr>
            <w:tcW w:w="460" w:type="dxa"/>
            <w:vAlign w:val="bottom"/>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192"/>
        </w:trPr>
        <w:tc>
          <w:tcPr>
            <w:tcW w:w="920" w:type="dxa"/>
            <w:vAlign w:val="bottom"/>
            <w:gridSpan w:val="2"/>
            <w:vMerge w:val="restart"/>
          </w:tcPr>
          <w:p>
            <w:pPr>
              <w:jc w:val="right"/>
              <w:ind w:right="46"/>
              <w:spacing w:after="0" w:line="271" w:lineRule="exact"/>
              <w:rPr>
                <w:sz w:val="20"/>
                <w:szCs w:val="20"/>
                <w:color w:val="auto"/>
              </w:rPr>
            </w:pPr>
            <w:r>
              <w:rPr>
                <w:rFonts w:ascii="MS PGothic" w:cs="MS PGothic" w:eastAsia="MS PGothic" w:hAnsi="MS PGothic"/>
                <w:sz w:val="27"/>
                <w:szCs w:val="27"/>
                <w:color w:val="auto"/>
              </w:rPr>
              <w:t>☐  ☐</w:t>
            </w:r>
          </w:p>
        </w:tc>
        <w:tc>
          <w:tcPr>
            <w:tcW w:w="580" w:type="dxa"/>
            <w:vAlign w:val="bottom"/>
            <w:vMerge w:val="restart"/>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1780" w:type="dxa"/>
            <w:vAlign w:val="bottom"/>
          </w:tcPr>
          <w:p>
            <w:pPr>
              <w:ind w:left="160"/>
              <w:spacing w:after="0"/>
              <w:rPr>
                <w:sz w:val="20"/>
                <w:szCs w:val="20"/>
                <w:color w:val="auto"/>
              </w:rPr>
            </w:pPr>
            <w:r>
              <w:rPr>
                <w:rFonts w:ascii="Arial" w:cs="Arial" w:eastAsia="Arial" w:hAnsi="Arial"/>
                <w:sz w:val="14"/>
                <w:szCs w:val="14"/>
                <w:color w:val="auto"/>
              </w:rPr>
              <w:t>1.F - Patricia Hemingway</w:t>
            </w:r>
          </w:p>
        </w:tc>
        <w:tc>
          <w:tcPr>
            <w:tcW w:w="1100" w:type="dxa"/>
            <w:vAlign w:val="bottom"/>
            <w:gridSpan w:val="2"/>
            <w:vMerge w:val="restart"/>
          </w:tcPr>
          <w:p>
            <w:pPr>
              <w:jc w:val="right"/>
              <w:ind w:right="66"/>
              <w:spacing w:after="0" w:line="271" w:lineRule="exact"/>
              <w:rPr>
                <w:sz w:val="20"/>
                <w:szCs w:val="20"/>
                <w:color w:val="auto"/>
              </w:rPr>
            </w:pPr>
            <w:r>
              <w:rPr>
                <w:rFonts w:ascii="MS PGothic" w:cs="MS PGothic" w:eastAsia="MS PGothic" w:hAnsi="MS PGothic"/>
                <w:sz w:val="27"/>
                <w:szCs w:val="27"/>
                <w:color w:val="auto"/>
              </w:rPr>
              <w:t>☐  ☐</w:t>
            </w:r>
          </w:p>
        </w:tc>
        <w:tc>
          <w:tcPr>
            <w:tcW w:w="46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236"/>
        </w:trPr>
        <w:tc>
          <w:tcPr>
            <w:tcW w:w="92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780" w:type="dxa"/>
            <w:vAlign w:val="bottom"/>
          </w:tcPr>
          <w:p>
            <w:pPr>
              <w:ind w:left="480"/>
              <w:spacing w:after="0"/>
              <w:rPr>
                <w:sz w:val="20"/>
                <w:szCs w:val="20"/>
                <w:color w:val="auto"/>
              </w:rPr>
            </w:pPr>
            <w:r>
              <w:rPr>
                <w:rFonts w:ascii="Arial" w:cs="Arial" w:eastAsia="Arial" w:hAnsi="Arial"/>
                <w:sz w:val="14"/>
                <w:szCs w:val="14"/>
                <w:color w:val="auto"/>
              </w:rPr>
              <w:t>Hall</w:t>
            </w:r>
          </w:p>
        </w:tc>
        <w:tc>
          <w:tcPr>
            <w:tcW w:w="110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3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560" w:type="dxa"/>
            <w:vAlign w:val="bottom"/>
          </w:tcPr>
          <w:p>
            <w:pPr>
              <w:jc w:val="right"/>
              <w:ind w:right="46"/>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1780" w:type="dxa"/>
            <w:vAlign w:val="bottom"/>
          </w:tcPr>
          <w:p>
            <w:pPr>
              <w:ind w:left="160"/>
              <w:spacing w:after="0"/>
              <w:rPr>
                <w:sz w:val="20"/>
                <w:szCs w:val="20"/>
                <w:color w:val="auto"/>
              </w:rPr>
            </w:pPr>
            <w:r>
              <w:rPr>
                <w:rFonts w:ascii="Arial" w:cs="Arial" w:eastAsia="Arial" w:hAnsi="Arial"/>
                <w:sz w:val="14"/>
                <w:szCs w:val="14"/>
                <w:color w:val="auto"/>
              </w:rPr>
              <w:t>1.I - Jonas Prising</w:t>
            </w:r>
          </w:p>
        </w:tc>
        <w:tc>
          <w:tcPr>
            <w:tcW w:w="5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jc w:val="right"/>
              <w:ind w:right="66"/>
              <w:spacing w:after="0" w:line="271" w:lineRule="exact"/>
              <w:rPr>
                <w:sz w:val="20"/>
                <w:szCs w:val="20"/>
                <w:color w:val="auto"/>
              </w:rPr>
            </w:pPr>
            <w:r>
              <w:rPr>
                <w:rFonts w:ascii="MS PGothic" w:cs="MS PGothic" w:eastAsia="MS PGothic" w:hAnsi="MS PGothic"/>
                <w:sz w:val="27"/>
                <w:szCs w:val="27"/>
                <w:color w:val="auto"/>
              </w:rPr>
              <w:t>☐</w:t>
            </w:r>
          </w:p>
        </w:tc>
        <w:tc>
          <w:tcPr>
            <w:tcW w:w="460" w:type="dxa"/>
            <w:vAlign w:val="bottom"/>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428"/>
        </w:trPr>
        <w:tc>
          <w:tcPr>
            <w:tcW w:w="3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560" w:type="dxa"/>
            <w:vAlign w:val="bottom"/>
          </w:tcPr>
          <w:p>
            <w:pPr>
              <w:jc w:val="right"/>
              <w:ind w:right="46"/>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2300" w:type="dxa"/>
            <w:vAlign w:val="bottom"/>
            <w:gridSpan w:val="2"/>
          </w:tcPr>
          <w:p>
            <w:pPr>
              <w:ind w:left="160"/>
              <w:spacing w:after="0" w:line="299" w:lineRule="exact"/>
              <w:rPr>
                <w:sz w:val="20"/>
                <w:szCs w:val="20"/>
                <w:color w:val="auto"/>
              </w:rPr>
            </w:pPr>
            <w:r>
              <w:rPr>
                <w:rFonts w:ascii="Arial" w:cs="Arial" w:eastAsia="Arial" w:hAnsi="Arial"/>
                <w:sz w:val="14"/>
                <w:szCs w:val="14"/>
                <w:color w:val="auto"/>
              </w:rPr>
              <w:t xml:space="preserve">1.L - Michael J. Van Handel   </w:t>
            </w:r>
            <w:r>
              <w:rPr>
                <w:rFonts w:ascii="MS PGothic" w:cs="MS PGothic" w:eastAsia="MS PGothic" w:hAnsi="MS PGothic"/>
                <w:sz w:val="26"/>
                <w:szCs w:val="26"/>
                <w:color w:val="auto"/>
              </w:rPr>
              <w:t>☐</w:t>
            </w:r>
          </w:p>
        </w:tc>
        <w:tc>
          <w:tcPr>
            <w:tcW w:w="580" w:type="dxa"/>
            <w:vAlign w:val="bottom"/>
          </w:tcPr>
          <w:p>
            <w:pPr>
              <w:jc w:val="right"/>
              <w:ind w:right="66"/>
              <w:spacing w:after="0" w:line="271" w:lineRule="exact"/>
              <w:rPr>
                <w:sz w:val="20"/>
                <w:szCs w:val="20"/>
                <w:color w:val="auto"/>
              </w:rPr>
            </w:pPr>
            <w:r>
              <w:rPr>
                <w:rFonts w:ascii="MS PGothic" w:cs="MS PGothic" w:eastAsia="MS PGothic" w:hAnsi="MS PGothic"/>
                <w:sz w:val="27"/>
                <w:szCs w:val="27"/>
                <w:color w:val="auto"/>
              </w:rPr>
              <w:t>☐</w:t>
            </w:r>
          </w:p>
        </w:tc>
        <w:tc>
          <w:tcPr>
            <w:tcW w:w="460" w:type="dxa"/>
            <w:vAlign w:val="bottom"/>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4">
            <w:col w:w="1440" w:space="320"/>
            <w:col w:w="1300" w:space="360"/>
            <w:col w:w="1620" w:space="320"/>
            <w:col w:w="5560"/>
          </w:cols>
          <w:pgMar w:left="480" w:top="1440" w:right="499" w:bottom="1440" w:gutter="0" w:footer="0" w:header="0"/>
          <w:type w:val="continuous"/>
        </w:sectPr>
      </w:pPr>
    </w:p>
    <w:p>
      <w:pPr>
        <w:spacing w:after="0" w:line="169" w:lineRule="exact"/>
        <w:rPr>
          <w:sz w:val="20"/>
          <w:szCs w:val="20"/>
          <w:color w:val="auto"/>
        </w:rPr>
      </w:pPr>
    </w:p>
    <w:p>
      <w:pPr>
        <w:ind w:left="160" w:right="540" w:hanging="153"/>
        <w:spacing w:after="0" w:line="249" w:lineRule="auto"/>
        <w:tabs>
          <w:tab w:leader="none" w:pos="153" w:val="left"/>
        </w:tabs>
        <w:numPr>
          <w:ilvl w:val="0"/>
          <w:numId w:val="82"/>
        </w:numPr>
        <w:rPr>
          <w:rFonts w:ascii="Arial" w:cs="Arial" w:eastAsia="Arial" w:hAnsi="Arial"/>
          <w:sz w:val="14"/>
          <w:szCs w:val="14"/>
          <w:color w:val="auto"/>
        </w:rPr>
      </w:pPr>
      <w:r>
        <w:rPr>
          <w:rFonts w:ascii="Arial" w:cs="Arial" w:eastAsia="Arial" w:hAnsi="Arial"/>
          <w:sz w:val="14"/>
          <w:szCs w:val="14"/>
          <w:color w:val="auto"/>
        </w:rPr>
        <w:t>Ratification of Deloitte &amp; Touche LLP as our independent auditors for 2021.</w:t>
      </w:r>
    </w:p>
    <w:p>
      <w:pPr>
        <w:spacing w:after="0" w:line="241" w:lineRule="exact"/>
        <w:rPr>
          <w:sz w:val="20"/>
          <w:szCs w:val="20"/>
          <w:color w:val="auto"/>
        </w:rPr>
      </w:pPr>
    </w:p>
    <w:p>
      <w:pPr>
        <w:ind w:left="160" w:hanging="153"/>
        <w:spacing w:after="0" w:line="236" w:lineRule="auto"/>
        <w:tabs>
          <w:tab w:leader="none" w:pos="153"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Against</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55"/>
        </w:trPr>
        <w:tc>
          <w:tcPr>
            <w:tcW w:w="400" w:type="dxa"/>
            <w:vAlign w:val="bottom"/>
            <w:vMerge w:val="restart"/>
          </w:tcPr>
          <w:p>
            <w:pPr>
              <w:spacing w:after="0" w:line="271" w:lineRule="exact"/>
              <w:rPr>
                <w:sz w:val="20"/>
                <w:szCs w:val="20"/>
                <w:color w:val="auto"/>
              </w:rPr>
            </w:pPr>
            <w:r>
              <w:rPr>
                <w:rFonts w:ascii="MS PGothic" w:cs="MS PGothic" w:eastAsia="MS PGothic" w:hAnsi="MS PGothic"/>
                <w:sz w:val="27"/>
                <w:szCs w:val="27"/>
                <w:color w:val="auto"/>
              </w:rPr>
              <w:t>☐</w:t>
            </w:r>
          </w:p>
        </w:tc>
        <w:tc>
          <w:tcPr>
            <w:tcW w:w="76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7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840" w:type="dxa"/>
            <w:vAlign w:val="bottom"/>
          </w:tcPr>
          <w:p>
            <w:pPr>
              <w:ind w:left="160"/>
              <w:spacing w:after="0" w:line="155" w:lineRule="exact"/>
              <w:rPr>
                <w:sz w:val="20"/>
                <w:szCs w:val="20"/>
                <w:color w:val="auto"/>
              </w:rPr>
            </w:pPr>
            <w:r>
              <w:rPr>
                <w:rFonts w:ascii="Arial" w:cs="Arial" w:eastAsia="Arial" w:hAnsi="Arial"/>
                <w:sz w:val="14"/>
                <w:szCs w:val="14"/>
                <w:color w:val="auto"/>
                <w:w w:val="98"/>
              </w:rPr>
              <w:t>3. Advisory vote to approve the compensation of our named</w:t>
            </w:r>
          </w:p>
        </w:tc>
        <w:tc>
          <w:tcPr>
            <w:tcW w:w="600" w:type="dxa"/>
            <w:vAlign w:val="bottom"/>
            <w:vMerge w:val="restart"/>
          </w:tcPr>
          <w:p>
            <w:pPr>
              <w:jc w:val="right"/>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vMerge w:val="restart"/>
          </w:tcPr>
          <w:p>
            <w:pPr>
              <w:ind w:left="24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vMerge w:val="restart"/>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265"/>
        </w:trPr>
        <w:tc>
          <w:tcPr>
            <w:tcW w:w="40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3840" w:type="dxa"/>
            <w:vAlign w:val="bottom"/>
          </w:tcPr>
          <w:p>
            <w:pPr>
              <w:ind w:left="300"/>
              <w:spacing w:after="0"/>
              <w:rPr>
                <w:sz w:val="20"/>
                <w:szCs w:val="20"/>
                <w:color w:val="auto"/>
              </w:rPr>
            </w:pPr>
            <w:r>
              <w:rPr>
                <w:rFonts w:ascii="Arial" w:cs="Arial" w:eastAsia="Arial" w:hAnsi="Arial"/>
                <w:sz w:val="14"/>
                <w:szCs w:val="14"/>
                <w:color w:val="auto"/>
              </w:rPr>
              <w:t>executive officers.</w:t>
            </w:r>
          </w:p>
        </w:tc>
        <w:tc>
          <w:tcPr>
            <w:tcW w:w="60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837" w:lineRule="exact"/>
        <w:rPr>
          <w:sz w:val="20"/>
          <w:szCs w:val="20"/>
          <w:color w:val="auto"/>
        </w:rPr>
      </w:pPr>
    </w:p>
    <w:p>
      <w:pPr>
        <w:sectPr>
          <w:pgSz w:w="11900" w:h="16838" w:orient="portrait"/>
          <w:cols w:equalWidth="0" w:num="2">
            <w:col w:w="3280" w:space="140"/>
            <w:col w:w="7500"/>
          </w:cols>
          <w:pgMar w:left="480" w:top="1440" w:right="499" w:bottom="1440" w:gutter="0" w:footer="0" w:header="0"/>
          <w:type w:val="continuous"/>
        </w:sectPr>
      </w:pPr>
    </w:p>
    <w:p>
      <w:pPr>
        <w:spacing w:after="0" w:line="7" w:lineRule="exact"/>
        <w:rPr>
          <w:sz w:val="20"/>
          <w:szCs w:val="20"/>
          <w:color w:val="auto"/>
        </w:rPr>
      </w:pPr>
    </w:p>
    <w:p>
      <w:pPr>
        <w:ind w:left="340" w:hanging="288"/>
        <w:spacing w:after="0"/>
        <w:tabs>
          <w:tab w:leader="none" w:pos="340" w:val="left"/>
        </w:tabs>
        <w:numPr>
          <w:ilvl w:val="0"/>
          <w:numId w:val="84"/>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135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54"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01" w:lineRule="exact"/>
        <w:rPr>
          <w:sz w:val="20"/>
          <w:szCs w:val="20"/>
          <w:color w:val="auto"/>
        </w:rPr>
      </w:pPr>
    </w:p>
    <w:p>
      <w:pPr>
        <w:spacing w:after="0"/>
        <w:tabs>
          <w:tab w:leader="none" w:pos="3700" w:val="left"/>
          <w:tab w:leader="none" w:pos="742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6938010" cy="41592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938010" cy="415925"/>
                    </a:xfrm>
                    <a:prstGeom prst="rect">
                      <a:avLst/>
                    </a:prstGeom>
                    <a:noFill/>
                  </pic:spPr>
                </pic:pic>
              </a:graphicData>
            </a:graphic>
          </wp:anchor>
        </w:drawing>
      </w:r>
    </w:p>
    <w:p>
      <w:pPr>
        <w:ind w:left="960"/>
        <w:spacing w:after="0"/>
        <w:tabs>
          <w:tab w:leader="none" w:pos="1900" w:val="left"/>
        </w:tabs>
        <w:rPr>
          <w:sz w:val="20"/>
          <w:szCs w:val="20"/>
          <w:color w:val="auto"/>
        </w:rPr>
      </w:pPr>
      <w:r>
        <w:rPr>
          <w:rFonts w:ascii="Arial" w:cs="Arial" w:eastAsia="Arial" w:hAnsi="Arial"/>
          <w:sz w:val="53"/>
          <w:szCs w:val="53"/>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172085</wp:posOffset>
            </wp:positionV>
            <wp:extent cx="5774690" cy="5264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774690" cy="52641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ManpowerGroup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ManpowerGroup Inc. Shareholders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Friday, May 7,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Agenda</w:t>
      </w:r>
    </w:p>
    <w:p>
      <w:pPr>
        <w:spacing w:after="0" w:line="24" w:lineRule="exact"/>
        <w:rPr>
          <w:sz w:val="20"/>
          <w:szCs w:val="20"/>
          <w:color w:val="auto"/>
        </w:rPr>
      </w:pPr>
    </w:p>
    <w:p>
      <w:pPr>
        <w:ind w:left="440" w:hanging="433"/>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Elect twelve individuals nominated by the Board of Directors of ManpowerGroup Inc. to serve until 2022 as directors.</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Ratification of Deloitte &amp; Touche LLP as our independent auditors for 2021.</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2021 Annual Meeting of Shareholders of ManpowerGroup Inc. will be held 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Friday, May 7, 2021, 9:00 A.M. Central time, virtually via the internet at www.meetingcenter.io/237950674.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access the virtual meeting, you must have the information that is printed in the shaded bar located on the reverse side of this form.</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password for this meeting is – MAN2021.</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the 2020 Annual Report on Form 10-K are available at: </w:t>
      </w:r>
      <w:r>
        <w:rPr>
          <w:rFonts w:ascii="Arial" w:cs="Arial" w:eastAsia="Arial" w:hAnsi="Arial"/>
          <w:sz w:val="18"/>
          <w:szCs w:val="18"/>
          <w:b w:val="1"/>
          <w:bCs w:val="1"/>
          <w:u w:val="single" w:color="auto"/>
          <w:color w:val="auto"/>
        </w:rPr>
        <w:t>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234950</wp:posOffset>
            </wp:positionV>
            <wp:extent cx="4161155" cy="6286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161155" cy="6286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Small steps make an impact.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Help the environment by consenting to receive electronic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delivery, sign up at www.envisionreports.com/MAN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3" w:lineRule="exact"/>
        <w:rPr>
          <w:sz w:val="20"/>
          <w:szCs w:val="20"/>
          <w:color w:val="auto"/>
        </w:rPr>
      </w:pPr>
    </w:p>
    <w:p>
      <w:pPr>
        <w:ind w:left="140"/>
        <w:spacing w:after="0"/>
        <w:tabs>
          <w:tab w:leader="none" w:pos="10700" w:val="left"/>
        </w:tabs>
        <w:rPr>
          <w:sz w:val="20"/>
          <w:szCs w:val="20"/>
          <w:color w:val="auto"/>
        </w:rPr>
      </w:pPr>
      <w:r>
        <w:rPr>
          <w:rFonts w:ascii="Arial" w:cs="Arial" w:eastAsia="Arial" w:hAnsi="Arial"/>
          <w:sz w:val="25"/>
          <w:szCs w:val="25"/>
          <w:b w:val="1"/>
          <w:bCs w:val="1"/>
          <w:color w:val="auto"/>
        </w:rPr>
        <w:t>Proxy - ManpowerGroup Inc.</w:t>
      </w:r>
      <w:r>
        <w:rPr>
          <w:sz w:val="20"/>
          <w:szCs w:val="20"/>
          <w:color w:val="auto"/>
        </w:rPr>
        <w:tab/>
      </w:r>
      <w:r>
        <w:rPr>
          <w:rFonts w:ascii="Arial" w:cs="Arial" w:eastAsia="Arial" w:hAnsi="Arial"/>
          <w:sz w:val="34"/>
          <w:szCs w:val="3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6725920" cy="2800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725920" cy="28003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PROXY IS SOLICITED ON BEHALF OF THE BOARD OF DIRECTORS OF MANPOWERGROUP INC.</w:t>
      </w:r>
    </w:p>
    <w:p>
      <w:pPr>
        <w:spacing w:after="0" w:line="22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undersigned hereby appoints Jonas Prising, John T. McGinnis and Richard Buchband proxies, each with the power to act without the other and with power of substitution, and hereby authorizes them to represent and vote, as designated on the other side, all the shares of stock of ManpowerGroup Inc. standing in the name of the undersigned with all the powers which the undersigned would possess if personally present at the Annual Meeting of Shareholders of ManpowerGroup Inc. to be held on May 7, 2021 or at any adjournment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to be voted appear on reverse side)</w:t>
      </w:r>
    </w:p>
    <w:p>
      <w:pPr>
        <w:spacing w:after="0" w:line="200" w:lineRule="exact"/>
        <w:rPr>
          <w:sz w:val="20"/>
          <w:szCs w:val="20"/>
          <w:color w:val="auto"/>
        </w:rPr>
      </w:pPr>
    </w:p>
    <w:p>
      <w:pPr>
        <w:spacing w:after="0" w:line="320" w:lineRule="exact"/>
        <w:rPr>
          <w:sz w:val="20"/>
          <w:szCs w:val="20"/>
          <w:color w:val="auto"/>
        </w:rPr>
      </w:pPr>
    </w:p>
    <w:p>
      <w:pPr>
        <w:ind w:left="340" w:hanging="283"/>
        <w:spacing w:after="0"/>
        <w:tabs>
          <w:tab w:leader="none" w:pos="340" w:val="left"/>
        </w:tabs>
        <w:numPr>
          <w:ilvl w:val="0"/>
          <w:numId w:val="86"/>
        </w:numPr>
        <w:rPr>
          <w:rFonts w:ascii="Arial" w:cs="Arial" w:eastAsia="Arial" w:hAnsi="Arial"/>
          <w:sz w:val="18"/>
          <w:szCs w:val="18"/>
          <w:b w:val="1"/>
          <w:bCs w:val="1"/>
          <w:color w:val="FFFFFF"/>
        </w:rPr>
      </w:pP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929755" cy="169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18" w:lineRule="exact"/>
        <w:rPr>
          <w:sz w:val="20"/>
          <w:szCs w:val="20"/>
          <w:color w:val="auto"/>
        </w:rPr>
      </w:pPr>
    </w:p>
    <w:p>
      <w:pPr>
        <w:spacing w:after="0"/>
        <w:tabs>
          <w:tab w:leader="none" w:pos="55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38010" cy="41592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38010"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45"/>
          <w:szCs w:val="4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135890" cy="135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sectPr>
      <w:pgSz w:w="11900" w:h="16838" w:orient="portrait"/>
      <w:cols w:equalWidth="0" w:num="1">
        <w:col w:w="10920"/>
      </w:cols>
      <w:pgMar w:left="480" w:top="26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lvl w:ilvl="1">
      <w:lvlJc w:val="left"/>
      <w:lvlText w:val="(%2)"/>
      <w:numFmt w:val="decimal"/>
      <w:start w:val="1"/>
    </w:lvl>
  </w:abstractNum>
  <w:abstractNum w:abstractNumId="5">
    <w:nsid w:val="4B588F54"/>
    <w:multiLevelType w:val="hybridMultilevel"/>
    <w:lvl w:ilvl="0">
      <w:lvlJc w:val="left"/>
      <w:lvlText w:val="☐"/>
      <w:numFmt w:val="bullet"/>
      <w:start w:val="1"/>
    </w:lvl>
    <w:lvl w:ilvl="1">
      <w:lvlJc w:val="left"/>
      <w:lvlText w:val="(%2)"/>
      <w:numFmt w:val="decimal"/>
      <w:start w:val="4"/>
    </w:lvl>
  </w:abstractNum>
  <w:abstractNum w:abstractNumId="6">
    <w:nsid w:val="542289EC"/>
    <w:multiLevelType w:val="hybridMultilevel"/>
    <w:lvl w:ilvl="0">
      <w:lvlJc w:val="left"/>
      <w:lvlText w:val="☐"/>
      <w:numFmt w:val="bullet"/>
      <w:start w:val="1"/>
    </w:lvl>
    <w:lvl w:ilvl="1">
      <w:lvlJc w:val="left"/>
      <w:lvlText w:val="(%2)"/>
      <w:numFmt w:val="decimal"/>
      <w:start w:val="1"/>
    </w:lvl>
  </w:abstractNum>
  <w:abstractNum w:abstractNumId="7">
    <w:nsid w:val="6DE91B18"/>
    <w:multiLevelType w:val="hybridMultilevel"/>
    <w:lvl w:ilvl="0">
      <w:lvlJc w:val="left"/>
      <w:lvlText w:val="1"/>
      <w:numFmt w:val="bullet"/>
      <w:start w:val="1"/>
    </w:lvl>
  </w:abstractNum>
  <w:abstractNum w:abstractNumId="8">
    <w:nsid w:val="38437FDB"/>
    <w:multiLevelType w:val="hybridMultilevel"/>
    <w:lvl w:ilvl="0">
      <w:lvlJc w:val="left"/>
      <w:lvlText w:val="4"/>
      <w:numFmt w:val="bullet"/>
      <w:start w:val="1"/>
    </w:lvl>
  </w:abstractNum>
  <w:abstractNum w:abstractNumId="9">
    <w:nsid w:val="7644A45C"/>
    <w:multiLevelType w:val="hybridMultilevel"/>
    <w:lvl w:ilvl="0">
      <w:lvlJc w:val="left"/>
      <w:lvlText w:val="1"/>
      <w:numFmt w:val="bullet"/>
      <w:start w:val="1"/>
    </w:lvl>
  </w:abstractNum>
  <w:abstractNum w:abstractNumId="10">
    <w:nsid w:val="32FFF902"/>
    <w:multiLevelType w:val="hybridMultilevel"/>
    <w:lvl w:ilvl="0">
      <w:lvlJc w:val="left"/>
      <w:lvlText w:val="2"/>
      <w:numFmt w:val="bullet"/>
      <w:start w:val="1"/>
    </w:lvl>
  </w:abstractNum>
  <w:abstractNum w:abstractNumId="11">
    <w:nsid w:val="684A481A"/>
    <w:multiLevelType w:val="hybridMultilevel"/>
    <w:lvl w:ilvl="0">
      <w:lvlJc w:val="left"/>
      <w:lvlText w:val="3"/>
      <w:numFmt w:val="bullet"/>
      <w:start w:val="1"/>
    </w:lvl>
  </w:abstractNum>
  <w:abstractNum w:abstractNumId="12">
    <w:nsid w:val="579478FE"/>
    <w:multiLevelType w:val="hybridMultilevel"/>
    <w:lvl w:ilvl="0">
      <w:lvlJc w:val="left"/>
      <w:lvlText w:val="7"/>
      <w:numFmt w:val="bullet"/>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bullet"/>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lowerRoman"/>
      <w:start w:val="4"/>
    </w:lvl>
  </w:abstractNum>
  <w:abstractNum w:abstractNumId="17">
    <w:nsid w:val="75C6C33A"/>
    <w:multiLevelType w:val="hybridMultilevel"/>
    <w:lvl w:ilvl="0">
      <w:lvlJc w:val="left"/>
      <w:lvlText w:val="1"/>
      <w:numFmt w:val="bullet"/>
      <w:start w:val="1"/>
    </w:lvl>
  </w:abstractNum>
  <w:abstractNum w:abstractNumId="18">
    <w:nsid w:val="12E685FB"/>
    <w:multiLevelType w:val="hybridMultilevel"/>
    <w:lvl w:ilvl="0">
      <w:lvlJc w:val="left"/>
      <w:lvlText w:val="2"/>
      <w:numFmt w:val="bullet"/>
      <w:start w:val="1"/>
    </w:lvl>
  </w:abstractNum>
  <w:abstractNum w:abstractNumId="19">
    <w:nsid w:val="70C6A529"/>
    <w:multiLevelType w:val="hybridMultilevel"/>
    <w:lvl w:ilvl="0">
      <w:lvlJc w:val="left"/>
      <w:lvlText w:val="3"/>
      <w:numFmt w:val="bullet"/>
      <w:start w:val="1"/>
    </w:lvl>
  </w:abstractNum>
  <w:abstractNum w:abstractNumId="20">
    <w:nsid w:val="520EEDD1"/>
    <w:multiLevelType w:val="hybridMultilevel"/>
    <w:lvl w:ilvl="0">
      <w:lvlJc w:val="left"/>
      <w:lvlText w:val="4"/>
      <w:numFmt w:val="bullet"/>
      <w:start w:val="1"/>
    </w:lvl>
  </w:abstractNum>
  <w:abstractNum w:abstractNumId="21">
    <w:nsid w:val="374A3FE6"/>
    <w:multiLevelType w:val="hybridMultilevel"/>
    <w:lvl w:ilvl="0">
      <w:lvlJc w:val="left"/>
      <w:lvlText w:val="5"/>
      <w:numFmt w:val="bullet"/>
      <w:start w:val="1"/>
    </w:lvl>
  </w:abstractNum>
  <w:abstractNum w:abstractNumId="22">
    <w:nsid w:val="4F4EF005"/>
    <w:multiLevelType w:val="hybridMultilevel"/>
    <w:lvl w:ilvl="0">
      <w:lvlJc w:val="left"/>
      <w:lvlText w:val="6"/>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1)"/>
      <w:numFmt w:val="decimal"/>
    </w:lvl>
    <w:lvl w:ilvl="1">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1"/>
      <w:numFmt w:val="decimal"/>
      <w:start w:val="32"/>
    </w:lvl>
  </w:abstractNum>
  <w:abstractNum w:abstractNumId="47">
    <w:nsid w:val="1F48EAA1"/>
    <w:multiLevelType w:val="hybridMultilevel"/>
    <w:lvl w:ilvl="0">
      <w:lvlJc w:val="left"/>
      <w:lvlText w:val="%1"/>
      <w:numFmt w:val="decimal"/>
      <w:start w:val="33"/>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decimal"/>
      <w:start w:val="3"/>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1)"/>
      <w:numFmt w:val="decimal"/>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1)"/>
      <w:numFmt w:val="decimal"/>
      <w:start w:val="2"/>
    </w:lvl>
  </w:abstractNum>
  <w:abstractNum w:abstractNumId="79">
    <w:nsid w:val="1A27709E"/>
    <w:multiLevelType w:val="hybridMultilevel"/>
    <w:lvl w:ilvl="0">
      <w:lvlJc w:val="left"/>
      <w:lvlText w:val="%1."/>
      <w:numFmt w:val="decimal"/>
      <w:start w:val="3"/>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1."/>
      <w:numFmt w:val="decimal"/>
      <w:start w:val="2"/>
    </w:lvl>
  </w:abstractNum>
  <w:abstractNum w:abstractNumId="82">
    <w:nsid w:val="7FB7E0AA"/>
    <w:multiLevelType w:val="hybridMultilevel"/>
    <w:lvl w:ilvl="0">
      <w:lvlJc w:val="left"/>
      <w:lvlText w:val="%1."/>
      <w:numFmt w:val="decimal"/>
      <w:start w:val="4"/>
    </w:lvl>
  </w:abstractNum>
  <w:abstractNum w:abstractNumId="83">
    <w:nsid w:val="6EB5BD4"/>
    <w:multiLevelType w:val="hybridMultilevel"/>
    <w:lvl w:ilvl="0">
      <w:lvlJc w:val="left"/>
      <w:lvlText w:val="B"/>
      <w:numFmt w:val="bullet"/>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2021-03-11T16:06:22Z</dcterms:created>
  <dcterms:modified xsi:type="dcterms:W3CDTF">2021-03-11T16:06:22Z</dcterms:modified>
</cp:coreProperties>
</file>